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charts/chart14.xml" ContentType="application/vnd.openxmlformats-officedocument.drawingml.chart+xml"/>
  <Override PartName="/word/theme/themeOverride13.xml" ContentType="application/vnd.openxmlformats-officedocument.themeOverrid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theme/themeOverride14.xml" ContentType="application/vnd.openxmlformats-officedocument.themeOverride+xml"/>
  <Override PartName="/word/charts/chart18.xml" ContentType="application/vnd.openxmlformats-officedocument.drawingml.chart+xml"/>
  <Override PartName="/word/theme/themeOverride1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6D9F" w:rsidRPr="001F6421" w:rsidRDefault="00666D9F" w:rsidP="00646840">
      <w:pPr>
        <w:pStyle w:val="TOC1"/>
        <w:rPr>
          <w:color w:val="0070C0"/>
        </w:rPr>
      </w:pPr>
      <w:bookmarkStart w:id="0" w:name="_Toc136519958"/>
      <w:bookmarkStart w:id="1" w:name="_Toc136597726"/>
      <w:bookmarkStart w:id="2" w:name="_Toc136601629"/>
      <w:bookmarkStart w:id="3" w:name="_GoBack"/>
      <w:bookmarkEnd w:id="3"/>
    </w:p>
    <w:p w:rsidR="00666D9F" w:rsidRPr="001F6421" w:rsidRDefault="00666D9F" w:rsidP="0031172F">
      <w:pPr>
        <w:pStyle w:val="Title"/>
        <w:spacing w:before="840" w:after="120" w:line="360" w:lineRule="auto"/>
        <w:ind w:firstLine="0"/>
        <w:rPr>
          <w:sz w:val="52"/>
          <w:szCs w:val="52"/>
        </w:rPr>
      </w:pPr>
      <w:r w:rsidRPr="001F6421">
        <w:rPr>
          <w:sz w:val="52"/>
          <w:szCs w:val="52"/>
        </w:rPr>
        <w:t>ДОКЛАД</w:t>
      </w:r>
    </w:p>
    <w:p w:rsidR="00666D9F" w:rsidRPr="001F6421" w:rsidRDefault="00666D9F" w:rsidP="0031172F">
      <w:pPr>
        <w:pStyle w:val="Title"/>
        <w:spacing w:before="120" w:after="0"/>
        <w:ind w:firstLine="0"/>
        <w:rPr>
          <w:sz w:val="36"/>
          <w:szCs w:val="36"/>
        </w:rPr>
      </w:pPr>
    </w:p>
    <w:p w:rsidR="00666D9F" w:rsidRPr="001F6421" w:rsidRDefault="00666D9F" w:rsidP="0031172F">
      <w:pPr>
        <w:pStyle w:val="Title"/>
        <w:spacing w:before="120" w:after="0"/>
        <w:ind w:firstLine="0"/>
        <w:rPr>
          <w:sz w:val="36"/>
          <w:szCs w:val="36"/>
        </w:rPr>
      </w:pPr>
      <w:r w:rsidRPr="001F6421">
        <w:rPr>
          <w:sz w:val="36"/>
          <w:szCs w:val="36"/>
        </w:rPr>
        <w:t>ПО ОТЧЕТА ЗА ИЗПЪЛНЕНИЕТО НА</w:t>
      </w:r>
    </w:p>
    <w:p w:rsidR="00666D9F" w:rsidRPr="001F6421" w:rsidRDefault="00666D9F" w:rsidP="0031172F">
      <w:pPr>
        <w:pStyle w:val="Title"/>
        <w:spacing w:before="120" w:after="0"/>
        <w:ind w:firstLine="0"/>
        <w:rPr>
          <w:sz w:val="36"/>
          <w:szCs w:val="36"/>
        </w:rPr>
      </w:pPr>
      <w:r w:rsidRPr="001F6421">
        <w:rPr>
          <w:sz w:val="36"/>
          <w:szCs w:val="36"/>
        </w:rPr>
        <w:t>ДЪРЖАВНИЯ БЮДЖЕТ НА</w:t>
      </w:r>
    </w:p>
    <w:p w:rsidR="00666D9F" w:rsidRPr="001F6421" w:rsidRDefault="00666D9F" w:rsidP="0031172F">
      <w:pPr>
        <w:pStyle w:val="Title"/>
        <w:spacing w:before="120" w:after="0"/>
        <w:ind w:firstLine="0"/>
        <w:rPr>
          <w:sz w:val="36"/>
          <w:szCs w:val="36"/>
        </w:rPr>
      </w:pPr>
      <w:r w:rsidRPr="001F6421">
        <w:rPr>
          <w:sz w:val="36"/>
          <w:szCs w:val="36"/>
        </w:rPr>
        <w:t>РЕПУБЛИКА БЪЛГАРИЯ</w:t>
      </w:r>
    </w:p>
    <w:p w:rsidR="00666D9F" w:rsidRPr="001F6421" w:rsidRDefault="00666D9F" w:rsidP="0031172F">
      <w:pPr>
        <w:pStyle w:val="Title"/>
        <w:spacing w:before="120" w:after="0"/>
        <w:ind w:firstLine="0"/>
        <w:rPr>
          <w:sz w:val="36"/>
          <w:szCs w:val="36"/>
        </w:rPr>
      </w:pPr>
      <w:r w:rsidRPr="001F6421">
        <w:rPr>
          <w:sz w:val="36"/>
          <w:szCs w:val="36"/>
        </w:rPr>
        <w:t>ЗА 201</w:t>
      </w:r>
      <w:r w:rsidR="001F6421" w:rsidRPr="001F6421">
        <w:rPr>
          <w:sz w:val="36"/>
          <w:szCs w:val="36"/>
          <w:lang w:val="en-US"/>
        </w:rPr>
        <w:t>5</w:t>
      </w:r>
      <w:r w:rsidRPr="001F6421">
        <w:rPr>
          <w:sz w:val="36"/>
          <w:szCs w:val="36"/>
        </w:rPr>
        <w:t xml:space="preserve"> ГОДИНА</w:t>
      </w:r>
    </w:p>
    <w:p w:rsidR="00666D9F" w:rsidRPr="001F6421" w:rsidRDefault="00666D9F" w:rsidP="0031172F">
      <w:pPr>
        <w:jc w:val="center"/>
        <w:rPr>
          <w:color w:val="0070C0"/>
          <w:highlight w:val="yellow"/>
        </w:rPr>
      </w:pPr>
    </w:p>
    <w:p w:rsidR="00666D9F" w:rsidRPr="001F6421" w:rsidRDefault="00666D9F" w:rsidP="008E5000">
      <w:pPr>
        <w:jc w:val="center"/>
        <w:rPr>
          <w:color w:val="0070C0"/>
          <w:highlight w:val="yellow"/>
        </w:rPr>
      </w:pPr>
    </w:p>
    <w:p w:rsidR="00666D9F" w:rsidRPr="001F6421" w:rsidRDefault="00666D9F" w:rsidP="008E5000">
      <w:pPr>
        <w:jc w:val="center"/>
        <w:rPr>
          <w:color w:val="0070C0"/>
          <w:highlight w:val="yellow"/>
        </w:rPr>
      </w:pPr>
    </w:p>
    <w:p w:rsidR="00666D9F" w:rsidRPr="001F6421" w:rsidRDefault="00666D9F" w:rsidP="008E5000">
      <w:pPr>
        <w:jc w:val="center"/>
        <w:rPr>
          <w:color w:val="0070C0"/>
          <w:highlight w:val="yellow"/>
        </w:rPr>
      </w:pPr>
    </w:p>
    <w:p w:rsidR="00666D9F" w:rsidRPr="001F6421" w:rsidRDefault="00666D9F" w:rsidP="008E5000">
      <w:pPr>
        <w:jc w:val="center"/>
        <w:rPr>
          <w:color w:val="0070C0"/>
          <w:highlight w:val="yellow"/>
        </w:rPr>
      </w:pPr>
    </w:p>
    <w:p w:rsidR="00666D9F" w:rsidRPr="001F6421" w:rsidRDefault="00666D9F" w:rsidP="008E5000">
      <w:pPr>
        <w:jc w:val="center"/>
        <w:rPr>
          <w:color w:val="0070C0"/>
          <w:highlight w:val="yellow"/>
        </w:rPr>
      </w:pPr>
    </w:p>
    <w:p w:rsidR="00666D9F" w:rsidRPr="001F6421" w:rsidRDefault="00D37B0F" w:rsidP="00600295">
      <w:pPr>
        <w:jc w:val="center"/>
        <w:rPr>
          <w:b/>
          <w:color w:val="0070C0"/>
        </w:rPr>
      </w:pPr>
      <w:r>
        <w:rPr>
          <w:b/>
          <w:noProof/>
          <w:color w:val="0070C0"/>
        </w:rPr>
        <w:drawing>
          <wp:inline distT="0" distB="0" distL="0" distR="0" wp14:anchorId="0141D3FB" wp14:editId="556DEC6B">
            <wp:extent cx="2622550" cy="23031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2550" cy="2303145"/>
                    </a:xfrm>
                    <a:prstGeom prst="rect">
                      <a:avLst/>
                    </a:prstGeom>
                    <a:noFill/>
                    <a:ln>
                      <a:noFill/>
                    </a:ln>
                  </pic:spPr>
                </pic:pic>
              </a:graphicData>
            </a:graphic>
          </wp:inline>
        </w:drawing>
      </w: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pPr>
    </w:p>
    <w:p w:rsidR="00666D9F" w:rsidRPr="001F6421" w:rsidRDefault="00666D9F" w:rsidP="00017EB1">
      <w:pPr>
        <w:jc w:val="center"/>
        <w:rPr>
          <w:b/>
          <w:color w:val="0070C0"/>
        </w:rPr>
        <w:sectPr w:rsidR="00666D9F" w:rsidRPr="001F6421" w:rsidSect="003E460E">
          <w:headerReference w:type="default" r:id="rId10"/>
          <w:footerReference w:type="even" r:id="rId11"/>
          <w:footerReference w:type="default" r:id="rId12"/>
          <w:pgSz w:w="11906" w:h="16838"/>
          <w:pgMar w:top="1417" w:right="1417" w:bottom="1417" w:left="1440" w:header="708" w:footer="708" w:gutter="0"/>
          <w:pgNumType w:start="1"/>
          <w:cols w:space="708"/>
          <w:titlePg/>
          <w:docGrid w:linePitch="360"/>
        </w:sectPr>
      </w:pPr>
    </w:p>
    <w:p w:rsidR="00666D9F" w:rsidRPr="001F6421" w:rsidRDefault="00666D9F" w:rsidP="00017EB1">
      <w:pPr>
        <w:jc w:val="center"/>
        <w:rPr>
          <w:b/>
          <w:color w:val="0070C0"/>
          <w:sz w:val="4"/>
          <w:szCs w:val="4"/>
        </w:rPr>
      </w:pPr>
    </w:p>
    <w:p w:rsidR="00666D9F" w:rsidRPr="001F6421" w:rsidRDefault="00666D9F" w:rsidP="00017EB1">
      <w:pPr>
        <w:jc w:val="center"/>
        <w:rPr>
          <w:b/>
          <w:color w:val="0070C0"/>
          <w:sz w:val="8"/>
          <w:szCs w:val="8"/>
        </w:rPr>
      </w:pPr>
    </w:p>
    <w:p w:rsidR="00666D9F" w:rsidRPr="00FF13FA" w:rsidRDefault="00666D9F" w:rsidP="00265B72">
      <w:pPr>
        <w:jc w:val="center"/>
        <w:rPr>
          <w:b/>
          <w:sz w:val="28"/>
          <w:szCs w:val="28"/>
        </w:rPr>
      </w:pPr>
      <w:bookmarkStart w:id="4" w:name="_Toc167005082"/>
      <w:bookmarkStart w:id="5" w:name="_Toc167181031"/>
      <w:r w:rsidRPr="00FF13FA">
        <w:rPr>
          <w:b/>
          <w:sz w:val="28"/>
          <w:szCs w:val="28"/>
        </w:rPr>
        <w:t>СЪДЪРЖАНИЕ</w:t>
      </w:r>
    </w:p>
    <w:p w:rsidR="00666D9F" w:rsidRPr="001F6421" w:rsidRDefault="00666D9F" w:rsidP="00265B72">
      <w:pPr>
        <w:jc w:val="center"/>
        <w:rPr>
          <w:b/>
          <w:color w:val="0070C0"/>
          <w:sz w:val="28"/>
          <w:szCs w:val="28"/>
        </w:rPr>
      </w:pPr>
    </w:p>
    <w:p w:rsidR="00DC5F62" w:rsidRDefault="00666D9F">
      <w:pPr>
        <w:pStyle w:val="TOC1"/>
        <w:rPr>
          <w:rFonts w:asciiTheme="minorHAnsi" w:eastAsiaTheme="minorEastAsia" w:hAnsiTheme="minorHAnsi" w:cstheme="minorBidi"/>
          <w:b w:val="0"/>
          <w:color w:val="auto"/>
          <w:sz w:val="22"/>
        </w:rPr>
      </w:pPr>
      <w:r w:rsidRPr="001F6421">
        <w:rPr>
          <w:bCs/>
          <w:noProof w:val="0"/>
          <w:color w:val="0070C0"/>
        </w:rPr>
        <w:fldChar w:fldCharType="begin"/>
      </w:r>
      <w:r w:rsidRPr="001F6421">
        <w:rPr>
          <w:bCs/>
          <w:noProof w:val="0"/>
          <w:color w:val="0070C0"/>
        </w:rPr>
        <w:instrText xml:space="preserve"> TOC \o "1-3" \h \z \u </w:instrText>
      </w:r>
      <w:r w:rsidRPr="001F6421">
        <w:rPr>
          <w:bCs/>
          <w:noProof w:val="0"/>
          <w:color w:val="0070C0"/>
        </w:rPr>
        <w:fldChar w:fldCharType="separate"/>
      </w:r>
      <w:hyperlink w:anchor="_Toc462146087" w:history="1">
        <w:r w:rsidR="00DC5F62" w:rsidRPr="00BC29B5">
          <w:rPr>
            <w:rStyle w:val="Hyperlink"/>
          </w:rPr>
          <w:t>Използвани съкращения</w:t>
        </w:r>
        <w:r w:rsidR="00DC5F62">
          <w:rPr>
            <w:webHidden/>
          </w:rPr>
          <w:tab/>
        </w:r>
        <w:r w:rsidR="00DC5F62">
          <w:rPr>
            <w:webHidden/>
          </w:rPr>
          <w:fldChar w:fldCharType="begin"/>
        </w:r>
        <w:r w:rsidR="00DC5F62">
          <w:rPr>
            <w:webHidden/>
          </w:rPr>
          <w:instrText xml:space="preserve"> PAGEREF _Toc462146087 \h </w:instrText>
        </w:r>
        <w:r w:rsidR="00DC5F62">
          <w:rPr>
            <w:webHidden/>
          </w:rPr>
        </w:r>
        <w:r w:rsidR="00DC5F62">
          <w:rPr>
            <w:webHidden/>
          </w:rPr>
          <w:fldChar w:fldCharType="separate"/>
        </w:r>
        <w:r w:rsidR="00417E1B">
          <w:rPr>
            <w:webHidden/>
          </w:rPr>
          <w:t>3</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088" w:history="1">
        <w:r w:rsidR="00DC5F62" w:rsidRPr="00BC29B5">
          <w:rPr>
            <w:rStyle w:val="Hyperlink"/>
          </w:rPr>
          <w:t>I. АНАЛИЗ НА ОСНОВНИТЕ МАКРОИКОНОМИЧЕСКИ ПОКАЗАТЕЛИ И ТЕНДЕНЦИИ В РАЗВИТИЕТО НА ВЪНШНАТА И ВЪТРЕШНАТА ИКОНОМИЧЕСКА СРЕДА ПРЕЗ 2015 г.</w:t>
        </w:r>
        <w:r w:rsidR="00DC5F62">
          <w:rPr>
            <w:webHidden/>
          </w:rPr>
          <w:tab/>
        </w:r>
        <w:r w:rsidR="00DC5F62">
          <w:rPr>
            <w:webHidden/>
          </w:rPr>
          <w:fldChar w:fldCharType="begin"/>
        </w:r>
        <w:r w:rsidR="00DC5F62">
          <w:rPr>
            <w:webHidden/>
          </w:rPr>
          <w:instrText xml:space="preserve"> PAGEREF _Toc462146088 \h </w:instrText>
        </w:r>
        <w:r w:rsidR="00DC5F62">
          <w:rPr>
            <w:webHidden/>
          </w:rPr>
        </w:r>
        <w:r w:rsidR="00DC5F62">
          <w:rPr>
            <w:webHidden/>
          </w:rPr>
          <w:fldChar w:fldCharType="separate"/>
        </w:r>
        <w:r w:rsidR="00417E1B">
          <w:rPr>
            <w:webHidden/>
          </w:rPr>
          <w:t>5</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089" w:history="1">
        <w:r w:rsidR="00DC5F62" w:rsidRPr="00BC29B5">
          <w:rPr>
            <w:rStyle w:val="Hyperlink"/>
          </w:rPr>
          <w:t>1.</w:t>
        </w:r>
        <w:r w:rsidR="00DC5F62">
          <w:rPr>
            <w:rFonts w:asciiTheme="minorHAnsi" w:eastAsiaTheme="minorEastAsia" w:hAnsiTheme="minorHAnsi" w:cstheme="minorBidi"/>
            <w:b w:val="0"/>
            <w:color w:val="auto"/>
            <w:sz w:val="22"/>
          </w:rPr>
          <w:tab/>
        </w:r>
        <w:r w:rsidR="00DC5F62" w:rsidRPr="00BC29B5">
          <w:rPr>
            <w:rStyle w:val="Hyperlink"/>
          </w:rPr>
          <w:t>Макроикономическо развитие в България през 2015 г.</w:t>
        </w:r>
        <w:r w:rsidR="00DC5F62">
          <w:rPr>
            <w:webHidden/>
          </w:rPr>
          <w:tab/>
        </w:r>
        <w:r w:rsidR="00DC5F62">
          <w:rPr>
            <w:webHidden/>
          </w:rPr>
          <w:fldChar w:fldCharType="begin"/>
        </w:r>
        <w:r w:rsidR="00DC5F62">
          <w:rPr>
            <w:webHidden/>
          </w:rPr>
          <w:instrText xml:space="preserve"> PAGEREF _Toc462146089 \h </w:instrText>
        </w:r>
        <w:r w:rsidR="00DC5F62">
          <w:rPr>
            <w:webHidden/>
          </w:rPr>
        </w:r>
        <w:r w:rsidR="00DC5F62">
          <w:rPr>
            <w:webHidden/>
          </w:rPr>
          <w:fldChar w:fldCharType="separate"/>
        </w:r>
        <w:r w:rsidR="00417E1B">
          <w:rPr>
            <w:webHidden/>
          </w:rPr>
          <w:t>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090" w:history="1">
        <w:r w:rsidR="00DC5F62" w:rsidRPr="00BC29B5">
          <w:rPr>
            <w:rStyle w:val="Hyperlink"/>
          </w:rPr>
          <w:t>1.1</w:t>
        </w:r>
        <w:r w:rsidR="00DC5F62">
          <w:rPr>
            <w:rFonts w:asciiTheme="minorHAnsi" w:eastAsiaTheme="minorEastAsia" w:hAnsiTheme="minorHAnsi" w:cstheme="minorBidi"/>
            <w:color w:val="auto"/>
            <w:sz w:val="22"/>
            <w:szCs w:val="22"/>
          </w:rPr>
          <w:tab/>
        </w:r>
        <w:r w:rsidR="00DC5F62" w:rsidRPr="00BC29B5">
          <w:rPr>
            <w:rStyle w:val="Hyperlink"/>
          </w:rPr>
          <w:t>Брутен вътрешен продукт</w:t>
        </w:r>
        <w:r w:rsidR="00DC5F62">
          <w:rPr>
            <w:webHidden/>
          </w:rPr>
          <w:tab/>
        </w:r>
        <w:r w:rsidR="00DC5F62">
          <w:rPr>
            <w:webHidden/>
          </w:rPr>
          <w:fldChar w:fldCharType="begin"/>
        </w:r>
        <w:r w:rsidR="00DC5F62">
          <w:rPr>
            <w:webHidden/>
          </w:rPr>
          <w:instrText xml:space="preserve"> PAGEREF _Toc462146090 \h </w:instrText>
        </w:r>
        <w:r w:rsidR="00DC5F62">
          <w:rPr>
            <w:webHidden/>
          </w:rPr>
        </w:r>
        <w:r w:rsidR="00DC5F62">
          <w:rPr>
            <w:webHidden/>
          </w:rPr>
          <w:fldChar w:fldCharType="separate"/>
        </w:r>
        <w:r w:rsidR="00417E1B">
          <w:rPr>
            <w:webHidden/>
          </w:rPr>
          <w:t>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091" w:history="1">
        <w:r w:rsidR="00DC5F62" w:rsidRPr="00BC29B5">
          <w:rPr>
            <w:rStyle w:val="Hyperlink"/>
          </w:rPr>
          <w:t>1.2</w:t>
        </w:r>
        <w:r w:rsidR="00DC5F62">
          <w:rPr>
            <w:rFonts w:asciiTheme="minorHAnsi" w:eastAsiaTheme="minorEastAsia" w:hAnsiTheme="minorHAnsi" w:cstheme="minorBidi"/>
            <w:color w:val="auto"/>
            <w:sz w:val="22"/>
            <w:szCs w:val="22"/>
          </w:rPr>
          <w:tab/>
        </w:r>
        <w:r w:rsidR="00DC5F62" w:rsidRPr="00BC29B5">
          <w:rPr>
            <w:rStyle w:val="Hyperlink"/>
          </w:rPr>
          <w:t>Инфлация</w:t>
        </w:r>
        <w:r w:rsidR="00DC5F62">
          <w:rPr>
            <w:webHidden/>
          </w:rPr>
          <w:tab/>
        </w:r>
        <w:r w:rsidR="00DC5F62">
          <w:rPr>
            <w:webHidden/>
          </w:rPr>
          <w:fldChar w:fldCharType="begin"/>
        </w:r>
        <w:r w:rsidR="00DC5F62">
          <w:rPr>
            <w:webHidden/>
          </w:rPr>
          <w:instrText xml:space="preserve"> PAGEREF _Toc462146091 \h </w:instrText>
        </w:r>
        <w:r w:rsidR="00DC5F62">
          <w:rPr>
            <w:webHidden/>
          </w:rPr>
        </w:r>
        <w:r w:rsidR="00DC5F62">
          <w:rPr>
            <w:webHidden/>
          </w:rPr>
          <w:fldChar w:fldCharType="separate"/>
        </w:r>
        <w:r w:rsidR="00417E1B">
          <w:rPr>
            <w:webHidden/>
          </w:rPr>
          <w:t>6</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092" w:history="1">
        <w:r w:rsidR="00DC5F62" w:rsidRPr="00BC29B5">
          <w:rPr>
            <w:rStyle w:val="Hyperlink"/>
          </w:rPr>
          <w:t>1.3</w:t>
        </w:r>
        <w:r w:rsidR="00DC5F62">
          <w:rPr>
            <w:rFonts w:asciiTheme="minorHAnsi" w:eastAsiaTheme="minorEastAsia" w:hAnsiTheme="minorHAnsi" w:cstheme="minorBidi"/>
            <w:color w:val="auto"/>
            <w:sz w:val="22"/>
            <w:szCs w:val="22"/>
          </w:rPr>
          <w:tab/>
        </w:r>
        <w:r w:rsidR="00DC5F62" w:rsidRPr="00BC29B5">
          <w:rPr>
            <w:rStyle w:val="Hyperlink"/>
          </w:rPr>
          <w:t>Пазар на труда и доходи</w:t>
        </w:r>
        <w:r w:rsidR="00DC5F62">
          <w:rPr>
            <w:webHidden/>
          </w:rPr>
          <w:tab/>
        </w:r>
        <w:r w:rsidR="00DC5F62">
          <w:rPr>
            <w:webHidden/>
          </w:rPr>
          <w:fldChar w:fldCharType="begin"/>
        </w:r>
        <w:r w:rsidR="00DC5F62">
          <w:rPr>
            <w:webHidden/>
          </w:rPr>
          <w:instrText xml:space="preserve"> PAGEREF _Toc462146092 \h </w:instrText>
        </w:r>
        <w:r w:rsidR="00DC5F62">
          <w:rPr>
            <w:webHidden/>
          </w:rPr>
        </w:r>
        <w:r w:rsidR="00DC5F62">
          <w:rPr>
            <w:webHidden/>
          </w:rPr>
          <w:fldChar w:fldCharType="separate"/>
        </w:r>
        <w:r w:rsidR="00417E1B">
          <w:rPr>
            <w:webHidden/>
          </w:rPr>
          <w:t>7</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093" w:history="1">
        <w:r w:rsidR="00DC5F62" w:rsidRPr="00BC29B5">
          <w:rPr>
            <w:rStyle w:val="Hyperlink"/>
          </w:rPr>
          <w:t>1.4</w:t>
        </w:r>
        <w:r w:rsidR="00DC5F62">
          <w:rPr>
            <w:rFonts w:asciiTheme="minorHAnsi" w:eastAsiaTheme="minorEastAsia" w:hAnsiTheme="minorHAnsi" w:cstheme="minorBidi"/>
            <w:color w:val="auto"/>
            <w:sz w:val="22"/>
            <w:szCs w:val="22"/>
          </w:rPr>
          <w:tab/>
        </w:r>
        <w:r w:rsidR="00DC5F62" w:rsidRPr="00BC29B5">
          <w:rPr>
            <w:rStyle w:val="Hyperlink"/>
          </w:rPr>
          <w:t>Платежен баланс</w:t>
        </w:r>
        <w:r w:rsidR="00DC5F62">
          <w:rPr>
            <w:webHidden/>
          </w:rPr>
          <w:tab/>
        </w:r>
        <w:r w:rsidR="00DC5F62">
          <w:rPr>
            <w:webHidden/>
          </w:rPr>
          <w:fldChar w:fldCharType="begin"/>
        </w:r>
        <w:r w:rsidR="00DC5F62">
          <w:rPr>
            <w:webHidden/>
          </w:rPr>
          <w:instrText xml:space="preserve"> PAGEREF _Toc462146093 \h </w:instrText>
        </w:r>
        <w:r w:rsidR="00DC5F62">
          <w:rPr>
            <w:webHidden/>
          </w:rPr>
        </w:r>
        <w:r w:rsidR="00DC5F62">
          <w:rPr>
            <w:webHidden/>
          </w:rPr>
          <w:fldChar w:fldCharType="separate"/>
        </w:r>
        <w:r w:rsidR="00417E1B">
          <w:rPr>
            <w:webHidden/>
          </w:rPr>
          <w:t>9</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094" w:history="1">
        <w:r w:rsidR="00DC5F62" w:rsidRPr="00BC29B5">
          <w:rPr>
            <w:rStyle w:val="Hyperlink"/>
          </w:rPr>
          <w:t>2.</w:t>
        </w:r>
        <w:r w:rsidR="00DC5F62">
          <w:rPr>
            <w:rFonts w:asciiTheme="minorHAnsi" w:eastAsiaTheme="minorEastAsia" w:hAnsiTheme="minorHAnsi" w:cstheme="minorBidi"/>
            <w:b w:val="0"/>
            <w:color w:val="auto"/>
            <w:sz w:val="22"/>
          </w:rPr>
          <w:tab/>
        </w:r>
        <w:r w:rsidR="00DC5F62" w:rsidRPr="00BC29B5">
          <w:rPr>
            <w:rStyle w:val="Hyperlink"/>
          </w:rPr>
          <w:t>Финансов сектор</w:t>
        </w:r>
        <w:r w:rsidR="00DC5F62">
          <w:rPr>
            <w:webHidden/>
          </w:rPr>
          <w:tab/>
        </w:r>
        <w:r w:rsidR="00DC5F62">
          <w:rPr>
            <w:webHidden/>
          </w:rPr>
          <w:fldChar w:fldCharType="begin"/>
        </w:r>
        <w:r w:rsidR="00DC5F62">
          <w:rPr>
            <w:webHidden/>
          </w:rPr>
          <w:instrText xml:space="preserve"> PAGEREF _Toc462146094 \h </w:instrText>
        </w:r>
        <w:r w:rsidR="00DC5F62">
          <w:rPr>
            <w:webHidden/>
          </w:rPr>
        </w:r>
        <w:r w:rsidR="00DC5F62">
          <w:rPr>
            <w:webHidden/>
          </w:rPr>
          <w:fldChar w:fldCharType="separate"/>
        </w:r>
        <w:r w:rsidR="00417E1B">
          <w:rPr>
            <w:webHidden/>
          </w:rPr>
          <w:t>10</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095" w:history="1">
        <w:r w:rsidR="00DC5F62" w:rsidRPr="00BC29B5">
          <w:rPr>
            <w:rStyle w:val="Hyperlink"/>
          </w:rPr>
          <w:t>3.</w:t>
        </w:r>
        <w:r w:rsidR="00DC5F62">
          <w:rPr>
            <w:rFonts w:asciiTheme="minorHAnsi" w:eastAsiaTheme="minorEastAsia" w:hAnsiTheme="minorHAnsi" w:cstheme="minorBidi"/>
            <w:b w:val="0"/>
            <w:color w:val="auto"/>
            <w:sz w:val="22"/>
          </w:rPr>
          <w:tab/>
        </w:r>
        <w:r w:rsidR="00DC5F62" w:rsidRPr="00BC29B5">
          <w:rPr>
            <w:rStyle w:val="Hyperlink"/>
          </w:rPr>
          <w:t>Съпоставка на отчетните данни с допусканията и параметрите, заложени в макроикономическата прогноза по Закона за държавния бюджет на Република България за 2015 г.</w:t>
        </w:r>
        <w:r w:rsidR="00DC5F62">
          <w:rPr>
            <w:webHidden/>
          </w:rPr>
          <w:tab/>
        </w:r>
        <w:r w:rsidR="00DC5F62">
          <w:rPr>
            <w:webHidden/>
          </w:rPr>
          <w:fldChar w:fldCharType="begin"/>
        </w:r>
        <w:r w:rsidR="00DC5F62">
          <w:rPr>
            <w:webHidden/>
          </w:rPr>
          <w:instrText xml:space="preserve"> PAGEREF _Toc462146095 \h </w:instrText>
        </w:r>
        <w:r w:rsidR="00DC5F62">
          <w:rPr>
            <w:webHidden/>
          </w:rPr>
        </w:r>
        <w:r w:rsidR="00DC5F62">
          <w:rPr>
            <w:webHidden/>
          </w:rPr>
          <w:fldChar w:fldCharType="separate"/>
        </w:r>
        <w:r w:rsidR="00417E1B">
          <w:rPr>
            <w:webHidden/>
          </w:rPr>
          <w:t>13</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096" w:history="1">
        <w:r w:rsidR="00DC5F62" w:rsidRPr="00BC29B5">
          <w:rPr>
            <w:rStyle w:val="Hyperlink"/>
          </w:rPr>
          <w:t>4.</w:t>
        </w:r>
        <w:r w:rsidR="00DC5F62">
          <w:rPr>
            <w:rFonts w:asciiTheme="minorHAnsi" w:eastAsiaTheme="minorEastAsia" w:hAnsiTheme="minorHAnsi" w:cstheme="minorBidi"/>
            <w:b w:val="0"/>
            <w:color w:val="auto"/>
            <w:sz w:val="22"/>
          </w:rPr>
          <w:tab/>
        </w:r>
        <w:r w:rsidR="00DC5F62" w:rsidRPr="00BC29B5">
          <w:rPr>
            <w:rStyle w:val="Hyperlink"/>
          </w:rPr>
          <w:t>Въздействие на политиката по доходите и разходните политики на правителството върху развитието на националната икономика</w:t>
        </w:r>
        <w:r w:rsidR="00DC5F62">
          <w:rPr>
            <w:webHidden/>
          </w:rPr>
          <w:tab/>
        </w:r>
        <w:r w:rsidR="00DC5F62">
          <w:rPr>
            <w:webHidden/>
          </w:rPr>
          <w:fldChar w:fldCharType="begin"/>
        </w:r>
        <w:r w:rsidR="00DC5F62">
          <w:rPr>
            <w:webHidden/>
          </w:rPr>
          <w:instrText xml:space="preserve"> PAGEREF _Toc462146096 \h </w:instrText>
        </w:r>
        <w:r w:rsidR="00DC5F62">
          <w:rPr>
            <w:webHidden/>
          </w:rPr>
        </w:r>
        <w:r w:rsidR="00DC5F62">
          <w:rPr>
            <w:webHidden/>
          </w:rPr>
          <w:fldChar w:fldCharType="separate"/>
        </w:r>
        <w:r w:rsidR="00417E1B">
          <w:rPr>
            <w:webHidden/>
          </w:rPr>
          <w:t>14</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097" w:history="1">
        <w:r w:rsidR="00DC5F62" w:rsidRPr="00BC29B5">
          <w:rPr>
            <w:rStyle w:val="Hyperlink"/>
          </w:rPr>
          <w:t>5.</w:t>
        </w:r>
        <w:r w:rsidR="00DC5F62">
          <w:rPr>
            <w:rFonts w:asciiTheme="minorHAnsi" w:eastAsiaTheme="minorEastAsia" w:hAnsiTheme="minorHAnsi" w:cstheme="minorBidi"/>
            <w:b w:val="0"/>
            <w:color w:val="auto"/>
            <w:sz w:val="22"/>
          </w:rPr>
          <w:tab/>
        </w:r>
        <w:r w:rsidR="00DC5F62" w:rsidRPr="00BC29B5">
          <w:rPr>
            <w:rStyle w:val="Hyperlink"/>
          </w:rPr>
          <w:t>Макроикономически ефект от усвояването на средствата по Оперативните програми на ЕС</w:t>
        </w:r>
        <w:r w:rsidR="00DC5F62">
          <w:rPr>
            <w:webHidden/>
          </w:rPr>
          <w:tab/>
        </w:r>
        <w:r w:rsidR="00DC5F62">
          <w:rPr>
            <w:webHidden/>
          </w:rPr>
          <w:fldChar w:fldCharType="begin"/>
        </w:r>
        <w:r w:rsidR="00DC5F62">
          <w:rPr>
            <w:webHidden/>
          </w:rPr>
          <w:instrText xml:space="preserve"> PAGEREF _Toc462146097 \h </w:instrText>
        </w:r>
        <w:r w:rsidR="00DC5F62">
          <w:rPr>
            <w:webHidden/>
          </w:rPr>
        </w:r>
        <w:r w:rsidR="00DC5F62">
          <w:rPr>
            <w:webHidden/>
          </w:rPr>
          <w:fldChar w:fldCharType="separate"/>
        </w:r>
        <w:r w:rsidR="00417E1B">
          <w:rPr>
            <w:webHidden/>
          </w:rPr>
          <w:t>15</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098" w:history="1">
        <w:r w:rsidR="00DC5F62" w:rsidRPr="00BC29B5">
          <w:rPr>
            <w:rStyle w:val="Hyperlink"/>
          </w:rPr>
          <w:t>ІІ. ФИСКАЛНА ПОЛИТИКА</w:t>
        </w:r>
        <w:r w:rsidR="00DC5F62">
          <w:rPr>
            <w:webHidden/>
          </w:rPr>
          <w:tab/>
        </w:r>
        <w:r w:rsidR="00DC5F62">
          <w:rPr>
            <w:webHidden/>
          </w:rPr>
          <w:fldChar w:fldCharType="begin"/>
        </w:r>
        <w:r w:rsidR="00DC5F62">
          <w:rPr>
            <w:webHidden/>
          </w:rPr>
          <w:instrText xml:space="preserve"> PAGEREF _Toc462146098 \h </w:instrText>
        </w:r>
        <w:r w:rsidR="00DC5F62">
          <w:rPr>
            <w:webHidden/>
          </w:rPr>
        </w:r>
        <w:r w:rsidR="00DC5F62">
          <w:rPr>
            <w:webHidden/>
          </w:rPr>
          <w:fldChar w:fldCharType="separate"/>
        </w:r>
        <w:r w:rsidR="00417E1B">
          <w:rPr>
            <w:webHidden/>
          </w:rPr>
          <w:t>18</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099" w:history="1">
        <w:r w:rsidR="00DC5F62" w:rsidRPr="00BC29B5">
          <w:rPr>
            <w:rStyle w:val="Hyperlink"/>
            <w:bCs/>
            <w:lang w:eastAsia="en-US"/>
          </w:rPr>
          <w:t>1.</w:t>
        </w:r>
        <w:r w:rsidR="00DC5F62">
          <w:rPr>
            <w:rFonts w:asciiTheme="minorHAnsi" w:eastAsiaTheme="minorEastAsia" w:hAnsiTheme="minorHAnsi" w:cstheme="minorBidi"/>
            <w:b w:val="0"/>
            <w:color w:val="auto"/>
            <w:sz w:val="22"/>
          </w:rPr>
          <w:tab/>
        </w:r>
        <w:r w:rsidR="00DC5F62" w:rsidRPr="00BC29B5">
          <w:rPr>
            <w:rStyle w:val="Hyperlink"/>
            <w:bCs/>
            <w:lang w:eastAsia="en-US"/>
          </w:rPr>
          <w:t>Основни акценти по отношение на бюджетното изпълнение през 201</w:t>
        </w:r>
        <w:r w:rsidR="00DC5F62" w:rsidRPr="00BC29B5">
          <w:rPr>
            <w:rStyle w:val="Hyperlink"/>
            <w:bCs/>
            <w:lang w:val="en-US" w:eastAsia="en-US"/>
          </w:rPr>
          <w:t>5</w:t>
        </w:r>
        <w:r w:rsidR="00DC5F62" w:rsidRPr="00BC29B5">
          <w:rPr>
            <w:rStyle w:val="Hyperlink"/>
            <w:bCs/>
            <w:lang w:eastAsia="en-US"/>
          </w:rPr>
          <w:t xml:space="preserve"> г.</w:t>
        </w:r>
        <w:r w:rsidR="00DC5F62">
          <w:rPr>
            <w:webHidden/>
          </w:rPr>
          <w:tab/>
        </w:r>
        <w:r w:rsidR="00DC5F62">
          <w:rPr>
            <w:webHidden/>
          </w:rPr>
          <w:fldChar w:fldCharType="begin"/>
        </w:r>
        <w:r w:rsidR="00DC5F62">
          <w:rPr>
            <w:webHidden/>
          </w:rPr>
          <w:instrText xml:space="preserve"> PAGEREF _Toc462146099 \h </w:instrText>
        </w:r>
        <w:r w:rsidR="00DC5F62">
          <w:rPr>
            <w:webHidden/>
          </w:rPr>
        </w:r>
        <w:r w:rsidR="00DC5F62">
          <w:rPr>
            <w:webHidden/>
          </w:rPr>
          <w:fldChar w:fldCharType="separate"/>
        </w:r>
        <w:r w:rsidR="00417E1B">
          <w:rPr>
            <w:webHidden/>
          </w:rPr>
          <w:t>18</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00" w:history="1">
        <w:r w:rsidR="00DC5F62" w:rsidRPr="00BC29B5">
          <w:rPr>
            <w:rStyle w:val="Hyperlink"/>
          </w:rPr>
          <w:t>1.1</w:t>
        </w:r>
        <w:r w:rsidR="00DC5F62">
          <w:rPr>
            <w:rFonts w:asciiTheme="minorHAnsi" w:eastAsiaTheme="minorEastAsia" w:hAnsiTheme="minorHAnsi" w:cstheme="minorBidi"/>
            <w:color w:val="auto"/>
            <w:sz w:val="22"/>
            <w:szCs w:val="22"/>
          </w:rPr>
          <w:tab/>
        </w:r>
        <w:r w:rsidR="00DC5F62" w:rsidRPr="00BC29B5">
          <w:rPr>
            <w:rStyle w:val="Hyperlink"/>
          </w:rPr>
          <w:t>Промени в данъчното облагане през 2015 г.</w:t>
        </w:r>
        <w:r w:rsidR="00DC5F62">
          <w:rPr>
            <w:webHidden/>
          </w:rPr>
          <w:tab/>
        </w:r>
        <w:r w:rsidR="00DC5F62">
          <w:rPr>
            <w:webHidden/>
          </w:rPr>
          <w:fldChar w:fldCharType="begin"/>
        </w:r>
        <w:r w:rsidR="00DC5F62">
          <w:rPr>
            <w:webHidden/>
          </w:rPr>
          <w:instrText xml:space="preserve"> PAGEREF _Toc462146100 \h </w:instrText>
        </w:r>
        <w:r w:rsidR="00DC5F62">
          <w:rPr>
            <w:webHidden/>
          </w:rPr>
        </w:r>
        <w:r w:rsidR="00DC5F62">
          <w:rPr>
            <w:webHidden/>
          </w:rPr>
          <w:fldChar w:fldCharType="separate"/>
        </w:r>
        <w:r w:rsidR="00417E1B">
          <w:rPr>
            <w:webHidden/>
          </w:rPr>
          <w:t>24</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01" w:history="1">
        <w:r w:rsidR="00DC5F62" w:rsidRPr="00BC29B5">
          <w:rPr>
            <w:rStyle w:val="Hyperlink"/>
          </w:rPr>
          <w:t>1.2</w:t>
        </w:r>
        <w:r w:rsidR="00DC5F62">
          <w:rPr>
            <w:rFonts w:asciiTheme="minorHAnsi" w:eastAsiaTheme="minorEastAsia" w:hAnsiTheme="minorHAnsi" w:cstheme="minorBidi"/>
            <w:color w:val="auto"/>
            <w:sz w:val="22"/>
            <w:szCs w:val="22"/>
          </w:rPr>
          <w:tab/>
        </w:r>
        <w:r w:rsidR="00DC5F62" w:rsidRPr="00BC29B5">
          <w:rPr>
            <w:rStyle w:val="Hyperlink"/>
          </w:rPr>
          <w:t>Инвестиционна политика</w:t>
        </w:r>
        <w:r w:rsidR="00DC5F62">
          <w:rPr>
            <w:webHidden/>
          </w:rPr>
          <w:tab/>
        </w:r>
        <w:r w:rsidR="00DC5F62">
          <w:rPr>
            <w:webHidden/>
          </w:rPr>
          <w:fldChar w:fldCharType="begin"/>
        </w:r>
        <w:r w:rsidR="00DC5F62">
          <w:rPr>
            <w:webHidden/>
          </w:rPr>
          <w:instrText xml:space="preserve"> PAGEREF _Toc462146101 \h </w:instrText>
        </w:r>
        <w:r w:rsidR="00DC5F62">
          <w:rPr>
            <w:webHidden/>
          </w:rPr>
        </w:r>
        <w:r w:rsidR="00DC5F62">
          <w:rPr>
            <w:webHidden/>
          </w:rPr>
          <w:fldChar w:fldCharType="separate"/>
        </w:r>
        <w:r w:rsidR="00417E1B">
          <w:rPr>
            <w:webHidden/>
          </w:rPr>
          <w:t>31</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102" w:history="1">
        <w:r w:rsidR="00DC5F62" w:rsidRPr="00BC29B5">
          <w:rPr>
            <w:rStyle w:val="Hyperlink"/>
          </w:rPr>
          <w:t>2.</w:t>
        </w:r>
        <w:r w:rsidR="00DC5F62">
          <w:rPr>
            <w:rFonts w:asciiTheme="minorHAnsi" w:eastAsiaTheme="minorEastAsia" w:hAnsiTheme="minorHAnsi" w:cstheme="minorBidi"/>
            <w:b w:val="0"/>
            <w:color w:val="auto"/>
            <w:sz w:val="22"/>
          </w:rPr>
          <w:tab/>
        </w:r>
        <w:r w:rsidR="00DC5F62" w:rsidRPr="00BC29B5">
          <w:rPr>
            <w:rStyle w:val="Hyperlink"/>
          </w:rPr>
          <w:t>Основни параметри на консолидираната фискална програма за 2015 г.</w:t>
        </w:r>
        <w:r w:rsidR="00DC5F62">
          <w:rPr>
            <w:webHidden/>
          </w:rPr>
          <w:tab/>
        </w:r>
        <w:r w:rsidR="00DC5F62">
          <w:rPr>
            <w:webHidden/>
          </w:rPr>
          <w:fldChar w:fldCharType="begin"/>
        </w:r>
        <w:r w:rsidR="00DC5F62">
          <w:rPr>
            <w:webHidden/>
          </w:rPr>
          <w:instrText xml:space="preserve"> PAGEREF _Toc462146102 \h </w:instrText>
        </w:r>
        <w:r w:rsidR="00DC5F62">
          <w:rPr>
            <w:webHidden/>
          </w:rPr>
        </w:r>
        <w:r w:rsidR="00DC5F62">
          <w:rPr>
            <w:webHidden/>
          </w:rPr>
          <w:fldChar w:fldCharType="separate"/>
        </w:r>
        <w:r w:rsidR="00417E1B">
          <w:rPr>
            <w:webHidden/>
          </w:rPr>
          <w:t>35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03" w:history="1">
        <w:r w:rsidR="00DC5F62" w:rsidRPr="00BC29B5">
          <w:rPr>
            <w:rStyle w:val="Hyperlink"/>
          </w:rPr>
          <w:t>2.1</w:t>
        </w:r>
        <w:r w:rsidR="00DC5F62">
          <w:rPr>
            <w:rFonts w:asciiTheme="minorHAnsi" w:eastAsiaTheme="minorEastAsia" w:hAnsiTheme="minorHAnsi" w:cstheme="minorBidi"/>
            <w:color w:val="auto"/>
            <w:sz w:val="22"/>
            <w:szCs w:val="22"/>
          </w:rPr>
          <w:tab/>
        </w:r>
        <w:r w:rsidR="00DC5F62" w:rsidRPr="00BC29B5">
          <w:rPr>
            <w:rStyle w:val="Hyperlink"/>
          </w:rPr>
          <w:t>Мерки на НАП и АМ за повишаване на събираемостта на приходите</w:t>
        </w:r>
        <w:r w:rsidR="00DC5F62">
          <w:rPr>
            <w:webHidden/>
          </w:rPr>
          <w:tab/>
        </w:r>
        <w:r w:rsidR="00DC5F62">
          <w:rPr>
            <w:webHidden/>
          </w:rPr>
          <w:fldChar w:fldCharType="begin"/>
        </w:r>
        <w:r w:rsidR="00DC5F62">
          <w:rPr>
            <w:webHidden/>
          </w:rPr>
          <w:instrText xml:space="preserve"> PAGEREF _Toc462146103 \h </w:instrText>
        </w:r>
        <w:r w:rsidR="00DC5F62">
          <w:rPr>
            <w:webHidden/>
          </w:rPr>
        </w:r>
        <w:r w:rsidR="00DC5F62">
          <w:rPr>
            <w:webHidden/>
          </w:rPr>
          <w:fldChar w:fldCharType="separate"/>
        </w:r>
        <w:r w:rsidR="00417E1B">
          <w:rPr>
            <w:webHidden/>
          </w:rPr>
          <w:t>40</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04" w:history="1">
        <w:r w:rsidR="00DC5F62" w:rsidRPr="00BC29B5">
          <w:rPr>
            <w:rStyle w:val="Hyperlink"/>
          </w:rPr>
          <w:t>2.2</w:t>
        </w:r>
        <w:r w:rsidR="00DC5F62">
          <w:rPr>
            <w:rFonts w:asciiTheme="minorHAnsi" w:eastAsiaTheme="minorEastAsia" w:hAnsiTheme="minorHAnsi" w:cstheme="minorBidi"/>
            <w:color w:val="auto"/>
            <w:sz w:val="22"/>
            <w:szCs w:val="22"/>
          </w:rPr>
          <w:tab/>
        </w:r>
        <w:r w:rsidR="00DC5F62" w:rsidRPr="00BC29B5">
          <w:rPr>
            <w:rStyle w:val="Hyperlink"/>
          </w:rPr>
          <w:t>Изпълнение на приходите по консолидираната фискална програма</w:t>
        </w:r>
        <w:r w:rsidR="00DC5F62">
          <w:rPr>
            <w:webHidden/>
          </w:rPr>
          <w:tab/>
        </w:r>
        <w:r w:rsidR="00DC5F62">
          <w:rPr>
            <w:webHidden/>
          </w:rPr>
          <w:fldChar w:fldCharType="begin"/>
        </w:r>
        <w:r w:rsidR="00DC5F62">
          <w:rPr>
            <w:webHidden/>
          </w:rPr>
          <w:instrText xml:space="preserve"> PAGEREF _Toc462146104 \h </w:instrText>
        </w:r>
        <w:r w:rsidR="00DC5F62">
          <w:rPr>
            <w:webHidden/>
          </w:rPr>
        </w:r>
        <w:r w:rsidR="00DC5F62">
          <w:rPr>
            <w:webHidden/>
          </w:rPr>
          <w:fldChar w:fldCharType="separate"/>
        </w:r>
        <w:r w:rsidR="00417E1B">
          <w:rPr>
            <w:webHidden/>
          </w:rPr>
          <w:t>61</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05" w:history="1">
        <w:r w:rsidR="00DC5F62" w:rsidRPr="00BC29B5">
          <w:rPr>
            <w:rStyle w:val="Hyperlink"/>
          </w:rPr>
          <w:t>2.2.1</w:t>
        </w:r>
        <w:r w:rsidR="00DC5F62">
          <w:rPr>
            <w:rFonts w:asciiTheme="minorHAnsi" w:eastAsiaTheme="minorEastAsia" w:hAnsiTheme="minorHAnsi" w:cstheme="minorBidi"/>
            <w:color w:val="auto"/>
            <w:sz w:val="22"/>
            <w:szCs w:val="22"/>
          </w:rPr>
          <w:tab/>
        </w:r>
        <w:r w:rsidR="00DC5F62" w:rsidRPr="00BC29B5">
          <w:rPr>
            <w:rStyle w:val="Hyperlink"/>
          </w:rPr>
          <w:t>Корпоративни данъци</w:t>
        </w:r>
        <w:r w:rsidR="00DC5F62">
          <w:rPr>
            <w:webHidden/>
          </w:rPr>
          <w:tab/>
        </w:r>
        <w:r w:rsidR="00DC5F62">
          <w:rPr>
            <w:webHidden/>
          </w:rPr>
          <w:fldChar w:fldCharType="begin"/>
        </w:r>
        <w:r w:rsidR="00DC5F62">
          <w:rPr>
            <w:webHidden/>
          </w:rPr>
          <w:instrText xml:space="preserve"> PAGEREF _Toc462146105 \h </w:instrText>
        </w:r>
        <w:r w:rsidR="00DC5F62">
          <w:rPr>
            <w:webHidden/>
          </w:rPr>
        </w:r>
        <w:r w:rsidR="00DC5F62">
          <w:rPr>
            <w:webHidden/>
          </w:rPr>
          <w:fldChar w:fldCharType="separate"/>
        </w:r>
        <w:r w:rsidR="00417E1B">
          <w:rPr>
            <w:webHidden/>
          </w:rPr>
          <w:t>62</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06" w:history="1">
        <w:r w:rsidR="00DC5F62" w:rsidRPr="00BC29B5">
          <w:rPr>
            <w:rStyle w:val="Hyperlink"/>
          </w:rPr>
          <w:t>2.2.2</w:t>
        </w:r>
        <w:r w:rsidR="00DC5F62">
          <w:rPr>
            <w:rFonts w:asciiTheme="minorHAnsi" w:eastAsiaTheme="minorEastAsia" w:hAnsiTheme="minorHAnsi" w:cstheme="minorBidi"/>
            <w:color w:val="auto"/>
            <w:sz w:val="22"/>
            <w:szCs w:val="22"/>
          </w:rPr>
          <w:tab/>
        </w:r>
        <w:r w:rsidR="00DC5F62" w:rsidRPr="00BC29B5">
          <w:rPr>
            <w:rStyle w:val="Hyperlink"/>
          </w:rPr>
          <w:t>Данък върху доходите на физическите лица</w:t>
        </w:r>
        <w:r w:rsidR="00DC5F62">
          <w:rPr>
            <w:webHidden/>
          </w:rPr>
          <w:tab/>
        </w:r>
        <w:r w:rsidR="00DC5F62">
          <w:rPr>
            <w:webHidden/>
          </w:rPr>
          <w:fldChar w:fldCharType="begin"/>
        </w:r>
        <w:r w:rsidR="00DC5F62">
          <w:rPr>
            <w:webHidden/>
          </w:rPr>
          <w:instrText xml:space="preserve"> PAGEREF _Toc462146106 \h </w:instrText>
        </w:r>
        <w:r w:rsidR="00DC5F62">
          <w:rPr>
            <w:webHidden/>
          </w:rPr>
        </w:r>
        <w:r w:rsidR="00DC5F62">
          <w:rPr>
            <w:webHidden/>
          </w:rPr>
          <w:fldChar w:fldCharType="separate"/>
        </w:r>
        <w:r w:rsidR="00417E1B">
          <w:rPr>
            <w:webHidden/>
          </w:rPr>
          <w:t>65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07" w:history="1">
        <w:r w:rsidR="00DC5F62" w:rsidRPr="00BC29B5">
          <w:rPr>
            <w:rStyle w:val="Hyperlink"/>
          </w:rPr>
          <w:t>2.2.3</w:t>
        </w:r>
        <w:r w:rsidR="00DC5F62">
          <w:rPr>
            <w:rFonts w:asciiTheme="minorHAnsi" w:eastAsiaTheme="minorEastAsia" w:hAnsiTheme="minorHAnsi" w:cstheme="minorBidi"/>
            <w:color w:val="auto"/>
            <w:sz w:val="22"/>
            <w:szCs w:val="22"/>
          </w:rPr>
          <w:tab/>
        </w:r>
        <w:r w:rsidR="00DC5F62" w:rsidRPr="00BC29B5">
          <w:rPr>
            <w:rStyle w:val="Hyperlink"/>
          </w:rPr>
          <w:t>Приходи от осигурителни вноски</w:t>
        </w:r>
        <w:r w:rsidR="00DC5F62">
          <w:rPr>
            <w:webHidden/>
          </w:rPr>
          <w:tab/>
        </w:r>
        <w:r w:rsidR="00DC5F62">
          <w:rPr>
            <w:webHidden/>
          </w:rPr>
          <w:fldChar w:fldCharType="begin"/>
        </w:r>
        <w:r w:rsidR="00DC5F62">
          <w:rPr>
            <w:webHidden/>
          </w:rPr>
          <w:instrText xml:space="preserve"> PAGEREF _Toc462146107 \h </w:instrText>
        </w:r>
        <w:r w:rsidR="00DC5F62">
          <w:rPr>
            <w:webHidden/>
          </w:rPr>
        </w:r>
        <w:r w:rsidR="00DC5F62">
          <w:rPr>
            <w:webHidden/>
          </w:rPr>
          <w:fldChar w:fldCharType="separate"/>
        </w:r>
        <w:r w:rsidR="00417E1B">
          <w:rPr>
            <w:webHidden/>
          </w:rPr>
          <w:t>66</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08" w:history="1">
        <w:r w:rsidR="00DC5F62" w:rsidRPr="00BC29B5">
          <w:rPr>
            <w:rStyle w:val="Hyperlink"/>
          </w:rPr>
          <w:t>2.2.4</w:t>
        </w:r>
        <w:r w:rsidR="00DC5F62">
          <w:rPr>
            <w:rFonts w:asciiTheme="minorHAnsi" w:eastAsiaTheme="minorEastAsia" w:hAnsiTheme="minorHAnsi" w:cstheme="minorBidi"/>
            <w:color w:val="auto"/>
            <w:sz w:val="22"/>
            <w:szCs w:val="22"/>
          </w:rPr>
          <w:tab/>
        </w:r>
        <w:r w:rsidR="00DC5F62" w:rsidRPr="00BC29B5">
          <w:rPr>
            <w:rStyle w:val="Hyperlink"/>
          </w:rPr>
          <w:t>Данък върху добавената стойност</w:t>
        </w:r>
        <w:r w:rsidR="00DC5F62">
          <w:rPr>
            <w:webHidden/>
          </w:rPr>
          <w:tab/>
        </w:r>
        <w:r w:rsidR="00DC5F62">
          <w:rPr>
            <w:webHidden/>
          </w:rPr>
          <w:fldChar w:fldCharType="begin"/>
        </w:r>
        <w:r w:rsidR="00DC5F62">
          <w:rPr>
            <w:webHidden/>
          </w:rPr>
          <w:instrText xml:space="preserve"> PAGEREF _Toc462146108 \h </w:instrText>
        </w:r>
        <w:r w:rsidR="00DC5F62">
          <w:rPr>
            <w:webHidden/>
          </w:rPr>
        </w:r>
        <w:r w:rsidR="00DC5F62">
          <w:rPr>
            <w:webHidden/>
          </w:rPr>
          <w:fldChar w:fldCharType="separate"/>
        </w:r>
        <w:r w:rsidR="00417E1B">
          <w:rPr>
            <w:webHidden/>
          </w:rPr>
          <w:t>67</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09" w:history="1">
        <w:r w:rsidR="00DC5F62" w:rsidRPr="00BC29B5">
          <w:rPr>
            <w:rStyle w:val="Hyperlink"/>
            <w:lang w:val="en-US"/>
          </w:rPr>
          <w:t>2.2.5</w:t>
        </w:r>
        <w:r w:rsidR="00DC5F62">
          <w:rPr>
            <w:rFonts w:asciiTheme="minorHAnsi" w:eastAsiaTheme="minorEastAsia" w:hAnsiTheme="minorHAnsi" w:cstheme="minorBidi"/>
            <w:color w:val="auto"/>
            <w:sz w:val="22"/>
            <w:szCs w:val="22"/>
          </w:rPr>
          <w:tab/>
        </w:r>
        <w:r w:rsidR="00DC5F62" w:rsidRPr="00BC29B5">
          <w:rPr>
            <w:rStyle w:val="Hyperlink"/>
          </w:rPr>
          <w:t>Акцизи</w:t>
        </w:r>
        <w:r w:rsidR="00DC5F62">
          <w:rPr>
            <w:webHidden/>
          </w:rPr>
          <w:tab/>
        </w:r>
        <w:r w:rsidR="00DC5F62">
          <w:rPr>
            <w:webHidden/>
          </w:rPr>
          <w:fldChar w:fldCharType="begin"/>
        </w:r>
        <w:r w:rsidR="00DC5F62">
          <w:rPr>
            <w:webHidden/>
          </w:rPr>
          <w:instrText xml:space="preserve"> PAGEREF _Toc462146109 \h </w:instrText>
        </w:r>
        <w:r w:rsidR="00DC5F62">
          <w:rPr>
            <w:webHidden/>
          </w:rPr>
        </w:r>
        <w:r w:rsidR="00DC5F62">
          <w:rPr>
            <w:webHidden/>
          </w:rPr>
          <w:fldChar w:fldCharType="separate"/>
        </w:r>
        <w:r w:rsidR="00417E1B">
          <w:rPr>
            <w:webHidden/>
          </w:rPr>
          <w:t>70</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0" w:history="1">
        <w:r w:rsidR="00DC5F62" w:rsidRPr="00BC29B5">
          <w:rPr>
            <w:rStyle w:val="Hyperlink"/>
          </w:rPr>
          <w:t>2.2.6</w:t>
        </w:r>
        <w:r w:rsidR="00DC5F62">
          <w:rPr>
            <w:rFonts w:asciiTheme="minorHAnsi" w:eastAsiaTheme="minorEastAsia" w:hAnsiTheme="minorHAnsi" w:cstheme="minorBidi"/>
            <w:color w:val="auto"/>
            <w:sz w:val="22"/>
            <w:szCs w:val="22"/>
          </w:rPr>
          <w:tab/>
        </w:r>
        <w:r w:rsidR="00DC5F62" w:rsidRPr="00BC29B5">
          <w:rPr>
            <w:rStyle w:val="Hyperlink"/>
          </w:rPr>
          <w:t>Мита</w:t>
        </w:r>
        <w:r w:rsidR="00DC5F62">
          <w:rPr>
            <w:webHidden/>
          </w:rPr>
          <w:tab/>
        </w:r>
        <w:r w:rsidR="00DC5F62">
          <w:rPr>
            <w:webHidden/>
          </w:rPr>
          <w:fldChar w:fldCharType="begin"/>
        </w:r>
        <w:r w:rsidR="00DC5F62">
          <w:rPr>
            <w:webHidden/>
          </w:rPr>
          <w:instrText xml:space="preserve"> PAGEREF _Toc462146110 \h </w:instrText>
        </w:r>
        <w:r w:rsidR="00DC5F62">
          <w:rPr>
            <w:webHidden/>
          </w:rPr>
        </w:r>
        <w:r w:rsidR="00DC5F62">
          <w:rPr>
            <w:webHidden/>
          </w:rPr>
          <w:fldChar w:fldCharType="separate"/>
        </w:r>
        <w:r w:rsidR="00417E1B">
          <w:rPr>
            <w:webHidden/>
          </w:rPr>
          <w:t>71</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1" w:history="1">
        <w:r w:rsidR="00DC5F62" w:rsidRPr="00BC29B5">
          <w:rPr>
            <w:rStyle w:val="Hyperlink"/>
          </w:rPr>
          <w:t>2.2.7</w:t>
        </w:r>
        <w:r w:rsidR="00DC5F62">
          <w:rPr>
            <w:rFonts w:asciiTheme="minorHAnsi" w:eastAsiaTheme="minorEastAsia" w:hAnsiTheme="minorHAnsi" w:cstheme="minorBidi"/>
            <w:color w:val="auto"/>
            <w:sz w:val="22"/>
            <w:szCs w:val="22"/>
          </w:rPr>
          <w:tab/>
        </w:r>
        <w:r w:rsidR="00DC5F62" w:rsidRPr="00BC29B5">
          <w:rPr>
            <w:rStyle w:val="Hyperlink"/>
          </w:rPr>
          <w:t>Данък върху застрахователните премии</w:t>
        </w:r>
        <w:r w:rsidR="00DC5F62">
          <w:rPr>
            <w:webHidden/>
          </w:rPr>
          <w:tab/>
        </w:r>
        <w:r w:rsidR="00DC5F62">
          <w:rPr>
            <w:webHidden/>
          </w:rPr>
          <w:fldChar w:fldCharType="begin"/>
        </w:r>
        <w:r w:rsidR="00DC5F62">
          <w:rPr>
            <w:webHidden/>
          </w:rPr>
          <w:instrText xml:space="preserve"> PAGEREF _Toc462146111 \h </w:instrText>
        </w:r>
        <w:r w:rsidR="00DC5F62">
          <w:rPr>
            <w:webHidden/>
          </w:rPr>
        </w:r>
        <w:r w:rsidR="00DC5F62">
          <w:rPr>
            <w:webHidden/>
          </w:rPr>
          <w:fldChar w:fldCharType="separate"/>
        </w:r>
        <w:r w:rsidR="00417E1B">
          <w:rPr>
            <w:webHidden/>
          </w:rPr>
          <w:t>72</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2" w:history="1">
        <w:r w:rsidR="00DC5F62" w:rsidRPr="00BC29B5">
          <w:rPr>
            <w:rStyle w:val="Hyperlink"/>
          </w:rPr>
          <w:t>2.2.8</w:t>
        </w:r>
        <w:r w:rsidR="00DC5F62">
          <w:rPr>
            <w:rFonts w:asciiTheme="minorHAnsi" w:eastAsiaTheme="minorEastAsia" w:hAnsiTheme="minorHAnsi" w:cstheme="minorBidi"/>
            <w:color w:val="auto"/>
            <w:sz w:val="22"/>
            <w:szCs w:val="22"/>
          </w:rPr>
          <w:tab/>
        </w:r>
        <w:r w:rsidR="00DC5F62" w:rsidRPr="00BC29B5">
          <w:rPr>
            <w:rStyle w:val="Hyperlink"/>
          </w:rPr>
          <w:t>Други данъци</w:t>
        </w:r>
        <w:r w:rsidR="00DC5F62">
          <w:rPr>
            <w:webHidden/>
          </w:rPr>
          <w:tab/>
        </w:r>
        <w:r w:rsidR="00DC5F62">
          <w:rPr>
            <w:webHidden/>
          </w:rPr>
          <w:fldChar w:fldCharType="begin"/>
        </w:r>
        <w:r w:rsidR="00DC5F62">
          <w:rPr>
            <w:webHidden/>
          </w:rPr>
          <w:instrText xml:space="preserve"> PAGEREF _Toc462146112 \h </w:instrText>
        </w:r>
        <w:r w:rsidR="00DC5F62">
          <w:rPr>
            <w:webHidden/>
          </w:rPr>
        </w:r>
        <w:r w:rsidR="00DC5F62">
          <w:rPr>
            <w:webHidden/>
          </w:rPr>
          <w:fldChar w:fldCharType="separate"/>
        </w:r>
        <w:r w:rsidR="00417E1B">
          <w:rPr>
            <w:webHidden/>
          </w:rPr>
          <w:t>72</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3" w:history="1">
        <w:r w:rsidR="00DC5F62" w:rsidRPr="00BC29B5">
          <w:rPr>
            <w:rStyle w:val="Hyperlink"/>
          </w:rPr>
          <w:t>2.2.9</w:t>
        </w:r>
        <w:r w:rsidR="00DC5F62">
          <w:rPr>
            <w:rFonts w:asciiTheme="minorHAnsi" w:eastAsiaTheme="minorEastAsia" w:hAnsiTheme="minorHAnsi" w:cstheme="minorBidi"/>
            <w:color w:val="auto"/>
            <w:sz w:val="22"/>
            <w:szCs w:val="22"/>
          </w:rPr>
          <w:tab/>
        </w:r>
        <w:r w:rsidR="00DC5F62" w:rsidRPr="00BC29B5">
          <w:rPr>
            <w:rStyle w:val="Hyperlink"/>
          </w:rPr>
          <w:t>Неданъчни приходи</w:t>
        </w:r>
        <w:r w:rsidR="00DC5F62">
          <w:rPr>
            <w:webHidden/>
          </w:rPr>
          <w:tab/>
        </w:r>
        <w:r w:rsidR="00DC5F62">
          <w:rPr>
            <w:webHidden/>
          </w:rPr>
          <w:fldChar w:fldCharType="begin"/>
        </w:r>
        <w:r w:rsidR="00DC5F62">
          <w:rPr>
            <w:webHidden/>
          </w:rPr>
          <w:instrText xml:space="preserve"> PAGEREF _Toc462146113 \h </w:instrText>
        </w:r>
        <w:r w:rsidR="00DC5F62">
          <w:rPr>
            <w:webHidden/>
          </w:rPr>
        </w:r>
        <w:r w:rsidR="00DC5F62">
          <w:rPr>
            <w:webHidden/>
          </w:rPr>
          <w:fldChar w:fldCharType="separate"/>
        </w:r>
        <w:r w:rsidR="00417E1B">
          <w:rPr>
            <w:webHidden/>
          </w:rPr>
          <w:t>73</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4" w:history="1">
        <w:r w:rsidR="00DC5F62" w:rsidRPr="00BC29B5">
          <w:rPr>
            <w:rStyle w:val="Hyperlink"/>
          </w:rPr>
          <w:t>2.2.10</w:t>
        </w:r>
        <w:r w:rsidR="00DC5F62">
          <w:rPr>
            <w:rFonts w:asciiTheme="minorHAnsi" w:eastAsiaTheme="minorEastAsia" w:hAnsiTheme="minorHAnsi" w:cstheme="minorBidi"/>
            <w:color w:val="auto"/>
            <w:sz w:val="22"/>
            <w:szCs w:val="22"/>
          </w:rPr>
          <w:tab/>
        </w:r>
        <w:r w:rsidR="00DC5F62" w:rsidRPr="00BC29B5">
          <w:rPr>
            <w:rStyle w:val="Hyperlink"/>
          </w:rPr>
          <w:t>Помощи, дарения и други безвъзмездно получени суми</w:t>
        </w:r>
        <w:r w:rsidR="00DC5F62">
          <w:rPr>
            <w:webHidden/>
          </w:rPr>
          <w:tab/>
        </w:r>
        <w:r w:rsidR="00DC5F62">
          <w:rPr>
            <w:webHidden/>
          </w:rPr>
          <w:fldChar w:fldCharType="begin"/>
        </w:r>
        <w:r w:rsidR="00DC5F62">
          <w:rPr>
            <w:webHidden/>
          </w:rPr>
          <w:instrText xml:space="preserve"> PAGEREF _Toc462146114 \h </w:instrText>
        </w:r>
        <w:r w:rsidR="00DC5F62">
          <w:rPr>
            <w:webHidden/>
          </w:rPr>
        </w:r>
        <w:r w:rsidR="00DC5F62">
          <w:rPr>
            <w:webHidden/>
          </w:rPr>
          <w:fldChar w:fldCharType="separate"/>
        </w:r>
        <w:r w:rsidR="00417E1B">
          <w:rPr>
            <w:webHidden/>
          </w:rPr>
          <w:t>76</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5" w:history="1">
        <w:r w:rsidR="00DC5F62" w:rsidRPr="00BC29B5">
          <w:rPr>
            <w:rStyle w:val="Hyperlink"/>
          </w:rPr>
          <w:t>2.3</w:t>
        </w:r>
        <w:r w:rsidR="00DC5F62">
          <w:rPr>
            <w:rFonts w:asciiTheme="minorHAnsi" w:eastAsiaTheme="minorEastAsia" w:hAnsiTheme="minorHAnsi" w:cstheme="minorBidi"/>
            <w:color w:val="auto"/>
            <w:sz w:val="22"/>
            <w:szCs w:val="22"/>
          </w:rPr>
          <w:tab/>
        </w:r>
        <w:r w:rsidR="00DC5F62" w:rsidRPr="00BC29B5">
          <w:rPr>
            <w:rStyle w:val="Hyperlink"/>
          </w:rPr>
          <w:t>Изпълнение на разходите по икономически елементи по консолидираната фискална програма за 2015 г.</w:t>
        </w:r>
        <w:r w:rsidR="00DC5F62">
          <w:rPr>
            <w:webHidden/>
          </w:rPr>
          <w:tab/>
        </w:r>
        <w:r w:rsidR="00DC5F62">
          <w:rPr>
            <w:webHidden/>
          </w:rPr>
          <w:fldChar w:fldCharType="begin"/>
        </w:r>
        <w:r w:rsidR="00DC5F62">
          <w:rPr>
            <w:webHidden/>
          </w:rPr>
          <w:instrText xml:space="preserve"> PAGEREF _Toc462146115 \h </w:instrText>
        </w:r>
        <w:r w:rsidR="00DC5F62">
          <w:rPr>
            <w:webHidden/>
          </w:rPr>
        </w:r>
        <w:r w:rsidR="00DC5F62">
          <w:rPr>
            <w:webHidden/>
          </w:rPr>
          <w:fldChar w:fldCharType="separate"/>
        </w:r>
        <w:r w:rsidR="00417E1B">
          <w:rPr>
            <w:webHidden/>
          </w:rPr>
          <w:t>76</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6" w:history="1">
        <w:r w:rsidR="00DC5F62" w:rsidRPr="00BC29B5">
          <w:rPr>
            <w:rStyle w:val="Hyperlink"/>
          </w:rPr>
          <w:t>2.3.1</w:t>
        </w:r>
        <w:r w:rsidR="00DC5F62">
          <w:rPr>
            <w:rFonts w:asciiTheme="minorHAnsi" w:eastAsiaTheme="minorEastAsia" w:hAnsiTheme="minorHAnsi" w:cstheme="minorBidi"/>
            <w:color w:val="auto"/>
            <w:sz w:val="22"/>
            <w:szCs w:val="22"/>
          </w:rPr>
          <w:tab/>
        </w:r>
        <w:r w:rsidR="00DC5F62" w:rsidRPr="00BC29B5">
          <w:rPr>
            <w:rStyle w:val="Hyperlink"/>
          </w:rPr>
          <w:t>Текущи нелихвени разходи</w:t>
        </w:r>
        <w:r w:rsidR="00DC5F62">
          <w:rPr>
            <w:webHidden/>
          </w:rPr>
          <w:tab/>
        </w:r>
        <w:r w:rsidR="00DC5F62">
          <w:rPr>
            <w:webHidden/>
          </w:rPr>
          <w:fldChar w:fldCharType="begin"/>
        </w:r>
        <w:r w:rsidR="00DC5F62">
          <w:rPr>
            <w:webHidden/>
          </w:rPr>
          <w:instrText xml:space="preserve"> PAGEREF _Toc462146116 \h </w:instrText>
        </w:r>
        <w:r w:rsidR="00DC5F62">
          <w:rPr>
            <w:webHidden/>
          </w:rPr>
        </w:r>
        <w:r w:rsidR="00DC5F62">
          <w:rPr>
            <w:webHidden/>
          </w:rPr>
          <w:fldChar w:fldCharType="separate"/>
        </w:r>
        <w:r w:rsidR="00417E1B">
          <w:rPr>
            <w:webHidden/>
          </w:rPr>
          <w:t>77</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7" w:history="1">
        <w:r w:rsidR="00DC5F62" w:rsidRPr="00BC29B5">
          <w:rPr>
            <w:rStyle w:val="Hyperlink"/>
          </w:rPr>
          <w:t>2.3.2</w:t>
        </w:r>
        <w:r w:rsidR="00DC5F62">
          <w:rPr>
            <w:rFonts w:asciiTheme="minorHAnsi" w:eastAsiaTheme="minorEastAsia" w:hAnsiTheme="minorHAnsi" w:cstheme="minorBidi"/>
            <w:color w:val="auto"/>
            <w:sz w:val="22"/>
            <w:szCs w:val="22"/>
          </w:rPr>
          <w:tab/>
        </w:r>
        <w:r w:rsidR="00DC5F62" w:rsidRPr="00BC29B5">
          <w:rPr>
            <w:rStyle w:val="Hyperlink"/>
          </w:rPr>
          <w:t>Капиталови разходи</w:t>
        </w:r>
        <w:r w:rsidR="00DC5F62">
          <w:rPr>
            <w:webHidden/>
          </w:rPr>
          <w:tab/>
        </w:r>
        <w:r w:rsidR="00DC5F62">
          <w:rPr>
            <w:webHidden/>
          </w:rPr>
          <w:fldChar w:fldCharType="begin"/>
        </w:r>
        <w:r w:rsidR="00DC5F62">
          <w:rPr>
            <w:webHidden/>
          </w:rPr>
          <w:instrText xml:space="preserve"> PAGEREF _Toc462146117 \h </w:instrText>
        </w:r>
        <w:r w:rsidR="00DC5F62">
          <w:rPr>
            <w:webHidden/>
          </w:rPr>
        </w:r>
        <w:r w:rsidR="00DC5F62">
          <w:rPr>
            <w:webHidden/>
          </w:rPr>
          <w:fldChar w:fldCharType="separate"/>
        </w:r>
        <w:r w:rsidR="00417E1B">
          <w:rPr>
            <w:webHidden/>
          </w:rPr>
          <w:t>84</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8" w:history="1">
        <w:r w:rsidR="00DC5F62" w:rsidRPr="00BC29B5">
          <w:rPr>
            <w:rStyle w:val="Hyperlink"/>
          </w:rPr>
          <w:t>2.3.3</w:t>
        </w:r>
        <w:r w:rsidR="00DC5F62">
          <w:rPr>
            <w:rFonts w:asciiTheme="minorHAnsi" w:eastAsiaTheme="minorEastAsia" w:hAnsiTheme="minorHAnsi" w:cstheme="minorBidi"/>
            <w:color w:val="auto"/>
            <w:sz w:val="22"/>
            <w:szCs w:val="22"/>
          </w:rPr>
          <w:tab/>
        </w:r>
        <w:r w:rsidR="00DC5F62" w:rsidRPr="00BC29B5">
          <w:rPr>
            <w:rStyle w:val="Hyperlink"/>
          </w:rPr>
          <w:t>Лихвени разходи</w:t>
        </w:r>
        <w:r w:rsidR="00DC5F62">
          <w:rPr>
            <w:webHidden/>
          </w:rPr>
          <w:tab/>
        </w:r>
        <w:r w:rsidR="00DC5F62">
          <w:rPr>
            <w:webHidden/>
          </w:rPr>
          <w:fldChar w:fldCharType="begin"/>
        </w:r>
        <w:r w:rsidR="00DC5F62">
          <w:rPr>
            <w:webHidden/>
          </w:rPr>
          <w:instrText xml:space="preserve"> PAGEREF _Toc462146118 \h </w:instrText>
        </w:r>
        <w:r w:rsidR="00DC5F62">
          <w:rPr>
            <w:webHidden/>
          </w:rPr>
        </w:r>
        <w:r w:rsidR="00DC5F62">
          <w:rPr>
            <w:webHidden/>
          </w:rPr>
          <w:fldChar w:fldCharType="separate"/>
        </w:r>
        <w:r w:rsidR="00417E1B">
          <w:rPr>
            <w:webHidden/>
          </w:rPr>
          <w:t>86</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19" w:history="1">
        <w:r w:rsidR="00DC5F62" w:rsidRPr="00BC29B5">
          <w:rPr>
            <w:rStyle w:val="Hyperlink"/>
          </w:rPr>
          <w:t>2.3.4</w:t>
        </w:r>
        <w:r w:rsidR="00DC5F62">
          <w:rPr>
            <w:rFonts w:asciiTheme="minorHAnsi" w:eastAsiaTheme="minorEastAsia" w:hAnsiTheme="minorHAnsi" w:cstheme="minorBidi"/>
            <w:color w:val="auto"/>
            <w:sz w:val="22"/>
            <w:szCs w:val="22"/>
          </w:rPr>
          <w:tab/>
        </w:r>
        <w:r w:rsidR="00DC5F62" w:rsidRPr="00BC29B5">
          <w:rPr>
            <w:rStyle w:val="Hyperlink"/>
          </w:rPr>
          <w:t>Вноска на Република България в общия бюджет на ЕС</w:t>
        </w:r>
        <w:r w:rsidR="00DC5F62">
          <w:rPr>
            <w:webHidden/>
          </w:rPr>
          <w:tab/>
        </w:r>
        <w:r w:rsidR="00DC5F62">
          <w:rPr>
            <w:webHidden/>
          </w:rPr>
          <w:fldChar w:fldCharType="begin"/>
        </w:r>
        <w:r w:rsidR="00DC5F62">
          <w:rPr>
            <w:webHidden/>
          </w:rPr>
          <w:instrText xml:space="preserve"> PAGEREF _Toc462146119 \h </w:instrText>
        </w:r>
        <w:r w:rsidR="00DC5F62">
          <w:rPr>
            <w:webHidden/>
          </w:rPr>
        </w:r>
        <w:r w:rsidR="00DC5F62">
          <w:rPr>
            <w:webHidden/>
          </w:rPr>
          <w:fldChar w:fldCharType="separate"/>
        </w:r>
        <w:r w:rsidR="00417E1B">
          <w:rPr>
            <w:webHidden/>
          </w:rPr>
          <w:t>87</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0" w:history="1">
        <w:r w:rsidR="00DC5F62" w:rsidRPr="00BC29B5">
          <w:rPr>
            <w:rStyle w:val="Hyperlink"/>
          </w:rPr>
          <w:t>2.3.5</w:t>
        </w:r>
        <w:r w:rsidR="00DC5F62">
          <w:rPr>
            <w:rFonts w:asciiTheme="minorHAnsi" w:eastAsiaTheme="minorEastAsia" w:hAnsiTheme="minorHAnsi" w:cstheme="minorBidi"/>
            <w:color w:val="auto"/>
            <w:sz w:val="22"/>
            <w:szCs w:val="22"/>
          </w:rPr>
          <w:tab/>
        </w:r>
        <w:r w:rsidR="00DC5F62" w:rsidRPr="00BC29B5">
          <w:rPr>
            <w:rStyle w:val="Hyperlink"/>
          </w:rPr>
          <w:t>Изпълнение на утвърдените ангажименти за разход, които могат да бъдат поети през 2015 г. и на новите задължения, които могат да бъдат натрупани през 2015 г. от първостепенните разпоредители с бюджет</w:t>
        </w:r>
        <w:r w:rsidR="00DC5F62">
          <w:rPr>
            <w:webHidden/>
          </w:rPr>
          <w:tab/>
        </w:r>
        <w:r w:rsidR="00DC5F62">
          <w:rPr>
            <w:webHidden/>
          </w:rPr>
          <w:fldChar w:fldCharType="begin"/>
        </w:r>
        <w:r w:rsidR="00DC5F62">
          <w:rPr>
            <w:webHidden/>
          </w:rPr>
          <w:instrText xml:space="preserve"> PAGEREF _Toc462146120 \h </w:instrText>
        </w:r>
        <w:r w:rsidR="00DC5F62">
          <w:rPr>
            <w:webHidden/>
          </w:rPr>
        </w:r>
        <w:r w:rsidR="00DC5F62">
          <w:rPr>
            <w:webHidden/>
          </w:rPr>
          <w:fldChar w:fldCharType="separate"/>
        </w:r>
        <w:r w:rsidR="00417E1B">
          <w:rPr>
            <w:webHidden/>
          </w:rPr>
          <w:t>87</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1" w:history="1">
        <w:r w:rsidR="00DC5F62" w:rsidRPr="00BC29B5">
          <w:rPr>
            <w:rStyle w:val="Hyperlink"/>
          </w:rPr>
          <w:t>2.4</w:t>
        </w:r>
        <w:r w:rsidR="00DC5F62">
          <w:rPr>
            <w:rFonts w:asciiTheme="minorHAnsi" w:eastAsiaTheme="minorEastAsia" w:hAnsiTheme="minorHAnsi" w:cstheme="minorBidi"/>
            <w:color w:val="auto"/>
            <w:sz w:val="22"/>
            <w:szCs w:val="22"/>
          </w:rPr>
          <w:tab/>
        </w:r>
        <w:r w:rsidR="00DC5F62" w:rsidRPr="00BC29B5">
          <w:rPr>
            <w:rStyle w:val="Hyperlink"/>
          </w:rPr>
          <w:t>Изпълнение на разходите по функции по консолидираната фискална програма за 201</w:t>
        </w:r>
        <w:r w:rsidR="00DC5F62" w:rsidRPr="00BC29B5">
          <w:rPr>
            <w:rStyle w:val="Hyperlink"/>
            <w:lang w:val="en-US"/>
          </w:rPr>
          <w:t>5</w:t>
        </w:r>
        <w:r w:rsidR="00DC5F62" w:rsidRPr="00BC29B5">
          <w:rPr>
            <w:rStyle w:val="Hyperlink"/>
          </w:rPr>
          <w:t xml:space="preserve"> г.</w:t>
        </w:r>
        <w:r w:rsidR="00DC5F62">
          <w:rPr>
            <w:webHidden/>
          </w:rPr>
          <w:tab/>
        </w:r>
        <w:r w:rsidR="00DC5F62">
          <w:rPr>
            <w:webHidden/>
          </w:rPr>
          <w:fldChar w:fldCharType="begin"/>
        </w:r>
        <w:r w:rsidR="00DC5F62">
          <w:rPr>
            <w:webHidden/>
          </w:rPr>
          <w:instrText xml:space="preserve"> PAGEREF _Toc462146121 \h </w:instrText>
        </w:r>
        <w:r w:rsidR="00DC5F62">
          <w:rPr>
            <w:webHidden/>
          </w:rPr>
        </w:r>
        <w:r w:rsidR="00DC5F62">
          <w:rPr>
            <w:webHidden/>
          </w:rPr>
          <w:fldChar w:fldCharType="separate"/>
        </w:r>
        <w:r w:rsidR="00417E1B">
          <w:rPr>
            <w:webHidden/>
          </w:rPr>
          <w:t>89</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2" w:history="1">
        <w:r w:rsidR="00DC5F62" w:rsidRPr="00BC29B5">
          <w:rPr>
            <w:rStyle w:val="Hyperlink"/>
          </w:rPr>
          <w:t>2.4.1</w:t>
        </w:r>
        <w:r w:rsidR="00DC5F62">
          <w:rPr>
            <w:rFonts w:asciiTheme="minorHAnsi" w:eastAsiaTheme="minorEastAsia" w:hAnsiTheme="minorHAnsi" w:cstheme="minorBidi"/>
            <w:color w:val="auto"/>
            <w:sz w:val="22"/>
            <w:szCs w:val="22"/>
          </w:rPr>
          <w:tab/>
        </w:r>
        <w:r w:rsidR="00DC5F62" w:rsidRPr="00BC29B5">
          <w:rPr>
            <w:rStyle w:val="Hyperlink"/>
          </w:rPr>
          <w:t>Общи държавни служби</w:t>
        </w:r>
        <w:r w:rsidR="00DC5F62">
          <w:rPr>
            <w:webHidden/>
          </w:rPr>
          <w:tab/>
        </w:r>
        <w:r w:rsidR="00DC5F62">
          <w:rPr>
            <w:webHidden/>
          </w:rPr>
          <w:fldChar w:fldCharType="begin"/>
        </w:r>
        <w:r w:rsidR="00DC5F62">
          <w:rPr>
            <w:webHidden/>
          </w:rPr>
          <w:instrText xml:space="preserve"> PAGEREF _Toc462146122 \h </w:instrText>
        </w:r>
        <w:r w:rsidR="00DC5F62">
          <w:rPr>
            <w:webHidden/>
          </w:rPr>
        </w:r>
        <w:r w:rsidR="00DC5F62">
          <w:rPr>
            <w:webHidden/>
          </w:rPr>
          <w:fldChar w:fldCharType="separate"/>
        </w:r>
        <w:r w:rsidR="00417E1B">
          <w:rPr>
            <w:webHidden/>
          </w:rPr>
          <w:t>90</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3" w:history="1">
        <w:r w:rsidR="00DC5F62" w:rsidRPr="00BC29B5">
          <w:rPr>
            <w:rStyle w:val="Hyperlink"/>
            <w:lang w:val="en-US"/>
          </w:rPr>
          <w:t>2.4.2</w:t>
        </w:r>
        <w:r w:rsidR="00DC5F62">
          <w:rPr>
            <w:rFonts w:asciiTheme="minorHAnsi" w:eastAsiaTheme="minorEastAsia" w:hAnsiTheme="minorHAnsi" w:cstheme="minorBidi"/>
            <w:color w:val="auto"/>
            <w:sz w:val="22"/>
            <w:szCs w:val="22"/>
          </w:rPr>
          <w:tab/>
        </w:r>
        <w:r w:rsidR="00DC5F62" w:rsidRPr="00BC29B5">
          <w:rPr>
            <w:rStyle w:val="Hyperlink"/>
          </w:rPr>
          <w:t>Отбрана и сигурност</w:t>
        </w:r>
        <w:r w:rsidR="00DC5F62">
          <w:rPr>
            <w:webHidden/>
          </w:rPr>
          <w:tab/>
        </w:r>
        <w:r w:rsidR="00DC5F62">
          <w:rPr>
            <w:webHidden/>
          </w:rPr>
          <w:fldChar w:fldCharType="begin"/>
        </w:r>
        <w:r w:rsidR="00DC5F62">
          <w:rPr>
            <w:webHidden/>
          </w:rPr>
          <w:instrText xml:space="preserve"> PAGEREF _Toc462146123 \h </w:instrText>
        </w:r>
        <w:r w:rsidR="00DC5F62">
          <w:rPr>
            <w:webHidden/>
          </w:rPr>
        </w:r>
        <w:r w:rsidR="00DC5F62">
          <w:rPr>
            <w:webHidden/>
          </w:rPr>
          <w:fldChar w:fldCharType="separate"/>
        </w:r>
        <w:r w:rsidR="00417E1B">
          <w:rPr>
            <w:webHidden/>
          </w:rPr>
          <w:t>94</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4" w:history="1">
        <w:r w:rsidR="00DC5F62" w:rsidRPr="00BC29B5">
          <w:rPr>
            <w:rStyle w:val="Hyperlink"/>
          </w:rPr>
          <w:t>2.4.3</w:t>
        </w:r>
        <w:r w:rsidR="00DC5F62">
          <w:rPr>
            <w:rFonts w:asciiTheme="minorHAnsi" w:eastAsiaTheme="minorEastAsia" w:hAnsiTheme="minorHAnsi" w:cstheme="minorBidi"/>
            <w:color w:val="auto"/>
            <w:sz w:val="22"/>
            <w:szCs w:val="22"/>
          </w:rPr>
          <w:tab/>
        </w:r>
        <w:r w:rsidR="00DC5F62" w:rsidRPr="00BC29B5">
          <w:rPr>
            <w:rStyle w:val="Hyperlink"/>
          </w:rPr>
          <w:t>Образование</w:t>
        </w:r>
        <w:r w:rsidR="00DC5F62">
          <w:rPr>
            <w:webHidden/>
          </w:rPr>
          <w:tab/>
        </w:r>
        <w:r w:rsidR="00DC5F62">
          <w:rPr>
            <w:webHidden/>
          </w:rPr>
          <w:fldChar w:fldCharType="begin"/>
        </w:r>
        <w:r w:rsidR="00DC5F62">
          <w:rPr>
            <w:webHidden/>
          </w:rPr>
          <w:instrText xml:space="preserve"> PAGEREF _Toc462146124 \h </w:instrText>
        </w:r>
        <w:r w:rsidR="00DC5F62">
          <w:rPr>
            <w:webHidden/>
          </w:rPr>
        </w:r>
        <w:r w:rsidR="00DC5F62">
          <w:rPr>
            <w:webHidden/>
          </w:rPr>
          <w:fldChar w:fldCharType="separate"/>
        </w:r>
        <w:r w:rsidR="00417E1B">
          <w:rPr>
            <w:webHidden/>
          </w:rPr>
          <w:t>100</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5" w:history="1">
        <w:r w:rsidR="00DC5F62" w:rsidRPr="00BC29B5">
          <w:rPr>
            <w:rStyle w:val="Hyperlink"/>
          </w:rPr>
          <w:t>2.4.4</w:t>
        </w:r>
        <w:r w:rsidR="00DC5F62">
          <w:rPr>
            <w:rFonts w:asciiTheme="minorHAnsi" w:eastAsiaTheme="minorEastAsia" w:hAnsiTheme="minorHAnsi" w:cstheme="minorBidi"/>
            <w:color w:val="auto"/>
            <w:sz w:val="22"/>
            <w:szCs w:val="22"/>
          </w:rPr>
          <w:tab/>
        </w:r>
        <w:r w:rsidR="00DC5F62" w:rsidRPr="00BC29B5">
          <w:rPr>
            <w:rStyle w:val="Hyperlink"/>
          </w:rPr>
          <w:t>Здравеопазване</w:t>
        </w:r>
        <w:r w:rsidR="00DC5F62">
          <w:rPr>
            <w:webHidden/>
          </w:rPr>
          <w:tab/>
        </w:r>
        <w:r w:rsidR="00DC5F62">
          <w:rPr>
            <w:webHidden/>
          </w:rPr>
          <w:fldChar w:fldCharType="begin"/>
        </w:r>
        <w:r w:rsidR="00DC5F62">
          <w:rPr>
            <w:webHidden/>
          </w:rPr>
          <w:instrText xml:space="preserve"> PAGEREF _Toc462146125 \h </w:instrText>
        </w:r>
        <w:r w:rsidR="00DC5F62">
          <w:rPr>
            <w:webHidden/>
          </w:rPr>
        </w:r>
        <w:r w:rsidR="00DC5F62">
          <w:rPr>
            <w:webHidden/>
          </w:rPr>
          <w:fldChar w:fldCharType="separate"/>
        </w:r>
        <w:r w:rsidR="00417E1B">
          <w:rPr>
            <w:webHidden/>
          </w:rPr>
          <w:t>102</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6" w:history="1">
        <w:r w:rsidR="00DC5F62" w:rsidRPr="00BC29B5">
          <w:rPr>
            <w:rStyle w:val="Hyperlink"/>
            <w:lang w:val="en-US"/>
          </w:rPr>
          <w:t>2.4.5</w:t>
        </w:r>
        <w:r w:rsidR="00DC5F62">
          <w:rPr>
            <w:rFonts w:asciiTheme="minorHAnsi" w:eastAsiaTheme="minorEastAsia" w:hAnsiTheme="minorHAnsi" w:cstheme="minorBidi"/>
            <w:color w:val="auto"/>
            <w:sz w:val="22"/>
            <w:szCs w:val="22"/>
          </w:rPr>
          <w:tab/>
        </w:r>
        <w:r w:rsidR="00DC5F62" w:rsidRPr="00BC29B5">
          <w:rPr>
            <w:rStyle w:val="Hyperlink"/>
          </w:rPr>
          <w:t>Социално осигуряване, подпомагане и грижи</w:t>
        </w:r>
        <w:r w:rsidR="00DC5F62">
          <w:rPr>
            <w:webHidden/>
          </w:rPr>
          <w:tab/>
        </w:r>
        <w:r w:rsidR="00DC5F62">
          <w:rPr>
            <w:webHidden/>
          </w:rPr>
          <w:fldChar w:fldCharType="begin"/>
        </w:r>
        <w:r w:rsidR="00DC5F62">
          <w:rPr>
            <w:webHidden/>
          </w:rPr>
          <w:instrText xml:space="preserve"> PAGEREF _Toc462146126 \h </w:instrText>
        </w:r>
        <w:r w:rsidR="00DC5F62">
          <w:rPr>
            <w:webHidden/>
          </w:rPr>
        </w:r>
        <w:r w:rsidR="00DC5F62">
          <w:rPr>
            <w:webHidden/>
          </w:rPr>
          <w:fldChar w:fldCharType="separate"/>
        </w:r>
        <w:r w:rsidR="00417E1B">
          <w:rPr>
            <w:webHidden/>
          </w:rPr>
          <w:t>104</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7" w:history="1">
        <w:r w:rsidR="00DC5F62" w:rsidRPr="00BC29B5">
          <w:rPr>
            <w:rStyle w:val="Hyperlink"/>
            <w:lang w:val="en-US"/>
          </w:rPr>
          <w:t>2.4.6</w:t>
        </w:r>
        <w:r w:rsidR="00DC5F62">
          <w:rPr>
            <w:rFonts w:asciiTheme="minorHAnsi" w:eastAsiaTheme="minorEastAsia" w:hAnsiTheme="minorHAnsi" w:cstheme="minorBidi"/>
            <w:color w:val="auto"/>
            <w:sz w:val="22"/>
            <w:szCs w:val="22"/>
          </w:rPr>
          <w:tab/>
        </w:r>
        <w:r w:rsidR="00DC5F62" w:rsidRPr="00BC29B5">
          <w:rPr>
            <w:rStyle w:val="Hyperlink"/>
          </w:rPr>
          <w:t>Жилищно строителство, благоустройство, комунално стопанство и опазване на околната среда</w:t>
        </w:r>
        <w:r w:rsidR="00DC5F62">
          <w:rPr>
            <w:webHidden/>
          </w:rPr>
          <w:tab/>
        </w:r>
        <w:r w:rsidR="00DC5F62">
          <w:rPr>
            <w:webHidden/>
          </w:rPr>
          <w:fldChar w:fldCharType="begin"/>
        </w:r>
        <w:r w:rsidR="00DC5F62">
          <w:rPr>
            <w:webHidden/>
          </w:rPr>
          <w:instrText xml:space="preserve"> PAGEREF _Toc462146127 \h </w:instrText>
        </w:r>
        <w:r w:rsidR="00DC5F62">
          <w:rPr>
            <w:webHidden/>
          </w:rPr>
        </w:r>
        <w:r w:rsidR="00DC5F62">
          <w:rPr>
            <w:webHidden/>
          </w:rPr>
          <w:fldChar w:fldCharType="separate"/>
        </w:r>
        <w:r w:rsidR="00417E1B">
          <w:rPr>
            <w:webHidden/>
          </w:rPr>
          <w:t>108</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8" w:history="1">
        <w:r w:rsidR="00DC5F62" w:rsidRPr="00BC29B5">
          <w:rPr>
            <w:rStyle w:val="Hyperlink"/>
            <w:lang w:val="en-US"/>
          </w:rPr>
          <w:t>2.4.7</w:t>
        </w:r>
        <w:r w:rsidR="00DC5F62">
          <w:rPr>
            <w:rFonts w:asciiTheme="minorHAnsi" w:eastAsiaTheme="minorEastAsia" w:hAnsiTheme="minorHAnsi" w:cstheme="minorBidi"/>
            <w:color w:val="auto"/>
            <w:sz w:val="22"/>
            <w:szCs w:val="22"/>
          </w:rPr>
          <w:tab/>
        </w:r>
        <w:r w:rsidR="00DC5F62" w:rsidRPr="00BC29B5">
          <w:rPr>
            <w:rStyle w:val="Hyperlink"/>
          </w:rPr>
          <w:t>Почивно дело, култура, религиозни дейности</w:t>
        </w:r>
        <w:r w:rsidR="00DC5F62">
          <w:rPr>
            <w:webHidden/>
          </w:rPr>
          <w:tab/>
        </w:r>
        <w:r w:rsidR="00DC5F62">
          <w:rPr>
            <w:webHidden/>
          </w:rPr>
          <w:fldChar w:fldCharType="begin"/>
        </w:r>
        <w:r w:rsidR="00DC5F62">
          <w:rPr>
            <w:webHidden/>
          </w:rPr>
          <w:instrText xml:space="preserve"> PAGEREF _Toc462146128 \h </w:instrText>
        </w:r>
        <w:r w:rsidR="00DC5F62">
          <w:rPr>
            <w:webHidden/>
          </w:rPr>
        </w:r>
        <w:r w:rsidR="00DC5F62">
          <w:rPr>
            <w:webHidden/>
          </w:rPr>
          <w:fldChar w:fldCharType="separate"/>
        </w:r>
        <w:r w:rsidR="00417E1B">
          <w:rPr>
            <w:webHidden/>
          </w:rPr>
          <w:t>111</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29" w:history="1">
        <w:r w:rsidR="00DC5F62" w:rsidRPr="00BC29B5">
          <w:rPr>
            <w:rStyle w:val="Hyperlink"/>
            <w:lang w:val="en-US"/>
          </w:rPr>
          <w:t>2.4.8</w:t>
        </w:r>
        <w:r w:rsidR="00DC5F62">
          <w:rPr>
            <w:rFonts w:asciiTheme="minorHAnsi" w:eastAsiaTheme="minorEastAsia" w:hAnsiTheme="minorHAnsi" w:cstheme="minorBidi"/>
            <w:color w:val="auto"/>
            <w:sz w:val="22"/>
            <w:szCs w:val="22"/>
          </w:rPr>
          <w:tab/>
        </w:r>
        <w:r w:rsidR="00DC5F62" w:rsidRPr="00BC29B5">
          <w:rPr>
            <w:rStyle w:val="Hyperlink"/>
          </w:rPr>
          <w:t>Икономически дейности и услуги</w:t>
        </w:r>
        <w:r w:rsidR="00DC5F62">
          <w:rPr>
            <w:webHidden/>
          </w:rPr>
          <w:tab/>
        </w:r>
        <w:r w:rsidR="00DC5F62">
          <w:rPr>
            <w:webHidden/>
          </w:rPr>
          <w:fldChar w:fldCharType="begin"/>
        </w:r>
        <w:r w:rsidR="00DC5F62">
          <w:rPr>
            <w:webHidden/>
          </w:rPr>
          <w:instrText xml:space="preserve"> PAGEREF _Toc462146129 \h </w:instrText>
        </w:r>
        <w:r w:rsidR="00DC5F62">
          <w:rPr>
            <w:webHidden/>
          </w:rPr>
        </w:r>
        <w:r w:rsidR="00DC5F62">
          <w:rPr>
            <w:webHidden/>
          </w:rPr>
          <w:fldChar w:fldCharType="separate"/>
        </w:r>
        <w:r w:rsidR="00417E1B">
          <w:rPr>
            <w:webHidden/>
          </w:rPr>
          <w:t>116</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30" w:history="1">
        <w:r w:rsidR="00DC5F62" w:rsidRPr="00BC29B5">
          <w:rPr>
            <w:rStyle w:val="Hyperlink"/>
          </w:rPr>
          <w:t>2.4.9</w:t>
        </w:r>
        <w:r w:rsidR="00DC5F62">
          <w:rPr>
            <w:rFonts w:asciiTheme="minorHAnsi" w:eastAsiaTheme="minorEastAsia" w:hAnsiTheme="minorHAnsi" w:cstheme="minorBidi"/>
            <w:color w:val="auto"/>
            <w:sz w:val="22"/>
            <w:szCs w:val="22"/>
          </w:rPr>
          <w:tab/>
        </w:r>
        <w:r w:rsidR="00DC5F62" w:rsidRPr="00BC29B5">
          <w:rPr>
            <w:rStyle w:val="Hyperlink"/>
          </w:rPr>
          <w:t>Разходи некласифицирани в другите функции</w:t>
        </w:r>
        <w:r w:rsidR="00DC5F62">
          <w:rPr>
            <w:webHidden/>
          </w:rPr>
          <w:tab/>
        </w:r>
        <w:r w:rsidR="00DC5F62">
          <w:rPr>
            <w:webHidden/>
          </w:rPr>
          <w:fldChar w:fldCharType="begin"/>
        </w:r>
        <w:r w:rsidR="00DC5F62">
          <w:rPr>
            <w:webHidden/>
          </w:rPr>
          <w:instrText xml:space="preserve"> PAGEREF _Toc462146130 \h </w:instrText>
        </w:r>
        <w:r w:rsidR="00DC5F62">
          <w:rPr>
            <w:webHidden/>
          </w:rPr>
        </w:r>
        <w:r w:rsidR="00DC5F62">
          <w:rPr>
            <w:webHidden/>
          </w:rPr>
          <w:fldChar w:fldCharType="separate"/>
        </w:r>
        <w:r w:rsidR="00417E1B">
          <w:rPr>
            <w:webHidden/>
          </w:rPr>
          <w:t>123</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31" w:history="1">
        <w:r w:rsidR="00DC5F62" w:rsidRPr="00BC29B5">
          <w:rPr>
            <w:rStyle w:val="Hyperlink"/>
          </w:rPr>
          <w:t>2.5</w:t>
        </w:r>
        <w:r w:rsidR="00DC5F62">
          <w:rPr>
            <w:rFonts w:asciiTheme="minorHAnsi" w:eastAsiaTheme="minorEastAsia" w:hAnsiTheme="minorHAnsi" w:cstheme="minorBidi"/>
            <w:color w:val="auto"/>
            <w:sz w:val="22"/>
            <w:szCs w:val="22"/>
          </w:rPr>
          <w:tab/>
        </w:r>
        <w:r w:rsidR="00DC5F62" w:rsidRPr="00BC29B5">
          <w:rPr>
            <w:rStyle w:val="Hyperlink"/>
          </w:rPr>
          <w:t>Изпълнение на показателите в частта на финансирането по консолидираната фискална програма за 2015 г.</w:t>
        </w:r>
        <w:r w:rsidR="00DC5F62">
          <w:rPr>
            <w:webHidden/>
          </w:rPr>
          <w:tab/>
        </w:r>
        <w:r w:rsidR="00DC5F62">
          <w:rPr>
            <w:webHidden/>
          </w:rPr>
          <w:fldChar w:fldCharType="begin"/>
        </w:r>
        <w:r w:rsidR="00DC5F62">
          <w:rPr>
            <w:webHidden/>
          </w:rPr>
          <w:instrText xml:space="preserve"> PAGEREF _Toc462146131 \h </w:instrText>
        </w:r>
        <w:r w:rsidR="00DC5F62">
          <w:rPr>
            <w:webHidden/>
          </w:rPr>
        </w:r>
        <w:r w:rsidR="00DC5F62">
          <w:rPr>
            <w:webHidden/>
          </w:rPr>
          <w:fldChar w:fldCharType="separate"/>
        </w:r>
        <w:r w:rsidR="00417E1B">
          <w:rPr>
            <w:webHidden/>
          </w:rPr>
          <w:t>125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32" w:history="1">
        <w:r w:rsidR="00DC5F62" w:rsidRPr="00BC29B5">
          <w:rPr>
            <w:rStyle w:val="Hyperlink"/>
          </w:rPr>
          <w:t>2.5.1</w:t>
        </w:r>
        <w:r w:rsidR="00DC5F62">
          <w:rPr>
            <w:rFonts w:asciiTheme="minorHAnsi" w:eastAsiaTheme="minorEastAsia" w:hAnsiTheme="minorHAnsi" w:cstheme="minorBidi"/>
            <w:color w:val="auto"/>
            <w:sz w:val="22"/>
            <w:szCs w:val="22"/>
          </w:rPr>
          <w:tab/>
        </w:r>
        <w:r w:rsidR="00DC5F62" w:rsidRPr="00BC29B5">
          <w:rPr>
            <w:rStyle w:val="Hyperlink"/>
          </w:rPr>
          <w:t>Външно финансиране</w:t>
        </w:r>
        <w:r w:rsidR="00DC5F62">
          <w:rPr>
            <w:webHidden/>
          </w:rPr>
          <w:tab/>
        </w:r>
        <w:r w:rsidR="00DC5F62">
          <w:rPr>
            <w:webHidden/>
          </w:rPr>
          <w:fldChar w:fldCharType="begin"/>
        </w:r>
        <w:r w:rsidR="00DC5F62">
          <w:rPr>
            <w:webHidden/>
          </w:rPr>
          <w:instrText xml:space="preserve"> PAGEREF _Toc462146132 \h </w:instrText>
        </w:r>
        <w:r w:rsidR="00DC5F62">
          <w:rPr>
            <w:webHidden/>
          </w:rPr>
        </w:r>
        <w:r w:rsidR="00DC5F62">
          <w:rPr>
            <w:webHidden/>
          </w:rPr>
          <w:fldChar w:fldCharType="separate"/>
        </w:r>
        <w:r w:rsidR="00417E1B">
          <w:rPr>
            <w:webHidden/>
          </w:rPr>
          <w:t>125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33" w:history="1">
        <w:r w:rsidR="00DC5F62" w:rsidRPr="00BC29B5">
          <w:rPr>
            <w:rStyle w:val="Hyperlink"/>
          </w:rPr>
          <w:t>2.5.2</w:t>
        </w:r>
        <w:r w:rsidR="00DC5F62">
          <w:rPr>
            <w:rFonts w:asciiTheme="minorHAnsi" w:eastAsiaTheme="minorEastAsia" w:hAnsiTheme="minorHAnsi" w:cstheme="minorBidi"/>
            <w:color w:val="auto"/>
            <w:sz w:val="22"/>
            <w:szCs w:val="22"/>
          </w:rPr>
          <w:tab/>
        </w:r>
        <w:r w:rsidR="00DC5F62" w:rsidRPr="00BC29B5">
          <w:rPr>
            <w:rStyle w:val="Hyperlink"/>
          </w:rPr>
          <w:t>Вътрешно финансиране</w:t>
        </w:r>
        <w:r w:rsidR="00DC5F62">
          <w:rPr>
            <w:webHidden/>
          </w:rPr>
          <w:tab/>
        </w:r>
        <w:r w:rsidR="00DC5F62">
          <w:rPr>
            <w:webHidden/>
          </w:rPr>
          <w:fldChar w:fldCharType="begin"/>
        </w:r>
        <w:r w:rsidR="00DC5F62">
          <w:rPr>
            <w:webHidden/>
          </w:rPr>
          <w:instrText xml:space="preserve"> PAGEREF _Toc462146133 \h </w:instrText>
        </w:r>
        <w:r w:rsidR="00DC5F62">
          <w:rPr>
            <w:webHidden/>
          </w:rPr>
        </w:r>
        <w:r w:rsidR="00DC5F62">
          <w:rPr>
            <w:webHidden/>
          </w:rPr>
          <w:fldChar w:fldCharType="separate"/>
        </w:r>
        <w:r w:rsidR="00417E1B">
          <w:rPr>
            <w:webHidden/>
          </w:rPr>
          <w:t>127</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34" w:history="1">
        <w:r w:rsidR="00DC5F62" w:rsidRPr="00BC29B5">
          <w:rPr>
            <w:rStyle w:val="Hyperlink"/>
          </w:rPr>
          <w:t>2.5.3</w:t>
        </w:r>
        <w:r w:rsidR="00DC5F62">
          <w:rPr>
            <w:rFonts w:asciiTheme="minorHAnsi" w:eastAsiaTheme="minorEastAsia" w:hAnsiTheme="minorHAnsi" w:cstheme="minorBidi"/>
            <w:color w:val="auto"/>
            <w:sz w:val="22"/>
            <w:szCs w:val="22"/>
          </w:rPr>
          <w:tab/>
        </w:r>
        <w:r w:rsidR="00DC5F62" w:rsidRPr="00BC29B5">
          <w:rPr>
            <w:rStyle w:val="Hyperlink"/>
          </w:rPr>
          <w:t>Приватизация</w:t>
        </w:r>
        <w:r w:rsidR="00DC5F62">
          <w:rPr>
            <w:webHidden/>
          </w:rPr>
          <w:tab/>
        </w:r>
        <w:r w:rsidR="00DC5F62">
          <w:rPr>
            <w:webHidden/>
          </w:rPr>
          <w:fldChar w:fldCharType="begin"/>
        </w:r>
        <w:r w:rsidR="00DC5F62">
          <w:rPr>
            <w:webHidden/>
          </w:rPr>
          <w:instrText xml:space="preserve"> PAGEREF _Toc462146134 \h </w:instrText>
        </w:r>
        <w:r w:rsidR="00DC5F62">
          <w:rPr>
            <w:webHidden/>
          </w:rPr>
        </w:r>
        <w:r w:rsidR="00DC5F62">
          <w:rPr>
            <w:webHidden/>
          </w:rPr>
          <w:fldChar w:fldCharType="separate"/>
        </w:r>
        <w:r w:rsidR="00417E1B">
          <w:rPr>
            <w:webHidden/>
          </w:rPr>
          <w:t>131</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35" w:history="1">
        <w:r w:rsidR="00DC5F62" w:rsidRPr="00BC29B5">
          <w:rPr>
            <w:rStyle w:val="Hyperlink"/>
          </w:rPr>
          <w:t>2.5.4</w:t>
        </w:r>
        <w:r w:rsidR="00DC5F62">
          <w:rPr>
            <w:rFonts w:asciiTheme="minorHAnsi" w:eastAsiaTheme="minorEastAsia" w:hAnsiTheme="minorHAnsi" w:cstheme="minorBidi"/>
            <w:color w:val="auto"/>
            <w:sz w:val="22"/>
            <w:szCs w:val="22"/>
          </w:rPr>
          <w:tab/>
        </w:r>
        <w:r w:rsidR="00DC5F62" w:rsidRPr="00BC29B5">
          <w:rPr>
            <w:rStyle w:val="Hyperlink"/>
          </w:rPr>
          <w:t>Средства, акумулирани по сметка на Държавния фонд за гарантиране  устойчивост на държавната пенсионна система</w:t>
        </w:r>
        <w:r w:rsidR="00DC5F62">
          <w:rPr>
            <w:webHidden/>
          </w:rPr>
          <w:tab/>
        </w:r>
        <w:r w:rsidR="00DC5F62">
          <w:rPr>
            <w:webHidden/>
          </w:rPr>
          <w:fldChar w:fldCharType="begin"/>
        </w:r>
        <w:r w:rsidR="00DC5F62">
          <w:rPr>
            <w:webHidden/>
          </w:rPr>
          <w:instrText xml:space="preserve"> PAGEREF _Toc462146135 \h </w:instrText>
        </w:r>
        <w:r w:rsidR="00DC5F62">
          <w:rPr>
            <w:webHidden/>
          </w:rPr>
        </w:r>
        <w:r w:rsidR="00DC5F62">
          <w:rPr>
            <w:webHidden/>
          </w:rPr>
          <w:fldChar w:fldCharType="separate"/>
        </w:r>
        <w:r w:rsidR="00417E1B">
          <w:rPr>
            <w:webHidden/>
          </w:rPr>
          <w:t>131</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136" w:history="1">
        <w:r w:rsidR="00DC5F62" w:rsidRPr="00BC29B5">
          <w:rPr>
            <w:rStyle w:val="Hyperlink"/>
          </w:rPr>
          <w:t>III. ДЪРЖАВЕН БЮДЖЕТ, БЮДЖЕТИ НА ОБЩИНИТЕ, НА СОЦИАЛНООСИГУРИТЕЛНИТЕ ФОНДОВЕ И БЮДЖЕТИ ПО ЧЛ. 13, АЛ. 3 и АЛ. 4 НА ЗАКОНА ЗА ПУБЛИЧНИТЕ ФИНАНСИ</w:t>
        </w:r>
        <w:r w:rsidR="00DC5F62">
          <w:rPr>
            <w:webHidden/>
          </w:rPr>
          <w:tab/>
        </w:r>
        <w:r w:rsidR="00DC5F62">
          <w:rPr>
            <w:webHidden/>
          </w:rPr>
          <w:fldChar w:fldCharType="begin"/>
        </w:r>
        <w:r w:rsidR="00DC5F62">
          <w:rPr>
            <w:webHidden/>
          </w:rPr>
          <w:instrText xml:space="preserve"> PAGEREF _Toc462146136 \h </w:instrText>
        </w:r>
        <w:r w:rsidR="00DC5F62">
          <w:rPr>
            <w:webHidden/>
          </w:rPr>
        </w:r>
        <w:r w:rsidR="00DC5F62">
          <w:rPr>
            <w:webHidden/>
          </w:rPr>
          <w:fldChar w:fldCharType="separate"/>
        </w:r>
        <w:r w:rsidR="00417E1B">
          <w:rPr>
            <w:webHidden/>
          </w:rPr>
          <w:t>133</w:t>
        </w:r>
        <w:r w:rsidR="00DC5F62">
          <w:rPr>
            <w:webHidden/>
          </w:rPr>
          <w:fldChar w:fldCharType="end"/>
        </w:r>
      </w:hyperlink>
    </w:p>
    <w:p w:rsidR="00DC5F62" w:rsidRDefault="0087145C">
      <w:pPr>
        <w:pStyle w:val="TOC2"/>
        <w:rPr>
          <w:rFonts w:asciiTheme="minorHAnsi" w:eastAsiaTheme="minorEastAsia" w:hAnsiTheme="minorHAnsi" w:cstheme="minorBidi"/>
          <w:b w:val="0"/>
          <w:color w:val="auto"/>
        </w:rPr>
      </w:pPr>
      <w:hyperlink w:anchor="_Toc462146137" w:history="1">
        <w:r w:rsidR="00DC5F62" w:rsidRPr="00BC29B5">
          <w:rPr>
            <w:rStyle w:val="Hyperlink"/>
          </w:rPr>
          <w:t>1.</w:t>
        </w:r>
        <w:r w:rsidR="00DC5F62">
          <w:rPr>
            <w:rFonts w:asciiTheme="minorHAnsi" w:eastAsiaTheme="minorEastAsia" w:hAnsiTheme="minorHAnsi" w:cstheme="minorBidi"/>
            <w:b w:val="0"/>
            <w:color w:val="auto"/>
          </w:rPr>
          <w:tab/>
        </w:r>
        <w:r w:rsidR="00DC5F62" w:rsidRPr="00BC29B5">
          <w:rPr>
            <w:rStyle w:val="Hyperlink"/>
          </w:rPr>
          <w:t>Държавен бюджет</w:t>
        </w:r>
        <w:r w:rsidR="00DC5F62">
          <w:rPr>
            <w:webHidden/>
          </w:rPr>
          <w:tab/>
        </w:r>
        <w:r w:rsidR="00DC5F62">
          <w:rPr>
            <w:webHidden/>
          </w:rPr>
          <w:fldChar w:fldCharType="begin"/>
        </w:r>
        <w:r w:rsidR="00DC5F62">
          <w:rPr>
            <w:webHidden/>
          </w:rPr>
          <w:instrText xml:space="preserve"> PAGEREF _Toc462146137 \h </w:instrText>
        </w:r>
        <w:r w:rsidR="00DC5F62">
          <w:rPr>
            <w:webHidden/>
          </w:rPr>
        </w:r>
        <w:r w:rsidR="00DC5F62">
          <w:rPr>
            <w:webHidden/>
          </w:rPr>
          <w:fldChar w:fldCharType="separate"/>
        </w:r>
        <w:r w:rsidR="00417E1B">
          <w:rPr>
            <w:webHidden/>
          </w:rPr>
          <w:t>133</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38" w:history="1">
        <w:r w:rsidR="00DC5F62" w:rsidRPr="00BC29B5">
          <w:rPr>
            <w:rStyle w:val="Hyperlink"/>
          </w:rPr>
          <w:t>1.1</w:t>
        </w:r>
        <w:r w:rsidR="00DC5F62">
          <w:rPr>
            <w:rFonts w:asciiTheme="minorHAnsi" w:eastAsiaTheme="minorEastAsia" w:hAnsiTheme="minorHAnsi" w:cstheme="minorBidi"/>
            <w:color w:val="auto"/>
            <w:sz w:val="22"/>
            <w:szCs w:val="22"/>
          </w:rPr>
          <w:tab/>
        </w:r>
        <w:r w:rsidR="00DC5F62" w:rsidRPr="00BC29B5">
          <w:rPr>
            <w:rStyle w:val="Hyperlink"/>
          </w:rPr>
          <w:t>Бюджет на Народното събрание</w:t>
        </w:r>
        <w:r w:rsidR="00DC5F62">
          <w:rPr>
            <w:webHidden/>
          </w:rPr>
          <w:tab/>
        </w:r>
        <w:r w:rsidR="00DC5F62">
          <w:rPr>
            <w:webHidden/>
          </w:rPr>
          <w:fldChar w:fldCharType="begin"/>
        </w:r>
        <w:r w:rsidR="00DC5F62">
          <w:rPr>
            <w:webHidden/>
          </w:rPr>
          <w:instrText xml:space="preserve"> PAGEREF _Toc462146138 \h </w:instrText>
        </w:r>
        <w:r w:rsidR="00DC5F62">
          <w:rPr>
            <w:webHidden/>
          </w:rPr>
        </w:r>
        <w:r w:rsidR="00DC5F62">
          <w:rPr>
            <w:webHidden/>
          </w:rPr>
          <w:fldChar w:fldCharType="separate"/>
        </w:r>
        <w:r w:rsidR="00417E1B">
          <w:rPr>
            <w:webHidden/>
          </w:rPr>
          <w:t>135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39" w:history="1">
        <w:r w:rsidR="00DC5F62" w:rsidRPr="00BC29B5">
          <w:rPr>
            <w:rStyle w:val="Hyperlink"/>
          </w:rPr>
          <w:t>1.2</w:t>
        </w:r>
        <w:r w:rsidR="00DC5F62">
          <w:rPr>
            <w:rFonts w:asciiTheme="minorHAnsi" w:eastAsiaTheme="minorEastAsia" w:hAnsiTheme="minorHAnsi" w:cstheme="minorBidi"/>
            <w:color w:val="auto"/>
            <w:sz w:val="22"/>
            <w:szCs w:val="22"/>
          </w:rPr>
          <w:tab/>
        </w:r>
        <w:r w:rsidR="00DC5F62" w:rsidRPr="00BC29B5">
          <w:rPr>
            <w:rStyle w:val="Hyperlink"/>
          </w:rPr>
          <w:t>Бюджет на съдебната  власт</w:t>
        </w:r>
        <w:r w:rsidR="00DC5F62">
          <w:rPr>
            <w:webHidden/>
          </w:rPr>
          <w:tab/>
        </w:r>
        <w:r w:rsidR="00DC5F62">
          <w:rPr>
            <w:webHidden/>
          </w:rPr>
          <w:fldChar w:fldCharType="begin"/>
        </w:r>
        <w:r w:rsidR="00DC5F62">
          <w:rPr>
            <w:webHidden/>
          </w:rPr>
          <w:instrText xml:space="preserve"> PAGEREF _Toc462146139 \h </w:instrText>
        </w:r>
        <w:r w:rsidR="00DC5F62">
          <w:rPr>
            <w:webHidden/>
          </w:rPr>
        </w:r>
        <w:r w:rsidR="00DC5F62">
          <w:rPr>
            <w:webHidden/>
          </w:rPr>
          <w:fldChar w:fldCharType="separate"/>
        </w:r>
        <w:r w:rsidR="00417E1B">
          <w:rPr>
            <w:webHidden/>
          </w:rPr>
          <w:t>135</w:t>
        </w:r>
        <w:r w:rsidR="00DC5F62">
          <w:rPr>
            <w:webHidden/>
          </w:rPr>
          <w:fldChar w:fldCharType="end"/>
        </w:r>
      </w:hyperlink>
    </w:p>
    <w:p w:rsidR="00DC5F62" w:rsidRDefault="0087145C">
      <w:pPr>
        <w:pStyle w:val="TOC2"/>
        <w:rPr>
          <w:rFonts w:asciiTheme="minorHAnsi" w:eastAsiaTheme="minorEastAsia" w:hAnsiTheme="minorHAnsi" w:cstheme="minorBidi"/>
          <w:b w:val="0"/>
          <w:color w:val="auto"/>
        </w:rPr>
      </w:pPr>
      <w:hyperlink w:anchor="_Toc462146140" w:history="1">
        <w:r w:rsidR="00DC5F62" w:rsidRPr="00BC29B5">
          <w:rPr>
            <w:rStyle w:val="Hyperlink"/>
          </w:rPr>
          <w:t>2.</w:t>
        </w:r>
        <w:r w:rsidR="00DC5F62">
          <w:rPr>
            <w:rFonts w:asciiTheme="minorHAnsi" w:eastAsiaTheme="minorEastAsia" w:hAnsiTheme="minorHAnsi" w:cstheme="minorBidi"/>
            <w:b w:val="0"/>
            <w:color w:val="auto"/>
          </w:rPr>
          <w:tab/>
        </w:r>
        <w:r w:rsidR="00DC5F62" w:rsidRPr="00BC29B5">
          <w:rPr>
            <w:rStyle w:val="Hyperlink"/>
          </w:rPr>
          <w:t>Бюджети на общините</w:t>
        </w:r>
        <w:r w:rsidR="00DC5F62">
          <w:rPr>
            <w:webHidden/>
          </w:rPr>
          <w:tab/>
        </w:r>
        <w:r w:rsidR="00DC5F62">
          <w:rPr>
            <w:webHidden/>
          </w:rPr>
          <w:fldChar w:fldCharType="begin"/>
        </w:r>
        <w:r w:rsidR="00DC5F62">
          <w:rPr>
            <w:webHidden/>
          </w:rPr>
          <w:instrText xml:space="preserve"> PAGEREF _Toc462146140 \h </w:instrText>
        </w:r>
        <w:r w:rsidR="00DC5F62">
          <w:rPr>
            <w:webHidden/>
          </w:rPr>
        </w:r>
        <w:r w:rsidR="00DC5F62">
          <w:rPr>
            <w:webHidden/>
          </w:rPr>
          <w:fldChar w:fldCharType="separate"/>
        </w:r>
        <w:r w:rsidR="00417E1B">
          <w:rPr>
            <w:webHidden/>
          </w:rPr>
          <w:t>136</w:t>
        </w:r>
        <w:r w:rsidR="00DC5F62">
          <w:rPr>
            <w:webHidden/>
          </w:rPr>
          <w:fldChar w:fldCharType="end"/>
        </w:r>
      </w:hyperlink>
    </w:p>
    <w:p w:rsidR="00DC5F62" w:rsidRDefault="0087145C">
      <w:pPr>
        <w:pStyle w:val="TOC2"/>
        <w:rPr>
          <w:rFonts w:asciiTheme="minorHAnsi" w:eastAsiaTheme="minorEastAsia" w:hAnsiTheme="minorHAnsi" w:cstheme="minorBidi"/>
          <w:b w:val="0"/>
          <w:color w:val="auto"/>
        </w:rPr>
      </w:pPr>
      <w:hyperlink w:anchor="_Toc462146141" w:history="1">
        <w:r w:rsidR="00DC5F62" w:rsidRPr="00BC29B5">
          <w:rPr>
            <w:rStyle w:val="Hyperlink"/>
          </w:rPr>
          <w:t>3.</w:t>
        </w:r>
        <w:r w:rsidR="00DC5F62">
          <w:rPr>
            <w:rFonts w:asciiTheme="minorHAnsi" w:eastAsiaTheme="minorEastAsia" w:hAnsiTheme="minorHAnsi" w:cstheme="minorBidi"/>
            <w:b w:val="0"/>
            <w:color w:val="auto"/>
          </w:rPr>
          <w:tab/>
        </w:r>
        <w:r w:rsidR="00DC5F62" w:rsidRPr="00BC29B5">
          <w:rPr>
            <w:rStyle w:val="Hyperlink"/>
          </w:rPr>
          <w:t>Бюджети на социалноосигурителните фондове</w:t>
        </w:r>
        <w:r w:rsidR="00DC5F62">
          <w:rPr>
            <w:webHidden/>
          </w:rPr>
          <w:tab/>
        </w:r>
        <w:r w:rsidR="00DC5F62">
          <w:rPr>
            <w:webHidden/>
          </w:rPr>
          <w:fldChar w:fldCharType="begin"/>
        </w:r>
        <w:r w:rsidR="00DC5F62">
          <w:rPr>
            <w:webHidden/>
          </w:rPr>
          <w:instrText xml:space="preserve"> PAGEREF _Toc462146141 \h </w:instrText>
        </w:r>
        <w:r w:rsidR="00DC5F62">
          <w:rPr>
            <w:webHidden/>
          </w:rPr>
        </w:r>
        <w:r w:rsidR="00DC5F62">
          <w:rPr>
            <w:webHidden/>
          </w:rPr>
          <w:fldChar w:fldCharType="separate"/>
        </w:r>
        <w:r w:rsidR="00417E1B">
          <w:rPr>
            <w:webHidden/>
          </w:rPr>
          <w:t>141</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42" w:history="1">
        <w:r w:rsidR="00DC5F62" w:rsidRPr="00BC29B5">
          <w:rPr>
            <w:rStyle w:val="Hyperlink"/>
          </w:rPr>
          <w:t>3.1</w:t>
        </w:r>
        <w:r w:rsidR="00DC5F62">
          <w:rPr>
            <w:rFonts w:asciiTheme="minorHAnsi" w:eastAsiaTheme="minorEastAsia" w:hAnsiTheme="minorHAnsi" w:cstheme="minorBidi"/>
            <w:color w:val="auto"/>
            <w:sz w:val="22"/>
            <w:szCs w:val="22"/>
          </w:rPr>
          <w:tab/>
        </w:r>
        <w:r w:rsidR="00DC5F62" w:rsidRPr="00BC29B5">
          <w:rPr>
            <w:rStyle w:val="Hyperlink"/>
          </w:rPr>
          <w:t>Бюджет на Държавното обществено осигуряване</w:t>
        </w:r>
        <w:r w:rsidR="00DC5F62">
          <w:rPr>
            <w:webHidden/>
          </w:rPr>
          <w:tab/>
        </w:r>
        <w:r w:rsidR="00DC5F62">
          <w:rPr>
            <w:webHidden/>
          </w:rPr>
          <w:fldChar w:fldCharType="begin"/>
        </w:r>
        <w:r w:rsidR="00DC5F62">
          <w:rPr>
            <w:webHidden/>
          </w:rPr>
          <w:instrText xml:space="preserve"> PAGEREF _Toc462146142 \h </w:instrText>
        </w:r>
        <w:r w:rsidR="00DC5F62">
          <w:rPr>
            <w:webHidden/>
          </w:rPr>
        </w:r>
        <w:r w:rsidR="00DC5F62">
          <w:rPr>
            <w:webHidden/>
          </w:rPr>
          <w:fldChar w:fldCharType="separate"/>
        </w:r>
        <w:r w:rsidR="00417E1B">
          <w:rPr>
            <w:webHidden/>
          </w:rPr>
          <w:t>141</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43" w:history="1">
        <w:r w:rsidR="00DC5F62" w:rsidRPr="00BC29B5">
          <w:rPr>
            <w:rStyle w:val="Hyperlink"/>
          </w:rPr>
          <w:t>3.2</w:t>
        </w:r>
        <w:r w:rsidR="00DC5F62">
          <w:rPr>
            <w:rFonts w:asciiTheme="minorHAnsi" w:eastAsiaTheme="minorEastAsia" w:hAnsiTheme="minorHAnsi" w:cstheme="minorBidi"/>
            <w:color w:val="auto"/>
            <w:sz w:val="22"/>
            <w:szCs w:val="22"/>
          </w:rPr>
          <w:tab/>
        </w:r>
        <w:r w:rsidR="00DC5F62" w:rsidRPr="00BC29B5">
          <w:rPr>
            <w:rStyle w:val="Hyperlink"/>
          </w:rPr>
          <w:t>Бюджет на Учителски пенсионен фонд</w:t>
        </w:r>
        <w:r w:rsidR="00DC5F62">
          <w:rPr>
            <w:webHidden/>
          </w:rPr>
          <w:tab/>
        </w:r>
        <w:r w:rsidR="00DC5F62">
          <w:rPr>
            <w:webHidden/>
          </w:rPr>
          <w:fldChar w:fldCharType="begin"/>
        </w:r>
        <w:r w:rsidR="00DC5F62">
          <w:rPr>
            <w:webHidden/>
          </w:rPr>
          <w:instrText xml:space="preserve"> PAGEREF _Toc462146143 \h </w:instrText>
        </w:r>
        <w:r w:rsidR="00DC5F62">
          <w:rPr>
            <w:webHidden/>
          </w:rPr>
        </w:r>
        <w:r w:rsidR="00DC5F62">
          <w:rPr>
            <w:webHidden/>
          </w:rPr>
          <w:fldChar w:fldCharType="separate"/>
        </w:r>
        <w:r w:rsidR="00417E1B">
          <w:rPr>
            <w:webHidden/>
          </w:rPr>
          <w:t>142</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44" w:history="1">
        <w:r w:rsidR="00DC5F62" w:rsidRPr="00BC29B5">
          <w:rPr>
            <w:rStyle w:val="Hyperlink"/>
          </w:rPr>
          <w:t>3.3</w:t>
        </w:r>
        <w:r w:rsidR="00DC5F62">
          <w:rPr>
            <w:rFonts w:asciiTheme="minorHAnsi" w:eastAsiaTheme="minorEastAsia" w:hAnsiTheme="minorHAnsi" w:cstheme="minorBidi"/>
            <w:color w:val="auto"/>
            <w:sz w:val="22"/>
            <w:szCs w:val="22"/>
          </w:rPr>
          <w:tab/>
        </w:r>
        <w:r w:rsidR="00DC5F62" w:rsidRPr="00BC29B5">
          <w:rPr>
            <w:rStyle w:val="Hyperlink"/>
          </w:rPr>
          <w:t>Бюджет на фонд „Гарантирани вземания на работниците и служителите”</w:t>
        </w:r>
        <w:r w:rsidR="00DC5F62">
          <w:rPr>
            <w:webHidden/>
          </w:rPr>
          <w:tab/>
        </w:r>
        <w:r w:rsidR="00DC5F62">
          <w:rPr>
            <w:webHidden/>
          </w:rPr>
          <w:fldChar w:fldCharType="begin"/>
        </w:r>
        <w:r w:rsidR="00DC5F62">
          <w:rPr>
            <w:webHidden/>
          </w:rPr>
          <w:instrText xml:space="preserve"> PAGEREF _Toc462146144 \h </w:instrText>
        </w:r>
        <w:r w:rsidR="00DC5F62">
          <w:rPr>
            <w:webHidden/>
          </w:rPr>
        </w:r>
        <w:r w:rsidR="00DC5F62">
          <w:rPr>
            <w:webHidden/>
          </w:rPr>
          <w:fldChar w:fldCharType="separate"/>
        </w:r>
        <w:r w:rsidR="00417E1B">
          <w:rPr>
            <w:webHidden/>
          </w:rPr>
          <w:t>142</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45" w:history="1">
        <w:r w:rsidR="00DC5F62" w:rsidRPr="00BC29B5">
          <w:rPr>
            <w:rStyle w:val="Hyperlink"/>
          </w:rPr>
          <w:t>3.4</w:t>
        </w:r>
        <w:r w:rsidR="00DC5F62">
          <w:rPr>
            <w:rFonts w:asciiTheme="minorHAnsi" w:eastAsiaTheme="minorEastAsia" w:hAnsiTheme="minorHAnsi" w:cstheme="minorBidi"/>
            <w:color w:val="auto"/>
            <w:sz w:val="22"/>
            <w:szCs w:val="22"/>
          </w:rPr>
          <w:tab/>
        </w:r>
        <w:r w:rsidR="00DC5F62" w:rsidRPr="00BC29B5">
          <w:rPr>
            <w:rStyle w:val="Hyperlink"/>
          </w:rPr>
          <w:t>Бюджет на Националната здравноосигурителна каса</w:t>
        </w:r>
        <w:r w:rsidR="00DC5F62">
          <w:rPr>
            <w:webHidden/>
          </w:rPr>
          <w:tab/>
        </w:r>
        <w:r w:rsidR="00DC5F62">
          <w:rPr>
            <w:webHidden/>
          </w:rPr>
          <w:fldChar w:fldCharType="begin"/>
        </w:r>
        <w:r w:rsidR="00DC5F62">
          <w:rPr>
            <w:webHidden/>
          </w:rPr>
          <w:instrText xml:space="preserve"> PAGEREF _Toc462146145 \h </w:instrText>
        </w:r>
        <w:r w:rsidR="00DC5F62">
          <w:rPr>
            <w:webHidden/>
          </w:rPr>
        </w:r>
        <w:r w:rsidR="00DC5F62">
          <w:rPr>
            <w:webHidden/>
          </w:rPr>
          <w:fldChar w:fldCharType="separate"/>
        </w:r>
        <w:r w:rsidR="00417E1B">
          <w:rPr>
            <w:webHidden/>
          </w:rPr>
          <w:t>143</w:t>
        </w:r>
        <w:r w:rsidR="00DC5F62">
          <w:rPr>
            <w:webHidden/>
          </w:rPr>
          <w:fldChar w:fldCharType="end"/>
        </w:r>
      </w:hyperlink>
    </w:p>
    <w:p w:rsidR="00DC5F62" w:rsidRDefault="0087145C">
      <w:pPr>
        <w:pStyle w:val="TOC2"/>
        <w:rPr>
          <w:rFonts w:asciiTheme="minorHAnsi" w:eastAsiaTheme="minorEastAsia" w:hAnsiTheme="minorHAnsi" w:cstheme="minorBidi"/>
          <w:b w:val="0"/>
          <w:color w:val="auto"/>
        </w:rPr>
      </w:pPr>
      <w:hyperlink w:anchor="_Toc462146146" w:history="1">
        <w:r w:rsidR="00DC5F62" w:rsidRPr="00BC29B5">
          <w:rPr>
            <w:rStyle w:val="Hyperlink"/>
          </w:rPr>
          <w:t>4.</w:t>
        </w:r>
        <w:r w:rsidR="00DC5F62">
          <w:rPr>
            <w:rFonts w:asciiTheme="minorHAnsi" w:eastAsiaTheme="minorEastAsia" w:hAnsiTheme="minorHAnsi" w:cstheme="minorBidi"/>
            <w:b w:val="0"/>
            <w:color w:val="auto"/>
          </w:rPr>
          <w:tab/>
        </w:r>
        <w:r w:rsidR="00DC5F62" w:rsidRPr="00BC29B5">
          <w:rPr>
            <w:rStyle w:val="Hyperlink"/>
          </w:rPr>
          <w:t>Бюджети по чл. 13, ал. 3 на Закона за публичните финанси</w:t>
        </w:r>
        <w:r w:rsidR="00DC5F62">
          <w:rPr>
            <w:webHidden/>
          </w:rPr>
          <w:tab/>
        </w:r>
        <w:r w:rsidR="00DC5F62">
          <w:rPr>
            <w:webHidden/>
          </w:rPr>
          <w:fldChar w:fldCharType="begin"/>
        </w:r>
        <w:r w:rsidR="00DC5F62">
          <w:rPr>
            <w:webHidden/>
          </w:rPr>
          <w:instrText xml:space="preserve"> PAGEREF _Toc462146146 \h </w:instrText>
        </w:r>
        <w:r w:rsidR="00DC5F62">
          <w:rPr>
            <w:webHidden/>
          </w:rPr>
        </w:r>
        <w:r w:rsidR="00DC5F62">
          <w:rPr>
            <w:webHidden/>
          </w:rPr>
          <w:fldChar w:fldCharType="separate"/>
        </w:r>
        <w:r w:rsidR="00417E1B">
          <w:rPr>
            <w:webHidden/>
          </w:rPr>
          <w:t>144</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47" w:history="1">
        <w:r w:rsidR="00DC5F62" w:rsidRPr="00BC29B5">
          <w:rPr>
            <w:rStyle w:val="Hyperlink"/>
          </w:rPr>
          <w:t>4.1</w:t>
        </w:r>
        <w:r w:rsidR="00DC5F62">
          <w:rPr>
            <w:rFonts w:asciiTheme="minorHAnsi" w:eastAsiaTheme="minorEastAsia" w:hAnsiTheme="minorHAnsi" w:cstheme="minorBidi"/>
            <w:color w:val="auto"/>
            <w:sz w:val="22"/>
            <w:szCs w:val="22"/>
          </w:rPr>
          <w:tab/>
        </w:r>
        <w:r w:rsidR="00DC5F62" w:rsidRPr="00BC29B5">
          <w:rPr>
            <w:rStyle w:val="Hyperlink"/>
          </w:rPr>
          <w:t>Държавни висши училища</w:t>
        </w:r>
        <w:r w:rsidR="00DC5F62">
          <w:rPr>
            <w:webHidden/>
          </w:rPr>
          <w:tab/>
        </w:r>
        <w:r w:rsidR="00DC5F62">
          <w:rPr>
            <w:webHidden/>
          </w:rPr>
          <w:fldChar w:fldCharType="begin"/>
        </w:r>
        <w:r w:rsidR="00DC5F62">
          <w:rPr>
            <w:webHidden/>
          </w:rPr>
          <w:instrText xml:space="preserve"> PAGEREF _Toc462146147 \h </w:instrText>
        </w:r>
        <w:r w:rsidR="00DC5F62">
          <w:rPr>
            <w:webHidden/>
          </w:rPr>
        </w:r>
        <w:r w:rsidR="00DC5F62">
          <w:rPr>
            <w:webHidden/>
          </w:rPr>
          <w:fldChar w:fldCharType="separate"/>
        </w:r>
        <w:r w:rsidR="00417E1B">
          <w:rPr>
            <w:webHidden/>
          </w:rPr>
          <w:t>144</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48" w:history="1">
        <w:r w:rsidR="00DC5F62" w:rsidRPr="00BC29B5">
          <w:rPr>
            <w:rStyle w:val="Hyperlink"/>
          </w:rPr>
          <w:t>4.2</w:t>
        </w:r>
        <w:r w:rsidR="00DC5F62">
          <w:rPr>
            <w:rFonts w:asciiTheme="minorHAnsi" w:eastAsiaTheme="minorEastAsia" w:hAnsiTheme="minorHAnsi" w:cstheme="minorBidi"/>
            <w:color w:val="auto"/>
            <w:sz w:val="22"/>
            <w:szCs w:val="22"/>
          </w:rPr>
          <w:tab/>
        </w:r>
        <w:r w:rsidR="00DC5F62" w:rsidRPr="00BC29B5">
          <w:rPr>
            <w:rStyle w:val="Hyperlink"/>
          </w:rPr>
          <w:t>Българска академия на науките</w:t>
        </w:r>
        <w:r w:rsidR="00DC5F62">
          <w:rPr>
            <w:webHidden/>
          </w:rPr>
          <w:tab/>
        </w:r>
        <w:r w:rsidR="00DC5F62">
          <w:rPr>
            <w:webHidden/>
          </w:rPr>
          <w:fldChar w:fldCharType="begin"/>
        </w:r>
        <w:r w:rsidR="00DC5F62">
          <w:rPr>
            <w:webHidden/>
          </w:rPr>
          <w:instrText xml:space="preserve"> PAGEREF _Toc462146148 \h </w:instrText>
        </w:r>
        <w:r w:rsidR="00DC5F62">
          <w:rPr>
            <w:webHidden/>
          </w:rPr>
        </w:r>
        <w:r w:rsidR="00DC5F62">
          <w:rPr>
            <w:webHidden/>
          </w:rPr>
          <w:fldChar w:fldCharType="separate"/>
        </w:r>
        <w:r w:rsidR="00417E1B">
          <w:rPr>
            <w:webHidden/>
          </w:rPr>
          <w:t>145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49" w:history="1">
        <w:r w:rsidR="00DC5F62" w:rsidRPr="00BC29B5">
          <w:rPr>
            <w:rStyle w:val="Hyperlink"/>
          </w:rPr>
          <w:t>4.3</w:t>
        </w:r>
        <w:r w:rsidR="00DC5F62">
          <w:rPr>
            <w:rFonts w:asciiTheme="minorHAnsi" w:eastAsiaTheme="minorEastAsia" w:hAnsiTheme="minorHAnsi" w:cstheme="minorBidi"/>
            <w:color w:val="auto"/>
            <w:sz w:val="22"/>
            <w:szCs w:val="22"/>
          </w:rPr>
          <w:tab/>
        </w:r>
        <w:r w:rsidR="00DC5F62" w:rsidRPr="00BC29B5">
          <w:rPr>
            <w:rStyle w:val="Hyperlink"/>
          </w:rPr>
          <w:t>Българско национално радио</w:t>
        </w:r>
        <w:r w:rsidR="00DC5F62">
          <w:rPr>
            <w:webHidden/>
          </w:rPr>
          <w:tab/>
        </w:r>
        <w:r w:rsidR="00DC5F62">
          <w:rPr>
            <w:webHidden/>
          </w:rPr>
          <w:fldChar w:fldCharType="begin"/>
        </w:r>
        <w:r w:rsidR="00DC5F62">
          <w:rPr>
            <w:webHidden/>
          </w:rPr>
          <w:instrText xml:space="preserve"> PAGEREF _Toc462146149 \h </w:instrText>
        </w:r>
        <w:r w:rsidR="00DC5F62">
          <w:rPr>
            <w:webHidden/>
          </w:rPr>
        </w:r>
        <w:r w:rsidR="00DC5F62">
          <w:rPr>
            <w:webHidden/>
          </w:rPr>
          <w:fldChar w:fldCharType="separate"/>
        </w:r>
        <w:r w:rsidR="00417E1B">
          <w:rPr>
            <w:webHidden/>
          </w:rPr>
          <w:t>145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50" w:history="1">
        <w:r w:rsidR="00DC5F62" w:rsidRPr="00BC29B5">
          <w:rPr>
            <w:rStyle w:val="Hyperlink"/>
          </w:rPr>
          <w:t>4.4</w:t>
        </w:r>
        <w:r w:rsidR="00DC5F62">
          <w:rPr>
            <w:rFonts w:asciiTheme="minorHAnsi" w:eastAsiaTheme="minorEastAsia" w:hAnsiTheme="minorHAnsi" w:cstheme="minorBidi"/>
            <w:color w:val="auto"/>
            <w:sz w:val="22"/>
            <w:szCs w:val="22"/>
          </w:rPr>
          <w:tab/>
        </w:r>
        <w:r w:rsidR="00DC5F62" w:rsidRPr="00BC29B5">
          <w:rPr>
            <w:rStyle w:val="Hyperlink"/>
          </w:rPr>
          <w:t>Българска национална телевизия</w:t>
        </w:r>
        <w:r w:rsidR="00DC5F62">
          <w:rPr>
            <w:webHidden/>
          </w:rPr>
          <w:tab/>
        </w:r>
        <w:r w:rsidR="00DC5F62">
          <w:rPr>
            <w:webHidden/>
          </w:rPr>
          <w:fldChar w:fldCharType="begin"/>
        </w:r>
        <w:r w:rsidR="00DC5F62">
          <w:rPr>
            <w:webHidden/>
          </w:rPr>
          <w:instrText xml:space="preserve"> PAGEREF _Toc462146150 \h </w:instrText>
        </w:r>
        <w:r w:rsidR="00DC5F62">
          <w:rPr>
            <w:webHidden/>
          </w:rPr>
        </w:r>
        <w:r w:rsidR="00DC5F62">
          <w:rPr>
            <w:webHidden/>
          </w:rPr>
          <w:fldChar w:fldCharType="separate"/>
        </w:r>
        <w:r w:rsidR="00417E1B">
          <w:rPr>
            <w:webHidden/>
          </w:rPr>
          <w:t>147</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51" w:history="1">
        <w:r w:rsidR="00DC5F62" w:rsidRPr="00BC29B5">
          <w:rPr>
            <w:rStyle w:val="Hyperlink"/>
          </w:rPr>
          <w:t>4.5</w:t>
        </w:r>
        <w:r w:rsidR="00DC5F62">
          <w:rPr>
            <w:rFonts w:asciiTheme="minorHAnsi" w:eastAsiaTheme="minorEastAsia" w:hAnsiTheme="minorHAnsi" w:cstheme="minorBidi"/>
            <w:color w:val="auto"/>
            <w:sz w:val="22"/>
            <w:szCs w:val="22"/>
          </w:rPr>
          <w:tab/>
        </w:r>
        <w:r w:rsidR="00DC5F62" w:rsidRPr="00BC29B5">
          <w:rPr>
            <w:rStyle w:val="Hyperlink"/>
          </w:rPr>
          <w:t>Българска телеграфна агенция</w:t>
        </w:r>
        <w:r w:rsidR="00DC5F62">
          <w:rPr>
            <w:webHidden/>
          </w:rPr>
          <w:tab/>
        </w:r>
        <w:r w:rsidR="00DC5F62">
          <w:rPr>
            <w:webHidden/>
          </w:rPr>
          <w:fldChar w:fldCharType="begin"/>
        </w:r>
        <w:r w:rsidR="00DC5F62">
          <w:rPr>
            <w:webHidden/>
          </w:rPr>
          <w:instrText xml:space="preserve"> PAGEREF _Toc462146151 \h </w:instrText>
        </w:r>
        <w:r w:rsidR="00DC5F62">
          <w:rPr>
            <w:webHidden/>
          </w:rPr>
        </w:r>
        <w:r w:rsidR="00DC5F62">
          <w:rPr>
            <w:webHidden/>
          </w:rPr>
          <w:fldChar w:fldCharType="separate"/>
        </w:r>
        <w:r w:rsidR="00417E1B">
          <w:rPr>
            <w:webHidden/>
          </w:rPr>
          <w:t>148</w:t>
        </w:r>
        <w:r w:rsidR="00DC5F62">
          <w:rPr>
            <w:webHidden/>
          </w:rPr>
          <w:fldChar w:fldCharType="end"/>
        </w:r>
      </w:hyperlink>
    </w:p>
    <w:p w:rsidR="00DC5F62" w:rsidRDefault="0087145C">
      <w:pPr>
        <w:pStyle w:val="TOC2"/>
        <w:rPr>
          <w:rFonts w:asciiTheme="minorHAnsi" w:eastAsiaTheme="minorEastAsia" w:hAnsiTheme="minorHAnsi" w:cstheme="minorBidi"/>
          <w:b w:val="0"/>
          <w:color w:val="auto"/>
        </w:rPr>
      </w:pPr>
      <w:hyperlink w:anchor="_Toc462146152" w:history="1">
        <w:r w:rsidR="00DC5F62" w:rsidRPr="00BC29B5">
          <w:rPr>
            <w:rStyle w:val="Hyperlink"/>
          </w:rPr>
          <w:t>5.</w:t>
        </w:r>
        <w:r w:rsidR="00DC5F62">
          <w:rPr>
            <w:rFonts w:asciiTheme="minorHAnsi" w:eastAsiaTheme="minorEastAsia" w:hAnsiTheme="minorHAnsi" w:cstheme="minorBidi"/>
            <w:b w:val="0"/>
            <w:color w:val="auto"/>
          </w:rPr>
          <w:tab/>
        </w:r>
        <w:r w:rsidR="00DC5F62" w:rsidRPr="00BC29B5">
          <w:rPr>
            <w:rStyle w:val="Hyperlink"/>
          </w:rPr>
          <w:t>Сметки за средствата от Европейския съюз на бюджетни организации</w:t>
        </w:r>
        <w:r w:rsidR="00DC5F62">
          <w:rPr>
            <w:webHidden/>
          </w:rPr>
          <w:tab/>
        </w:r>
        <w:r w:rsidR="00DC5F62">
          <w:rPr>
            <w:webHidden/>
          </w:rPr>
          <w:fldChar w:fldCharType="begin"/>
        </w:r>
        <w:r w:rsidR="00DC5F62">
          <w:rPr>
            <w:webHidden/>
          </w:rPr>
          <w:instrText xml:space="preserve"> PAGEREF _Toc462146152 \h </w:instrText>
        </w:r>
        <w:r w:rsidR="00DC5F62">
          <w:rPr>
            <w:webHidden/>
          </w:rPr>
        </w:r>
        <w:r w:rsidR="00DC5F62">
          <w:rPr>
            <w:webHidden/>
          </w:rPr>
          <w:fldChar w:fldCharType="separate"/>
        </w:r>
        <w:r w:rsidR="00417E1B">
          <w:rPr>
            <w:webHidden/>
          </w:rPr>
          <w:t>149</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53" w:history="1">
        <w:r w:rsidR="00DC5F62" w:rsidRPr="00BC29B5">
          <w:rPr>
            <w:rStyle w:val="Hyperlink"/>
          </w:rPr>
          <w:t>5.1</w:t>
        </w:r>
        <w:r w:rsidR="00DC5F62">
          <w:rPr>
            <w:rFonts w:asciiTheme="minorHAnsi" w:eastAsiaTheme="minorEastAsia" w:hAnsiTheme="minorHAnsi" w:cstheme="minorBidi"/>
            <w:color w:val="auto"/>
            <w:sz w:val="22"/>
            <w:szCs w:val="22"/>
          </w:rPr>
          <w:tab/>
        </w:r>
        <w:r w:rsidR="00DC5F62" w:rsidRPr="00BC29B5">
          <w:rPr>
            <w:rStyle w:val="Hyperlink"/>
          </w:rPr>
          <w:t>Сметка за средствата от Европейския съюз на Национален фонд към Министерство на финансите</w:t>
        </w:r>
        <w:r w:rsidR="00DC5F62">
          <w:rPr>
            <w:webHidden/>
          </w:rPr>
          <w:tab/>
        </w:r>
        <w:r w:rsidR="00DC5F62">
          <w:rPr>
            <w:webHidden/>
          </w:rPr>
          <w:fldChar w:fldCharType="begin"/>
        </w:r>
        <w:r w:rsidR="00DC5F62">
          <w:rPr>
            <w:webHidden/>
          </w:rPr>
          <w:instrText xml:space="preserve"> PAGEREF _Toc462146153 \h </w:instrText>
        </w:r>
        <w:r w:rsidR="00DC5F62">
          <w:rPr>
            <w:webHidden/>
          </w:rPr>
        </w:r>
        <w:r w:rsidR="00DC5F62">
          <w:rPr>
            <w:webHidden/>
          </w:rPr>
          <w:fldChar w:fldCharType="separate"/>
        </w:r>
        <w:r w:rsidR="00417E1B">
          <w:rPr>
            <w:webHidden/>
          </w:rPr>
          <w:t>149</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54" w:history="1">
        <w:r w:rsidR="00DC5F62" w:rsidRPr="00BC29B5">
          <w:rPr>
            <w:rStyle w:val="Hyperlink"/>
          </w:rPr>
          <w:t>5.2</w:t>
        </w:r>
        <w:r w:rsidR="00DC5F62">
          <w:rPr>
            <w:rFonts w:asciiTheme="minorHAnsi" w:eastAsiaTheme="minorEastAsia" w:hAnsiTheme="minorHAnsi" w:cstheme="minorBidi"/>
            <w:color w:val="auto"/>
            <w:sz w:val="22"/>
            <w:szCs w:val="22"/>
          </w:rPr>
          <w:tab/>
        </w:r>
        <w:r w:rsidR="00DC5F62" w:rsidRPr="00BC29B5">
          <w:rPr>
            <w:rStyle w:val="Hyperlink"/>
          </w:rPr>
          <w:t>Сметки за средствата от Европейския съюз, администрирани от Разплащателната агенция към Държавен фонд “Земеделие”</w:t>
        </w:r>
        <w:r w:rsidR="00DC5F62">
          <w:rPr>
            <w:webHidden/>
          </w:rPr>
          <w:tab/>
        </w:r>
        <w:r w:rsidR="00DC5F62">
          <w:rPr>
            <w:webHidden/>
          </w:rPr>
          <w:fldChar w:fldCharType="begin"/>
        </w:r>
        <w:r w:rsidR="00DC5F62">
          <w:rPr>
            <w:webHidden/>
          </w:rPr>
          <w:instrText xml:space="preserve"> PAGEREF _Toc462146154 \h </w:instrText>
        </w:r>
        <w:r w:rsidR="00DC5F62">
          <w:rPr>
            <w:webHidden/>
          </w:rPr>
        </w:r>
        <w:r w:rsidR="00DC5F62">
          <w:rPr>
            <w:webHidden/>
          </w:rPr>
          <w:fldChar w:fldCharType="separate"/>
        </w:r>
        <w:r w:rsidR="00417E1B">
          <w:rPr>
            <w:webHidden/>
          </w:rPr>
          <w:t>153</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55" w:history="1">
        <w:r w:rsidR="00DC5F62" w:rsidRPr="00BC29B5">
          <w:rPr>
            <w:rStyle w:val="Hyperlink"/>
          </w:rPr>
          <w:t>5.3</w:t>
        </w:r>
        <w:r w:rsidR="00DC5F62">
          <w:rPr>
            <w:rFonts w:asciiTheme="minorHAnsi" w:eastAsiaTheme="minorEastAsia" w:hAnsiTheme="minorHAnsi" w:cstheme="minorBidi"/>
            <w:color w:val="auto"/>
            <w:sz w:val="22"/>
            <w:szCs w:val="22"/>
          </w:rPr>
          <w:tab/>
        </w:r>
        <w:r w:rsidR="00DC5F62" w:rsidRPr="00BC29B5">
          <w:rPr>
            <w:rStyle w:val="Hyperlink"/>
          </w:rPr>
          <w:t>Сметки за средствата от ЕС на общините</w:t>
        </w:r>
        <w:r w:rsidR="00DC5F62">
          <w:rPr>
            <w:webHidden/>
          </w:rPr>
          <w:tab/>
        </w:r>
        <w:r w:rsidR="00DC5F62">
          <w:rPr>
            <w:webHidden/>
          </w:rPr>
          <w:fldChar w:fldCharType="begin"/>
        </w:r>
        <w:r w:rsidR="00DC5F62">
          <w:rPr>
            <w:webHidden/>
          </w:rPr>
          <w:instrText xml:space="preserve"> PAGEREF _Toc462146155 \h </w:instrText>
        </w:r>
        <w:r w:rsidR="00DC5F62">
          <w:rPr>
            <w:webHidden/>
          </w:rPr>
        </w:r>
        <w:r w:rsidR="00DC5F62">
          <w:rPr>
            <w:webHidden/>
          </w:rPr>
          <w:fldChar w:fldCharType="separate"/>
        </w:r>
        <w:r w:rsidR="00417E1B">
          <w:rPr>
            <w:webHidden/>
          </w:rPr>
          <w:t>155</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56" w:history="1">
        <w:r w:rsidR="00DC5F62" w:rsidRPr="00BC29B5">
          <w:rPr>
            <w:rStyle w:val="Hyperlink"/>
          </w:rPr>
          <w:t>5.4</w:t>
        </w:r>
        <w:r w:rsidR="00DC5F62">
          <w:rPr>
            <w:rFonts w:asciiTheme="minorHAnsi" w:eastAsiaTheme="minorEastAsia" w:hAnsiTheme="minorHAnsi" w:cstheme="minorBidi"/>
            <w:color w:val="auto"/>
            <w:sz w:val="22"/>
            <w:szCs w:val="22"/>
          </w:rPr>
          <w:tab/>
        </w:r>
        <w:r w:rsidR="00DC5F62" w:rsidRPr="00BC29B5">
          <w:rPr>
            <w:rStyle w:val="Hyperlink"/>
          </w:rPr>
          <w:t>Сметка към министъра на финансите за средствата от продажбата на предписани емисионни единици</w:t>
        </w:r>
        <w:r w:rsidR="00DC5F62">
          <w:rPr>
            <w:webHidden/>
          </w:rPr>
          <w:tab/>
        </w:r>
        <w:r w:rsidR="00DC5F62">
          <w:rPr>
            <w:webHidden/>
          </w:rPr>
          <w:fldChar w:fldCharType="begin"/>
        </w:r>
        <w:r w:rsidR="00DC5F62">
          <w:rPr>
            <w:webHidden/>
          </w:rPr>
          <w:instrText xml:space="preserve"> PAGEREF _Toc462146156 \h </w:instrText>
        </w:r>
        <w:r w:rsidR="00DC5F62">
          <w:rPr>
            <w:webHidden/>
          </w:rPr>
        </w:r>
        <w:r w:rsidR="00DC5F62">
          <w:rPr>
            <w:webHidden/>
          </w:rPr>
          <w:fldChar w:fldCharType="separate"/>
        </w:r>
        <w:r w:rsidR="00417E1B">
          <w:rPr>
            <w:webHidden/>
          </w:rPr>
          <w:t>156</w:t>
        </w:r>
        <w:r w:rsidR="00DC5F62">
          <w:rPr>
            <w:webHidden/>
          </w:rPr>
          <w:fldChar w:fldCharType="end"/>
        </w:r>
      </w:hyperlink>
    </w:p>
    <w:p w:rsidR="00DC5F62" w:rsidRDefault="0087145C">
      <w:pPr>
        <w:pStyle w:val="TOC2"/>
        <w:rPr>
          <w:rFonts w:asciiTheme="minorHAnsi" w:eastAsiaTheme="minorEastAsia" w:hAnsiTheme="minorHAnsi" w:cstheme="minorBidi"/>
          <w:b w:val="0"/>
          <w:color w:val="auto"/>
        </w:rPr>
      </w:pPr>
      <w:hyperlink w:anchor="_Toc462146157" w:history="1">
        <w:r w:rsidR="00DC5F62" w:rsidRPr="00BC29B5">
          <w:rPr>
            <w:rStyle w:val="Hyperlink"/>
          </w:rPr>
          <w:t>6.</w:t>
        </w:r>
        <w:r w:rsidR="00DC5F62">
          <w:rPr>
            <w:rFonts w:asciiTheme="minorHAnsi" w:eastAsiaTheme="minorEastAsia" w:hAnsiTheme="minorHAnsi" w:cstheme="minorBidi"/>
            <w:b w:val="0"/>
            <w:color w:val="auto"/>
          </w:rPr>
          <w:tab/>
        </w:r>
        <w:r w:rsidR="00DC5F62" w:rsidRPr="00BC29B5">
          <w:rPr>
            <w:rStyle w:val="Hyperlink"/>
          </w:rPr>
          <w:t>Бюджети по чл. 13, ал. 4 на Закона за публичните финанси</w:t>
        </w:r>
        <w:r w:rsidR="00DC5F62">
          <w:rPr>
            <w:webHidden/>
          </w:rPr>
          <w:tab/>
        </w:r>
        <w:r w:rsidR="00DC5F62">
          <w:rPr>
            <w:webHidden/>
          </w:rPr>
          <w:fldChar w:fldCharType="begin"/>
        </w:r>
        <w:r w:rsidR="00DC5F62">
          <w:rPr>
            <w:webHidden/>
          </w:rPr>
          <w:instrText xml:space="preserve"> PAGEREF _Toc462146157 \h </w:instrText>
        </w:r>
        <w:r w:rsidR="00DC5F62">
          <w:rPr>
            <w:webHidden/>
          </w:rPr>
        </w:r>
        <w:r w:rsidR="00DC5F62">
          <w:rPr>
            <w:webHidden/>
          </w:rPr>
          <w:fldChar w:fldCharType="separate"/>
        </w:r>
        <w:r w:rsidR="00417E1B">
          <w:rPr>
            <w:webHidden/>
          </w:rPr>
          <w:t>156</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58" w:history="1">
        <w:r w:rsidR="00DC5F62" w:rsidRPr="00BC29B5">
          <w:rPr>
            <w:rStyle w:val="Hyperlink"/>
          </w:rPr>
          <w:t>6.1</w:t>
        </w:r>
        <w:r w:rsidR="00DC5F62">
          <w:rPr>
            <w:rFonts w:asciiTheme="minorHAnsi" w:eastAsiaTheme="minorEastAsia" w:hAnsiTheme="minorHAnsi" w:cstheme="minorBidi"/>
            <w:color w:val="auto"/>
            <w:sz w:val="22"/>
            <w:szCs w:val="22"/>
          </w:rPr>
          <w:tab/>
        </w:r>
        <w:r w:rsidR="00DC5F62" w:rsidRPr="00BC29B5">
          <w:rPr>
            <w:rStyle w:val="Hyperlink"/>
          </w:rPr>
          <w:t>Предприятие за управление на дейностите по опазване на околната среда</w:t>
        </w:r>
        <w:r w:rsidR="00DC5F62">
          <w:rPr>
            <w:webHidden/>
          </w:rPr>
          <w:tab/>
        </w:r>
        <w:r w:rsidR="00DC5F62">
          <w:rPr>
            <w:webHidden/>
          </w:rPr>
          <w:fldChar w:fldCharType="begin"/>
        </w:r>
        <w:r w:rsidR="00DC5F62">
          <w:rPr>
            <w:webHidden/>
          </w:rPr>
          <w:instrText xml:space="preserve"> PAGEREF _Toc462146158 \h </w:instrText>
        </w:r>
        <w:r w:rsidR="00DC5F62">
          <w:rPr>
            <w:webHidden/>
          </w:rPr>
        </w:r>
        <w:r w:rsidR="00DC5F62">
          <w:rPr>
            <w:webHidden/>
          </w:rPr>
          <w:fldChar w:fldCharType="separate"/>
        </w:r>
        <w:r w:rsidR="00417E1B">
          <w:rPr>
            <w:webHidden/>
          </w:rPr>
          <w:t>156</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59" w:history="1">
        <w:r w:rsidR="00DC5F62" w:rsidRPr="00BC29B5">
          <w:rPr>
            <w:rStyle w:val="Hyperlink"/>
            <w:lang w:val="en-US"/>
          </w:rPr>
          <w:t>6.2</w:t>
        </w:r>
        <w:r w:rsidR="00DC5F62">
          <w:rPr>
            <w:rFonts w:asciiTheme="minorHAnsi" w:eastAsiaTheme="minorEastAsia" w:hAnsiTheme="minorHAnsi" w:cstheme="minorBidi"/>
            <w:color w:val="auto"/>
            <w:sz w:val="22"/>
            <w:szCs w:val="22"/>
          </w:rPr>
          <w:tab/>
        </w:r>
        <w:r w:rsidR="00DC5F62" w:rsidRPr="00BC29B5">
          <w:rPr>
            <w:rStyle w:val="Hyperlink"/>
          </w:rPr>
          <w:t>Национална компания „Стратегически инфраструктурни проекти“</w:t>
        </w:r>
        <w:r w:rsidR="00DC5F62">
          <w:rPr>
            <w:webHidden/>
          </w:rPr>
          <w:tab/>
        </w:r>
        <w:r w:rsidR="00DC5F62">
          <w:rPr>
            <w:webHidden/>
          </w:rPr>
          <w:fldChar w:fldCharType="begin"/>
        </w:r>
        <w:r w:rsidR="00DC5F62">
          <w:rPr>
            <w:webHidden/>
          </w:rPr>
          <w:instrText xml:space="preserve"> PAGEREF _Toc462146159 \h </w:instrText>
        </w:r>
        <w:r w:rsidR="00DC5F62">
          <w:rPr>
            <w:webHidden/>
          </w:rPr>
        </w:r>
        <w:r w:rsidR="00DC5F62">
          <w:rPr>
            <w:webHidden/>
          </w:rPr>
          <w:fldChar w:fldCharType="separate"/>
        </w:r>
        <w:r w:rsidR="00417E1B">
          <w:rPr>
            <w:webHidden/>
          </w:rPr>
          <w:t>157</w:t>
        </w:r>
        <w:r w:rsidR="00DC5F62">
          <w:rPr>
            <w:webHidden/>
          </w:rPr>
          <w:fldChar w:fldCharType="end"/>
        </w:r>
      </w:hyperlink>
    </w:p>
    <w:p w:rsidR="00DC5F62" w:rsidRDefault="0087145C">
      <w:pPr>
        <w:pStyle w:val="TOC3"/>
        <w:rPr>
          <w:rFonts w:asciiTheme="minorHAnsi" w:eastAsiaTheme="minorEastAsia" w:hAnsiTheme="minorHAnsi" w:cstheme="minorBidi"/>
          <w:color w:val="auto"/>
          <w:sz w:val="22"/>
          <w:szCs w:val="22"/>
        </w:rPr>
      </w:pPr>
      <w:hyperlink w:anchor="_Toc462146160" w:history="1">
        <w:r w:rsidR="00DC5F62" w:rsidRPr="00BC29B5">
          <w:rPr>
            <w:rStyle w:val="Hyperlink"/>
            <w:lang w:val="en-US"/>
          </w:rPr>
          <w:t>6.3</w:t>
        </w:r>
        <w:r w:rsidR="00DC5F62">
          <w:rPr>
            <w:rFonts w:asciiTheme="minorHAnsi" w:eastAsiaTheme="minorEastAsia" w:hAnsiTheme="minorHAnsi" w:cstheme="minorBidi"/>
            <w:color w:val="auto"/>
            <w:sz w:val="22"/>
            <w:szCs w:val="22"/>
          </w:rPr>
          <w:tab/>
        </w:r>
        <w:r w:rsidR="00DC5F62" w:rsidRPr="00BC29B5">
          <w:rPr>
            <w:rStyle w:val="Hyperlink"/>
          </w:rPr>
          <w:t>Фонд „Сигурност на електроенергийната система“</w:t>
        </w:r>
        <w:r w:rsidR="00DC5F62">
          <w:rPr>
            <w:webHidden/>
          </w:rPr>
          <w:tab/>
        </w:r>
        <w:r w:rsidR="00DC5F62">
          <w:rPr>
            <w:webHidden/>
          </w:rPr>
          <w:fldChar w:fldCharType="begin"/>
        </w:r>
        <w:r w:rsidR="00DC5F62">
          <w:rPr>
            <w:webHidden/>
          </w:rPr>
          <w:instrText xml:space="preserve"> PAGEREF _Toc462146160 \h </w:instrText>
        </w:r>
        <w:r w:rsidR="00DC5F62">
          <w:rPr>
            <w:webHidden/>
          </w:rPr>
        </w:r>
        <w:r w:rsidR="00DC5F62">
          <w:rPr>
            <w:webHidden/>
          </w:rPr>
          <w:fldChar w:fldCharType="separate"/>
        </w:r>
        <w:r w:rsidR="00417E1B">
          <w:rPr>
            <w:webHidden/>
          </w:rPr>
          <w:t>157</w:t>
        </w:r>
        <w:r w:rsidR="00DC5F62">
          <w:rPr>
            <w:webHidden/>
          </w:rPr>
          <w:fldChar w:fldCharType="end"/>
        </w:r>
      </w:hyperlink>
    </w:p>
    <w:p w:rsidR="00DC5F62" w:rsidRDefault="0087145C">
      <w:pPr>
        <w:pStyle w:val="TOC1"/>
        <w:rPr>
          <w:rFonts w:asciiTheme="minorHAnsi" w:eastAsiaTheme="minorEastAsia" w:hAnsiTheme="minorHAnsi" w:cstheme="minorBidi"/>
          <w:b w:val="0"/>
          <w:color w:val="auto"/>
          <w:sz w:val="22"/>
        </w:rPr>
      </w:pPr>
      <w:hyperlink w:anchor="_Toc462146161" w:history="1">
        <w:r w:rsidR="00DC5F62" w:rsidRPr="00BC29B5">
          <w:rPr>
            <w:rStyle w:val="Hyperlink"/>
          </w:rPr>
          <w:t>ЗАКЛЮЧЕНИЕ</w:t>
        </w:r>
        <w:r w:rsidR="00DC5F62">
          <w:rPr>
            <w:webHidden/>
          </w:rPr>
          <w:tab/>
        </w:r>
        <w:r w:rsidR="00DC5F62">
          <w:rPr>
            <w:webHidden/>
          </w:rPr>
          <w:fldChar w:fldCharType="begin"/>
        </w:r>
        <w:r w:rsidR="00DC5F62">
          <w:rPr>
            <w:webHidden/>
          </w:rPr>
          <w:instrText xml:space="preserve"> PAGEREF _Toc462146161 \h </w:instrText>
        </w:r>
        <w:r w:rsidR="00DC5F62">
          <w:rPr>
            <w:webHidden/>
          </w:rPr>
        </w:r>
        <w:r w:rsidR="00DC5F62">
          <w:rPr>
            <w:webHidden/>
          </w:rPr>
          <w:fldChar w:fldCharType="separate"/>
        </w:r>
        <w:r w:rsidR="00417E1B">
          <w:rPr>
            <w:webHidden/>
          </w:rPr>
          <w:t>159</w:t>
        </w:r>
        <w:r w:rsidR="00DC5F62">
          <w:rPr>
            <w:webHidden/>
          </w:rPr>
          <w:fldChar w:fldCharType="end"/>
        </w:r>
      </w:hyperlink>
    </w:p>
    <w:p w:rsidR="00666D9F" w:rsidRPr="001F6421" w:rsidRDefault="00666D9F" w:rsidP="00646840">
      <w:pPr>
        <w:pStyle w:val="TOC1"/>
        <w:rPr>
          <w:color w:val="0070C0"/>
        </w:rPr>
      </w:pPr>
      <w:r w:rsidRPr="001F6421">
        <w:rPr>
          <w:bCs/>
          <w:noProof w:val="0"/>
          <w:color w:val="0070C0"/>
        </w:rPr>
        <w:fldChar w:fldCharType="end"/>
      </w:r>
    </w:p>
    <w:p w:rsidR="00666D9F" w:rsidRPr="00BB33FB" w:rsidRDefault="00666D9F" w:rsidP="00443121">
      <w:pPr>
        <w:pStyle w:val="Heading1"/>
      </w:pPr>
      <w:bookmarkStart w:id="6" w:name="_Toc261276548"/>
      <w:r w:rsidRPr="001F6421">
        <w:rPr>
          <w:color w:val="0070C0"/>
        </w:rPr>
        <w:br w:type="page"/>
      </w:r>
      <w:bookmarkStart w:id="7" w:name="_Toc324863379"/>
      <w:bookmarkStart w:id="8" w:name="_Toc462146087"/>
      <w:r w:rsidRPr="00BB33FB">
        <w:lastRenderedPageBreak/>
        <w:t>Използвани съкращения</w:t>
      </w:r>
      <w:bookmarkEnd w:id="6"/>
      <w:bookmarkEnd w:id="7"/>
      <w:bookmarkEnd w:id="8"/>
    </w:p>
    <w:p w:rsidR="00666D9F" w:rsidRPr="001F6421" w:rsidRDefault="00666D9F" w:rsidP="002130D9">
      <w:pPr>
        <w:rPr>
          <w:color w:val="0070C0"/>
          <w:sz w:val="8"/>
          <w:szCs w:val="8"/>
          <w:highlight w:val="yellow"/>
        </w:rPr>
      </w:pPr>
    </w:p>
    <w:p w:rsidR="00BB34CC" w:rsidRPr="007F1E97" w:rsidRDefault="00BB34CC" w:rsidP="00BB34CC">
      <w:r w:rsidRPr="007F1E97">
        <w:t>АМ – Агенция „Митници”</w:t>
      </w:r>
    </w:p>
    <w:p w:rsidR="00BB34CC" w:rsidRPr="007F1E97" w:rsidRDefault="00BB34CC" w:rsidP="00BB34CC">
      <w:pPr>
        <w:autoSpaceDE w:val="0"/>
        <w:autoSpaceDN w:val="0"/>
        <w:adjustRightInd w:val="0"/>
      </w:pPr>
      <w:r w:rsidRPr="007F1E97">
        <w:t>БВД – брутен външен дълг</w:t>
      </w:r>
    </w:p>
    <w:p w:rsidR="00BB34CC" w:rsidRPr="007F1E97" w:rsidRDefault="00BB34CC" w:rsidP="00BB34CC">
      <w:pPr>
        <w:autoSpaceDE w:val="0"/>
        <w:autoSpaceDN w:val="0"/>
        <w:adjustRightInd w:val="0"/>
      </w:pPr>
      <w:r w:rsidRPr="007F1E97">
        <w:t>БВП – брутен вътрешен продукт</w:t>
      </w:r>
    </w:p>
    <w:p w:rsidR="00BB34CC" w:rsidRPr="007F1E97" w:rsidRDefault="00BB34CC" w:rsidP="00BB34CC">
      <w:pPr>
        <w:autoSpaceDE w:val="0"/>
        <w:autoSpaceDN w:val="0"/>
        <w:adjustRightInd w:val="0"/>
      </w:pPr>
      <w:r w:rsidRPr="009F4B1E">
        <w:t xml:space="preserve">БДЖ – Български държавни железници </w:t>
      </w:r>
    </w:p>
    <w:p w:rsidR="00BB34CC" w:rsidRPr="007F1E97" w:rsidRDefault="00BB34CC" w:rsidP="00BB34CC">
      <w:r w:rsidRPr="007F1E97">
        <w:t>БНБ – Българска народна банка</w:t>
      </w:r>
    </w:p>
    <w:p w:rsidR="00BB34CC" w:rsidRPr="007F1E97" w:rsidRDefault="00BB34CC" w:rsidP="00BB34CC">
      <w:r w:rsidRPr="007F1E97">
        <w:t>б. т. – базисни точки</w:t>
      </w:r>
    </w:p>
    <w:p w:rsidR="00BB34CC" w:rsidRPr="007F1E97" w:rsidRDefault="00BB34CC" w:rsidP="00BB34CC">
      <w:r w:rsidRPr="007F1E97">
        <w:t>ВОП – вътреобщностни придобивания</w:t>
      </w:r>
    </w:p>
    <w:p w:rsidR="00BB34CC" w:rsidRPr="007F1E97" w:rsidRDefault="00BB34CC" w:rsidP="00BB34CC">
      <w:r w:rsidRPr="007F1E97">
        <w:t>ВСС – Висш съдебен съвет</w:t>
      </w:r>
    </w:p>
    <w:p w:rsidR="00BB34CC" w:rsidRPr="007F1E97" w:rsidRDefault="00BB34CC" w:rsidP="00BB34CC">
      <w:r w:rsidRPr="007F1E97">
        <w:t xml:space="preserve">ГПК – Граждански процесуален кодекс </w:t>
      </w:r>
    </w:p>
    <w:p w:rsidR="00BB34CC" w:rsidRPr="007F1E97" w:rsidRDefault="00BB34CC" w:rsidP="00BB34CC">
      <w:r w:rsidRPr="007F1E97">
        <w:t>ДАНС – Държавна агенция „Национална сигурност”</w:t>
      </w:r>
    </w:p>
    <w:p w:rsidR="00F65E6C" w:rsidRDefault="00F65E6C" w:rsidP="00F65E6C">
      <w:r>
        <w:t>ДАТО – Държавна агенция „Технически операции“</w:t>
      </w:r>
    </w:p>
    <w:p w:rsidR="00BB34CC" w:rsidRPr="007F1E97" w:rsidRDefault="00BB34CC" w:rsidP="00BB34CC">
      <w:r w:rsidRPr="007F1E97">
        <w:t xml:space="preserve">ДБ – </w:t>
      </w:r>
      <w:r w:rsidR="00392F9D">
        <w:t>д</w:t>
      </w:r>
      <w:r w:rsidRPr="007F1E97">
        <w:t>ържавен бюджет</w:t>
      </w:r>
    </w:p>
    <w:p w:rsidR="00BB34CC" w:rsidRPr="007F1E97" w:rsidRDefault="00BB34CC" w:rsidP="00BB34CC">
      <w:r w:rsidRPr="007F1E97">
        <w:t>ДВ – Държавен вестник</w:t>
      </w:r>
    </w:p>
    <w:p w:rsidR="00BB34CC" w:rsidRPr="007F1E97" w:rsidRDefault="00BB34CC" w:rsidP="00BB34CC">
      <w:r w:rsidRPr="007F1E97">
        <w:t xml:space="preserve">ДВУ – </w:t>
      </w:r>
      <w:r w:rsidR="00392F9D">
        <w:t>д</w:t>
      </w:r>
      <w:r w:rsidRPr="007F1E97">
        <w:t>ържавни висши училища</w:t>
      </w:r>
    </w:p>
    <w:p w:rsidR="00BB34CC" w:rsidRPr="007F1E97" w:rsidRDefault="00BB34CC" w:rsidP="00BB34CC">
      <w:r w:rsidRPr="007F1E97">
        <w:t>ДДС – данък върху добавената стойност</w:t>
      </w:r>
    </w:p>
    <w:p w:rsidR="00BB34CC" w:rsidRPr="007F1E97" w:rsidRDefault="00BB34CC" w:rsidP="00BB34CC">
      <w:r w:rsidRPr="007F1E97">
        <w:t>ДИЗ – държавни инвестиционни заеми</w:t>
      </w:r>
    </w:p>
    <w:p w:rsidR="00BB34CC" w:rsidRPr="007F1E97" w:rsidRDefault="00BB34CC" w:rsidP="00BB34CC">
      <w:r w:rsidRPr="007F1E97">
        <w:t xml:space="preserve">ДМА – дълготрайни материални активи </w:t>
      </w:r>
    </w:p>
    <w:p w:rsidR="00BB34CC" w:rsidRPr="007F1E97" w:rsidRDefault="00BB34CC" w:rsidP="00BB34CC">
      <w:r w:rsidRPr="007F1E97">
        <w:t>ДМП – други международни програми</w:t>
      </w:r>
    </w:p>
    <w:p w:rsidR="00BB34CC" w:rsidRPr="007F1E97" w:rsidRDefault="00BB34CC" w:rsidP="00BB34CC">
      <w:r w:rsidRPr="007F1E97">
        <w:t>ДОО – държавно обществено осигуряване</w:t>
      </w:r>
    </w:p>
    <w:p w:rsidR="00BB34CC" w:rsidRPr="007F1E97" w:rsidRDefault="00BB34CC" w:rsidP="00BB34CC">
      <w:r w:rsidRPr="007F1E97">
        <w:t>ДФЗ – Държавен фонд „Земеделие”</w:t>
      </w:r>
    </w:p>
    <w:p w:rsidR="00BB34CC" w:rsidRPr="007F1E97" w:rsidRDefault="00BB34CC" w:rsidP="00BB34CC">
      <w:r w:rsidRPr="007F1E97">
        <w:t>ЕАД – еднолично акционерно дружество</w:t>
      </w:r>
    </w:p>
    <w:p w:rsidR="00BB34CC" w:rsidRPr="007F1E97" w:rsidRDefault="00BB34CC" w:rsidP="00BB34CC">
      <w:r w:rsidRPr="007F1E97">
        <w:t>ЕК – Европейска комисия</w:t>
      </w:r>
    </w:p>
    <w:p w:rsidR="00BB34CC" w:rsidRPr="007F1E97" w:rsidRDefault="00BB34CC" w:rsidP="00BB34CC">
      <w:r w:rsidRPr="007F1E97">
        <w:t>ЕО – Европейска общност</w:t>
      </w:r>
    </w:p>
    <w:p w:rsidR="00BB34CC" w:rsidRPr="007F1E97" w:rsidRDefault="00BB34CC" w:rsidP="00BB34CC">
      <w:r w:rsidRPr="007F1E97">
        <w:t>ЕС – Европейски съюз</w:t>
      </w:r>
    </w:p>
    <w:p w:rsidR="00BB34CC" w:rsidRPr="007F1E97" w:rsidRDefault="00BB34CC" w:rsidP="00BB34CC">
      <w:r w:rsidRPr="007F1E97">
        <w:t>ЕСС – Европейска система от сметки</w:t>
      </w:r>
    </w:p>
    <w:p w:rsidR="00BB34CC" w:rsidRPr="007F1E97" w:rsidRDefault="00BB34CC" w:rsidP="00BB34CC">
      <w:r w:rsidRPr="007F1E97">
        <w:t>ЕИП – Европейско икономическо пространство</w:t>
      </w:r>
    </w:p>
    <w:p w:rsidR="00BB34CC" w:rsidRDefault="00BB34CC" w:rsidP="00BB34CC">
      <w:pPr>
        <w:rPr>
          <w:lang w:val="en-US"/>
        </w:rPr>
      </w:pPr>
      <w:r w:rsidRPr="007F1E97">
        <w:t>ЕФ – европейски фондове</w:t>
      </w:r>
    </w:p>
    <w:p w:rsidR="00676C11" w:rsidRPr="00676C11" w:rsidRDefault="00676C11" w:rsidP="00BB34CC">
      <w:pPr>
        <w:rPr>
          <w:lang w:val="en-US"/>
        </w:rPr>
      </w:pPr>
      <w:r>
        <w:t>ЗАДС</w:t>
      </w:r>
      <w:r>
        <w:rPr>
          <w:lang w:val="en-US"/>
        </w:rPr>
        <w:t xml:space="preserve"> </w:t>
      </w:r>
      <w:r w:rsidRPr="007F1E97">
        <w:t>–</w:t>
      </w:r>
      <w:r>
        <w:t xml:space="preserve"> З</w:t>
      </w:r>
      <w:r w:rsidRPr="00676C11">
        <w:rPr>
          <w:lang w:val="en-US"/>
        </w:rPr>
        <w:t>акон за акцизите и данъчните складове</w:t>
      </w:r>
    </w:p>
    <w:p w:rsidR="00BB34CC" w:rsidRPr="007F1E97" w:rsidRDefault="00BB34CC" w:rsidP="00BB34CC">
      <w:r w:rsidRPr="007F1E97">
        <w:t>ЗДБРБ – Закон за държавния бюджет на Република България</w:t>
      </w:r>
    </w:p>
    <w:p w:rsidR="00BB34CC" w:rsidRPr="007F1E97" w:rsidRDefault="00BB34CC" w:rsidP="00BB34CC">
      <w:r w:rsidRPr="007F1E97">
        <w:t>ЗДДС – Закон за данък върху добавената стойност</w:t>
      </w:r>
    </w:p>
    <w:p w:rsidR="00BB34CC" w:rsidRPr="007F1E97" w:rsidRDefault="00BB34CC" w:rsidP="00BB34CC">
      <w:r w:rsidRPr="007F1E97">
        <w:t>ЗДДФЛ – Закон за данъците върху доходите на физическите лица</w:t>
      </w:r>
    </w:p>
    <w:p w:rsidR="00BB34CC" w:rsidRPr="007F1E97" w:rsidRDefault="00BB34CC" w:rsidP="00BB34CC">
      <w:r w:rsidRPr="007F1E97">
        <w:t>ЗИД – Закон за изменение и допълнение</w:t>
      </w:r>
    </w:p>
    <w:p w:rsidR="00BB34CC" w:rsidRPr="007F1E97" w:rsidRDefault="00BB34CC" w:rsidP="00BB34CC">
      <w:r w:rsidRPr="007F1E97">
        <w:t>ЗКПО – Закон за корпоративното подоходно облагане</w:t>
      </w:r>
    </w:p>
    <w:p w:rsidR="00BB34CC" w:rsidRPr="007F1E97" w:rsidRDefault="00BB34CC" w:rsidP="00BB34CC">
      <w:r w:rsidRPr="007F1E97">
        <w:t>ЗМДТ – Закон за местните данъци и такси</w:t>
      </w:r>
    </w:p>
    <w:p w:rsidR="00BB34CC" w:rsidRPr="007F1E97" w:rsidRDefault="00BB34CC" w:rsidP="00BB34CC">
      <w:r w:rsidRPr="007F1E97">
        <w:t xml:space="preserve">ЗУО – </w:t>
      </w:r>
      <w:r w:rsidRPr="007F1E97">
        <w:rPr>
          <w:iCs/>
        </w:rPr>
        <w:t>Закон за управление на отпадъци</w:t>
      </w:r>
    </w:p>
    <w:p w:rsidR="00BB34CC" w:rsidRPr="007F1E97" w:rsidRDefault="00BB34CC" w:rsidP="00BB34CC">
      <w:r w:rsidRPr="007F1E97">
        <w:t xml:space="preserve">ИПЦ – индекс на потребителските цени </w:t>
      </w:r>
    </w:p>
    <w:p w:rsidR="00BB34CC" w:rsidRPr="007F1E97" w:rsidRDefault="00BB34CC" w:rsidP="00BB34CC">
      <w:r w:rsidRPr="007F1E97">
        <w:t>ИСПА – Инструмент на структурните политики за присъединяване</w:t>
      </w:r>
    </w:p>
    <w:p w:rsidR="00BB34CC" w:rsidRPr="007F1E97" w:rsidRDefault="00BB34CC" w:rsidP="00BB34CC">
      <w:r w:rsidRPr="007F1E97">
        <w:t>ИА – Изпълнителна агенция</w:t>
      </w:r>
    </w:p>
    <w:p w:rsidR="00BB34CC" w:rsidRPr="007F1E97" w:rsidRDefault="00BB34CC" w:rsidP="00BB34CC">
      <w:r w:rsidRPr="007F1E97">
        <w:t>ИПП – Инструмент за предприсъединителна помощ</w:t>
      </w:r>
    </w:p>
    <w:p w:rsidR="00BB34CC" w:rsidRPr="007F1E97" w:rsidRDefault="00BB34CC" w:rsidP="00BB34CC">
      <w:r w:rsidRPr="007F1E97">
        <w:t>КРС – Комисия за регулиране на съобщенията</w:t>
      </w:r>
    </w:p>
    <w:p w:rsidR="00BB34CC" w:rsidRPr="007F1E97" w:rsidRDefault="00BB34CC" w:rsidP="00BB34CC">
      <w:r w:rsidRPr="007F1E97">
        <w:t>КСО – Кодекс за социално осигуряване</w:t>
      </w:r>
    </w:p>
    <w:p w:rsidR="007D4159" w:rsidRPr="00EC33FC" w:rsidRDefault="007D4159" w:rsidP="00BB34CC">
      <w:r>
        <w:t xml:space="preserve">КТБ – </w:t>
      </w:r>
      <w:r w:rsidR="00D512F1">
        <w:t>„</w:t>
      </w:r>
      <w:r>
        <w:t>Корпоративна търговска банка</w:t>
      </w:r>
      <w:r w:rsidR="00D512F1">
        <w:t>“</w:t>
      </w:r>
      <w:r w:rsidR="00D512F1">
        <w:rPr>
          <w:lang w:val="en-US"/>
        </w:rPr>
        <w:t xml:space="preserve"> </w:t>
      </w:r>
      <w:r w:rsidR="00D512F1">
        <w:t>АД</w:t>
      </w:r>
    </w:p>
    <w:p w:rsidR="00BB34CC" w:rsidRPr="007F1E97" w:rsidRDefault="00BB34CC" w:rsidP="00BB34CC">
      <w:r w:rsidRPr="007F1E97">
        <w:t xml:space="preserve">КФП – </w:t>
      </w:r>
      <w:r w:rsidR="00392F9D">
        <w:t>к</w:t>
      </w:r>
      <w:r w:rsidRPr="007F1E97">
        <w:t>онсолидирана фискална програма</w:t>
      </w:r>
    </w:p>
    <w:p w:rsidR="00BB34CC" w:rsidRPr="007F1E97" w:rsidRDefault="00BB34CC" w:rsidP="00BB34CC">
      <w:r w:rsidRPr="007F1E97">
        <w:t>МБВР – Международна банка за възстановяване и развитие</w:t>
      </w:r>
    </w:p>
    <w:p w:rsidR="00BB34CC" w:rsidRPr="007F1E97" w:rsidRDefault="00BB34CC" w:rsidP="00BB34CC">
      <w:r w:rsidRPr="007F1E97">
        <w:t>МВР – Министерство на вътрешните работи</w:t>
      </w:r>
    </w:p>
    <w:p w:rsidR="00BB34CC" w:rsidRPr="007F1E97" w:rsidRDefault="00BB34CC" w:rsidP="00BB34CC">
      <w:r w:rsidRPr="007F1E97">
        <w:t>МВнР – Министерство на външните работи</w:t>
      </w:r>
    </w:p>
    <w:p w:rsidR="00BB34CC" w:rsidRPr="007F1E97" w:rsidRDefault="00BB34CC" w:rsidP="00BB34CC">
      <w:pPr>
        <w:rPr>
          <w:lang w:val="en-US"/>
        </w:rPr>
      </w:pPr>
      <w:r w:rsidRPr="007F1E97">
        <w:t>МВФ – Международен валутен фонд</w:t>
      </w:r>
    </w:p>
    <w:p w:rsidR="00BB34CC" w:rsidRPr="007F1E97" w:rsidRDefault="00BB34CC" w:rsidP="00BB34CC">
      <w:r w:rsidRPr="007F1E97">
        <w:t xml:space="preserve">МЕ – Министерство на енергетиката </w:t>
      </w:r>
    </w:p>
    <w:p w:rsidR="00BB34CC" w:rsidRPr="007F1E97" w:rsidRDefault="00BB34CC" w:rsidP="00BB34CC">
      <w:r w:rsidRPr="007F1E97">
        <w:t>МЗ – Министерство на здравеопазването</w:t>
      </w:r>
    </w:p>
    <w:p w:rsidR="00BB34CC" w:rsidRPr="007F1E97" w:rsidRDefault="00BB34CC" w:rsidP="00BB34CC">
      <w:r w:rsidRPr="007F1E97">
        <w:lastRenderedPageBreak/>
        <w:t>МЗХ – Министерство на земеделието и храните</w:t>
      </w:r>
    </w:p>
    <w:p w:rsidR="00BB34CC" w:rsidRPr="007F1E97" w:rsidRDefault="00BB34CC" w:rsidP="00BB34CC">
      <w:pPr>
        <w:rPr>
          <w:lang w:val="en-US"/>
        </w:rPr>
      </w:pPr>
      <w:r w:rsidRPr="007F1E97">
        <w:t xml:space="preserve">МИ – Министерство на икономиката </w:t>
      </w:r>
    </w:p>
    <w:p w:rsidR="00BB34CC" w:rsidRPr="007F1E97" w:rsidRDefault="00BB34CC" w:rsidP="00BB34CC">
      <w:r w:rsidRPr="007F1E97">
        <w:t>МИП – Министерство на инвестиционното проектиране</w:t>
      </w:r>
    </w:p>
    <w:p w:rsidR="00BB34CC" w:rsidRPr="007F1E97" w:rsidRDefault="00BB34CC" w:rsidP="00BB34CC">
      <w:r w:rsidRPr="007F1E97">
        <w:t>МК – Министерство на културата</w:t>
      </w:r>
    </w:p>
    <w:p w:rsidR="00BB34CC" w:rsidRPr="007F1E97" w:rsidRDefault="00BB34CC" w:rsidP="00BB34CC">
      <w:r w:rsidRPr="007F1E97">
        <w:t>МО – Министерство на отбраната</w:t>
      </w:r>
    </w:p>
    <w:p w:rsidR="00BB34CC" w:rsidRPr="007F1E97" w:rsidRDefault="00BB34CC" w:rsidP="00BB34CC">
      <w:r w:rsidRPr="007F1E97">
        <w:t>МОН – Министерство на образованието и науката</w:t>
      </w:r>
    </w:p>
    <w:p w:rsidR="00BB34CC" w:rsidRPr="007F1E97" w:rsidRDefault="00BB34CC" w:rsidP="00BB34CC">
      <w:r w:rsidRPr="007F1E97">
        <w:t>МОСВ – Министерство на околната среда и водите</w:t>
      </w:r>
    </w:p>
    <w:p w:rsidR="00BB34CC" w:rsidRPr="007F1E97" w:rsidRDefault="00BB34CC" w:rsidP="00BB34CC">
      <w:r w:rsidRPr="007F1E97">
        <w:t>МП – Министерство на правосъдието</w:t>
      </w:r>
    </w:p>
    <w:p w:rsidR="00BB34CC" w:rsidRPr="007F1E97" w:rsidRDefault="00BB34CC" w:rsidP="00BB34CC">
      <w:r w:rsidRPr="007F1E97">
        <w:t>МРРБ – Министерство на регионалното развитие и благоустройството</w:t>
      </w:r>
    </w:p>
    <w:p w:rsidR="00BB34CC" w:rsidRPr="007F1E97" w:rsidRDefault="00BB34CC" w:rsidP="00BB34CC">
      <w:r w:rsidRPr="007F1E97">
        <w:t>МС – Министерски съвет</w:t>
      </w:r>
    </w:p>
    <w:p w:rsidR="00BB34CC" w:rsidRPr="007F1E97" w:rsidRDefault="00BB34CC" w:rsidP="00BB34CC">
      <w:r w:rsidRPr="007F1E97">
        <w:t>МТИТС – Министерство на транспорта, информационните технологии и съобщенията</w:t>
      </w:r>
    </w:p>
    <w:p w:rsidR="00BB34CC" w:rsidRPr="007F1E97" w:rsidRDefault="00BB34CC" w:rsidP="00BB34CC">
      <w:r w:rsidRPr="007F1E97">
        <w:t>МТСП – Министерство на труда и социалната политика</w:t>
      </w:r>
    </w:p>
    <w:p w:rsidR="00BB34CC" w:rsidRPr="007F1E97" w:rsidRDefault="00BB34CC" w:rsidP="00BB34CC">
      <w:r w:rsidRPr="007F1E97">
        <w:t>МФ – Министерство на финансите</w:t>
      </w:r>
    </w:p>
    <w:p w:rsidR="00BB34CC" w:rsidRPr="007F1E97" w:rsidRDefault="00BB34CC" w:rsidP="00BB34CC">
      <w:r w:rsidRPr="007F1E97">
        <w:t>ММС – Министерство на младежта и спорта</w:t>
      </w:r>
    </w:p>
    <w:p w:rsidR="00BB34CC" w:rsidRPr="007F1E97" w:rsidRDefault="00BB34CC" w:rsidP="00BB34CC">
      <w:r w:rsidRPr="007F1E97">
        <w:t>НАП – Национална агенция за приходите</w:t>
      </w:r>
    </w:p>
    <w:p w:rsidR="00BB34CC" w:rsidRPr="007F1E97" w:rsidRDefault="00BB34CC" w:rsidP="00BB34CC">
      <w:r w:rsidRPr="007F1E97">
        <w:t>НДЕФ - Национален доверителен екофонд</w:t>
      </w:r>
    </w:p>
    <w:p w:rsidR="00BB34CC" w:rsidRPr="007F1E97" w:rsidRDefault="00BB34CC" w:rsidP="00BB34CC">
      <w:r w:rsidRPr="007F1E97">
        <w:t>АПИ –Агенция „Пътна инфраструктура”</w:t>
      </w:r>
    </w:p>
    <w:p w:rsidR="00BB34CC" w:rsidRPr="007F1E97" w:rsidRDefault="00BB34CC" w:rsidP="00BB34CC">
      <w:r w:rsidRPr="007F1E97">
        <w:t>НАТО – Организация на Северноатлантическия договор</w:t>
      </w:r>
    </w:p>
    <w:p w:rsidR="00BB34CC" w:rsidRPr="007F1E97" w:rsidRDefault="00BB34CC" w:rsidP="00BB34CC">
      <w:r w:rsidRPr="007F1E97">
        <w:t>НЗОК – Национална здравноосигурителна каса</w:t>
      </w:r>
    </w:p>
    <w:p w:rsidR="00BB34CC" w:rsidRPr="007F1E97" w:rsidRDefault="00BB34CC" w:rsidP="00BB34CC">
      <w:r w:rsidRPr="007F1E97">
        <w:t>НК ”ЖИ” – Национална компания „Железопътна инфраструктура”</w:t>
      </w:r>
    </w:p>
    <w:p w:rsidR="00BB34CC" w:rsidRPr="007F1E97" w:rsidRDefault="00BB34CC" w:rsidP="00BB34CC">
      <w:r w:rsidRPr="007F1E97">
        <w:t>НОИ – Национален осигурителен институт</w:t>
      </w:r>
    </w:p>
    <w:p w:rsidR="00BB34CC" w:rsidRPr="007F1E97" w:rsidRDefault="00BB34CC" w:rsidP="00BB34CC">
      <w:r w:rsidRPr="007F1E97">
        <w:t>НС – Народно събрание</w:t>
      </w:r>
    </w:p>
    <w:p w:rsidR="00BB34CC" w:rsidRPr="007F1E97" w:rsidRDefault="00BB34CC" w:rsidP="00BB34CC">
      <w:r w:rsidRPr="007F1E97">
        <w:t>НСИ – Национален статистически институт</w:t>
      </w:r>
    </w:p>
    <w:p w:rsidR="00BB34CC" w:rsidRPr="007F1E97" w:rsidRDefault="00BB34CC" w:rsidP="00BB34CC">
      <w:r w:rsidRPr="007F1E97">
        <w:t>НРС – Национална разузнавателна служба</w:t>
      </w:r>
    </w:p>
    <w:p w:rsidR="00BB34CC" w:rsidRPr="007F1E97" w:rsidRDefault="00BB34CC" w:rsidP="00BB34CC">
      <w:r w:rsidRPr="007F1E97">
        <w:t>НСО – Национална служба за охрана</w:t>
      </w:r>
    </w:p>
    <w:p w:rsidR="00BB34CC" w:rsidRDefault="00BB34CC" w:rsidP="00BB34CC">
      <w:r w:rsidRPr="007F1E97">
        <w:t>НФ – Национален фонд</w:t>
      </w:r>
    </w:p>
    <w:p w:rsidR="005D6102" w:rsidRPr="007F1E97" w:rsidRDefault="005D6102" w:rsidP="00BB34CC">
      <w:r>
        <w:t>НФМ - Норвежки</w:t>
      </w:r>
      <w:r w:rsidRPr="00B66FC2">
        <w:t xml:space="preserve"> финансов механизъм</w:t>
      </w:r>
    </w:p>
    <w:p w:rsidR="00BB34CC" w:rsidRPr="007F1E97" w:rsidRDefault="00BB34CC" w:rsidP="00BB34CC">
      <w:r w:rsidRPr="007F1E97">
        <w:t>ОП – Оперативна програма</w:t>
      </w:r>
    </w:p>
    <w:p w:rsidR="00BB34CC" w:rsidRPr="007F1E97" w:rsidRDefault="00BB34CC" w:rsidP="00BB34CC">
      <w:r w:rsidRPr="007F1E97">
        <w:t>ПИП - Публична инвестиционна програма</w:t>
      </w:r>
    </w:p>
    <w:p w:rsidR="00BB34CC" w:rsidRPr="007F1E97" w:rsidRDefault="00BB34CC" w:rsidP="00BB34CC">
      <w:r w:rsidRPr="007F1E97">
        <w:t>ПЗР – преходни и заключителни разпоредби</w:t>
      </w:r>
    </w:p>
    <w:p w:rsidR="00BB34CC" w:rsidRPr="007F1E97" w:rsidRDefault="00BB34CC" w:rsidP="00BB34CC">
      <w:r w:rsidRPr="007F1E97">
        <w:t xml:space="preserve">ПРБ – първостепенни разпоредители с бюджет </w:t>
      </w:r>
    </w:p>
    <w:p w:rsidR="00BB34CC" w:rsidRPr="007F1E97" w:rsidRDefault="00BB34CC" w:rsidP="00BB34CC">
      <w:r w:rsidRPr="007F1E97">
        <w:t>п.п. – процентни пункта</w:t>
      </w:r>
    </w:p>
    <w:p w:rsidR="00BB34CC" w:rsidRPr="007F1E97" w:rsidRDefault="00BB34CC" w:rsidP="00BB34CC">
      <w:r w:rsidRPr="007F1E97">
        <w:t>ПП – програмен продукт</w:t>
      </w:r>
    </w:p>
    <w:p w:rsidR="00BB34CC" w:rsidRPr="007F1E97" w:rsidRDefault="00BB34CC" w:rsidP="00BB34CC">
      <w:r w:rsidRPr="007F1E97">
        <w:t>ПУДООС – Предприятие за управление на дейностите по опазване на околната среда</w:t>
      </w:r>
    </w:p>
    <w:p w:rsidR="00BB34CC" w:rsidRPr="007F1E97" w:rsidRDefault="00BB34CC" w:rsidP="00BB34CC">
      <w:r w:rsidRPr="007F1E97">
        <w:t>ПЧИ – преки чуждестранни инвестиции</w:t>
      </w:r>
    </w:p>
    <w:p w:rsidR="00BB34CC" w:rsidRPr="007F1E97" w:rsidRDefault="00BB34CC" w:rsidP="00BB34CC">
      <w:r w:rsidRPr="007F1E97">
        <w:t>ПФИ – Преходен финансов инструмент</w:t>
      </w:r>
    </w:p>
    <w:p w:rsidR="00BB34CC" w:rsidRPr="007F1E97" w:rsidRDefault="00BB34CC" w:rsidP="00BB34CC">
      <w:r w:rsidRPr="007F1E97">
        <w:t>ПМС – Постановление на Министерския съвет</w:t>
      </w:r>
    </w:p>
    <w:p w:rsidR="00BB34CC" w:rsidRPr="007F1E97" w:rsidRDefault="00BB34CC" w:rsidP="00BB34CC">
      <w:r w:rsidRPr="007F1E97">
        <w:t>СЕПП – Схема за единно плащане на площ</w:t>
      </w:r>
    </w:p>
    <w:p w:rsidR="00BB34CC" w:rsidRPr="007F1E97" w:rsidRDefault="00BB34CC" w:rsidP="00BB34CC">
      <w:r w:rsidRPr="007F1E97">
        <w:t>СКФ – Структурни фондове и Кохезионен фонд</w:t>
      </w:r>
    </w:p>
    <w:p w:rsidR="00BB34CC" w:rsidRPr="007F1E97" w:rsidRDefault="00BB34CC" w:rsidP="00BB34CC">
      <w:r w:rsidRPr="007F1E97">
        <w:t>СНС – система на националните сметки</w:t>
      </w:r>
    </w:p>
    <w:p w:rsidR="00BB34CC" w:rsidRPr="007F1E97" w:rsidRDefault="00BB34CC" w:rsidP="00BB34CC">
      <w:r w:rsidRPr="007F1E97">
        <w:t>СП – Сметна палата</w:t>
      </w:r>
    </w:p>
    <w:p w:rsidR="00BB34CC" w:rsidRPr="007F1E97" w:rsidRDefault="00BB34CC" w:rsidP="00BB34CC">
      <w:r w:rsidRPr="007F1E97">
        <w:t>УО – Управляващ орган</w:t>
      </w:r>
    </w:p>
    <w:p w:rsidR="00BB34CC" w:rsidRPr="007F1E97" w:rsidRDefault="00BB34CC" w:rsidP="00BB34CC">
      <w:r w:rsidRPr="007F1E97">
        <w:t>УПФ – Учителски пенсионен фонд</w:t>
      </w:r>
    </w:p>
    <w:p w:rsidR="00BB34CC" w:rsidRPr="007F1E97" w:rsidRDefault="00BB34CC" w:rsidP="00BB34CC">
      <w:r w:rsidRPr="007F1E97">
        <w:t>ФГВРС –  Фонд „Гарантирани вземания на работници и служители”</w:t>
      </w:r>
    </w:p>
    <w:p w:rsidR="00BB34CC" w:rsidRPr="007F1E97" w:rsidRDefault="00BB34CC" w:rsidP="00BB34CC">
      <w:pPr>
        <w:ind w:right="-108"/>
        <w:rPr>
          <w:lang w:val="ru-RU"/>
        </w:rPr>
      </w:pPr>
      <w:r w:rsidRPr="007F1E97">
        <w:t>ФМ на ЕИП – Финансов механизъм на Европейско икономическо пространство</w:t>
      </w:r>
    </w:p>
    <w:p w:rsidR="00BB34CC" w:rsidRPr="007F1E97" w:rsidRDefault="00BB34CC" w:rsidP="00BB34CC">
      <w:pPr>
        <w:ind w:right="-108"/>
      </w:pPr>
      <w:r w:rsidRPr="007F1E97">
        <w:t xml:space="preserve">ХИПЦ – </w:t>
      </w:r>
      <w:r w:rsidR="00392F9D">
        <w:t>х</w:t>
      </w:r>
      <w:r w:rsidRPr="007F1E97">
        <w:t>армонизиран индекс на потребителските цени</w:t>
      </w:r>
    </w:p>
    <w:p w:rsidR="00BB34CC" w:rsidRPr="007F1E97" w:rsidRDefault="00BB34CC" w:rsidP="00BB34CC">
      <w:r w:rsidRPr="007F1E97">
        <w:t xml:space="preserve">ЦБ – </w:t>
      </w:r>
      <w:r w:rsidR="00392F9D">
        <w:t>ц</w:t>
      </w:r>
      <w:r w:rsidRPr="007F1E97">
        <w:t>ентрален бюджет</w:t>
      </w:r>
    </w:p>
    <w:p w:rsidR="00666D9F" w:rsidRPr="001F6421" w:rsidRDefault="00666D9F" w:rsidP="006E1D59">
      <w:pPr>
        <w:rPr>
          <w:color w:val="0070C0"/>
        </w:rPr>
      </w:pPr>
    </w:p>
    <w:p w:rsidR="00666D9F" w:rsidRPr="001F6421" w:rsidRDefault="00666D9F" w:rsidP="006E1D59">
      <w:pPr>
        <w:rPr>
          <w:color w:val="0070C0"/>
          <w:sz w:val="2"/>
          <w:szCs w:val="2"/>
        </w:rPr>
      </w:pPr>
      <w:r w:rsidRPr="001F6421">
        <w:rPr>
          <w:color w:val="0070C0"/>
          <w:lang w:val="ru-RU"/>
        </w:rPr>
        <w:tab/>
      </w:r>
      <w:r w:rsidRPr="001F6421">
        <w:rPr>
          <w:color w:val="0070C0"/>
          <w:lang w:val="ru-RU"/>
        </w:rPr>
        <w:tab/>
      </w:r>
      <w:r w:rsidRPr="001F6421">
        <w:rPr>
          <w:color w:val="0070C0"/>
        </w:rPr>
        <w:br w:type="page"/>
      </w:r>
    </w:p>
    <w:p w:rsidR="00666D9F" w:rsidRPr="002465C4" w:rsidRDefault="00666D9F" w:rsidP="00964429">
      <w:pPr>
        <w:pStyle w:val="Heading1"/>
        <w:rPr>
          <w:color w:val="000000" w:themeColor="text1"/>
        </w:rPr>
      </w:pPr>
      <w:bookmarkStart w:id="9" w:name="_Toc261276549"/>
      <w:bookmarkStart w:id="10" w:name="_Toc324863380"/>
      <w:bookmarkStart w:id="11" w:name="_Toc462146088"/>
      <w:r w:rsidRPr="002465C4">
        <w:rPr>
          <w:color w:val="000000" w:themeColor="text1"/>
        </w:rPr>
        <w:lastRenderedPageBreak/>
        <w:t>I. АНАЛИЗ НА ОСНОВНИТЕ МАКРОИКОНОМИЧЕСКИ ПОКАЗАТЕЛИ И ТЕНДЕНЦИИ В РАЗВИТИЕТО НА ВЪНШНАТА И ВЪТРЕШНАТА ИКОНОМИЧЕСКА СРЕДА ПРЕЗ 201</w:t>
      </w:r>
      <w:r w:rsidR="002465C4" w:rsidRPr="002465C4">
        <w:rPr>
          <w:color w:val="000000" w:themeColor="text1"/>
        </w:rPr>
        <w:t>5</w:t>
      </w:r>
      <w:r w:rsidRPr="002465C4">
        <w:rPr>
          <w:color w:val="000000" w:themeColor="text1"/>
        </w:rPr>
        <w:t xml:space="preserve"> г.</w:t>
      </w:r>
      <w:bookmarkEnd w:id="4"/>
      <w:bookmarkEnd w:id="9"/>
      <w:bookmarkEnd w:id="10"/>
      <w:bookmarkEnd w:id="11"/>
    </w:p>
    <w:p w:rsidR="00163C90" w:rsidRDefault="00163C90" w:rsidP="00964429">
      <w:pPr>
        <w:spacing w:after="120"/>
        <w:ind w:firstLine="709"/>
        <w:jc w:val="both"/>
        <w:rPr>
          <w:color w:val="0070C0"/>
          <w:sz w:val="16"/>
          <w:szCs w:val="16"/>
        </w:rPr>
      </w:pPr>
    </w:p>
    <w:p w:rsidR="00163C90" w:rsidRPr="001F6421" w:rsidRDefault="00163C90" w:rsidP="00964429">
      <w:pPr>
        <w:spacing w:after="120"/>
        <w:ind w:firstLine="709"/>
        <w:jc w:val="both"/>
        <w:rPr>
          <w:color w:val="0070C0"/>
          <w:sz w:val="16"/>
          <w:szCs w:val="16"/>
        </w:rPr>
      </w:pPr>
    </w:p>
    <w:p w:rsidR="00163C90" w:rsidRPr="00C8319B" w:rsidRDefault="00163C90" w:rsidP="00163C90">
      <w:pPr>
        <w:ind w:firstLine="357"/>
        <w:jc w:val="both"/>
      </w:pPr>
      <w:bookmarkStart w:id="12" w:name="_Toc136597708"/>
      <w:bookmarkStart w:id="13" w:name="_Toc136601611"/>
      <w:bookmarkStart w:id="14" w:name="_Toc166304008"/>
      <w:bookmarkStart w:id="15" w:name="_Toc166381568"/>
      <w:bookmarkStart w:id="16" w:name="_Toc167005083"/>
      <w:bookmarkStart w:id="17" w:name="_Toc261276550"/>
      <w:bookmarkStart w:id="18" w:name="_Toc324863381"/>
      <w:r w:rsidRPr="00C8319B">
        <w:t xml:space="preserve">Растежът на световната икономика се забави </w:t>
      </w:r>
      <w:r>
        <w:t xml:space="preserve">до 3,1 % </w:t>
      </w:r>
      <w:r w:rsidRPr="00C8319B">
        <w:t>през 2015 г.</w:t>
      </w:r>
      <w:r>
        <w:t xml:space="preserve"> по оценки на МВФ при ръст от 3,4 % през 2014 г. Основен принос за отчетеното забавяне имаше</w:t>
      </w:r>
      <w:r w:rsidRPr="00C8319B">
        <w:t xml:space="preserve"> по-слабото пред</w:t>
      </w:r>
      <w:r>
        <w:t>ставяне на развиващите се пазари в резултат на спада в цените на суровините, геополитически конфликти и забавянето на растежа на БВП на Китай</w:t>
      </w:r>
      <w:r w:rsidRPr="00C8319B">
        <w:t xml:space="preserve">. Преструктурирането на китайската икономика към по-нисък, но устойчив растеж, движен от потреблението и услугите за сметка на по-слаб ръст на износа и инвестициите, </w:t>
      </w:r>
      <w:r>
        <w:t>ограничи растежа на</w:t>
      </w:r>
      <w:r w:rsidRPr="00C8319B">
        <w:t xml:space="preserve"> световната търговия</w:t>
      </w:r>
      <w:r>
        <w:t xml:space="preserve"> през изминалата година</w:t>
      </w:r>
      <w:r w:rsidRPr="00C8319B">
        <w:t xml:space="preserve">. </w:t>
      </w:r>
    </w:p>
    <w:p w:rsidR="00163C90" w:rsidRPr="00163C90" w:rsidRDefault="00163C90" w:rsidP="00163C90">
      <w:pPr>
        <w:spacing w:after="120"/>
        <w:jc w:val="center"/>
        <w:rPr>
          <w:b/>
          <w:bCs/>
          <w:i/>
          <w:iCs/>
          <w:sz w:val="8"/>
          <w:szCs w:val="8"/>
        </w:rPr>
      </w:pPr>
    </w:p>
    <w:p w:rsidR="00163C90" w:rsidRPr="00EA4D37" w:rsidRDefault="00163C90" w:rsidP="00163C90">
      <w:pPr>
        <w:spacing w:after="120"/>
        <w:jc w:val="center"/>
        <w:rPr>
          <w:b/>
          <w:bCs/>
          <w:i/>
          <w:iCs/>
          <w:sz w:val="23"/>
          <w:szCs w:val="23"/>
        </w:rPr>
      </w:pPr>
      <w:r w:rsidRPr="00EA4D37">
        <w:rPr>
          <w:b/>
          <w:bCs/>
          <w:i/>
          <w:iCs/>
          <w:sz w:val="23"/>
          <w:szCs w:val="23"/>
        </w:rPr>
        <w:t>Реален растеж на БВП (в %) на годишна база</w:t>
      </w:r>
      <w:r w:rsidRPr="009455BA">
        <w:rPr>
          <w:rStyle w:val="FootnoteReference"/>
          <w:sz w:val="20"/>
          <w:szCs w:val="20"/>
        </w:rPr>
        <w:footnoteReference w:id="1"/>
      </w:r>
    </w:p>
    <w:tbl>
      <w:tblPr>
        <w:tblW w:w="8930" w:type="dxa"/>
        <w:jc w:val="center"/>
        <w:tblInd w:w="-658" w:type="dxa"/>
        <w:tblLayout w:type="fixed"/>
        <w:tblCellMar>
          <w:left w:w="70" w:type="dxa"/>
          <w:right w:w="70" w:type="dxa"/>
        </w:tblCellMar>
        <w:tblLook w:val="0000" w:firstRow="0" w:lastRow="0" w:firstColumn="0" w:lastColumn="0" w:noHBand="0" w:noVBand="0"/>
      </w:tblPr>
      <w:tblGrid>
        <w:gridCol w:w="2666"/>
        <w:gridCol w:w="1044"/>
        <w:gridCol w:w="1044"/>
        <w:gridCol w:w="1044"/>
        <w:gridCol w:w="1044"/>
        <w:gridCol w:w="1044"/>
        <w:gridCol w:w="1044"/>
      </w:tblGrid>
      <w:tr w:rsidR="00163C90" w:rsidRPr="005829BE" w:rsidTr="0029530C">
        <w:trPr>
          <w:trHeight w:val="337"/>
          <w:jc w:val="center"/>
        </w:trPr>
        <w:tc>
          <w:tcPr>
            <w:tcW w:w="2666" w:type="dxa"/>
            <w:tcBorders>
              <w:top w:val="thinThickSmallGap" w:sz="12" w:space="0" w:color="800000"/>
              <w:left w:val="thinThickSmallGap" w:sz="12" w:space="0" w:color="800000"/>
              <w:bottom w:val="single" w:sz="8" w:space="0" w:color="FFFFFF"/>
              <w:right w:val="single" w:sz="8" w:space="0" w:color="FFFFFF"/>
            </w:tcBorders>
            <w:shd w:val="clear" w:color="auto" w:fill="800000"/>
            <w:vAlign w:val="center"/>
          </w:tcPr>
          <w:p w:rsidR="00163C90" w:rsidRPr="005829BE" w:rsidRDefault="00163C90" w:rsidP="0029530C">
            <w:pPr>
              <w:jc w:val="center"/>
              <w:rPr>
                <w:b/>
                <w:sz w:val="20"/>
                <w:szCs w:val="20"/>
              </w:rPr>
            </w:pP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163C90" w:rsidRPr="005829BE" w:rsidRDefault="00163C90" w:rsidP="0029530C">
            <w:pPr>
              <w:jc w:val="center"/>
              <w:rPr>
                <w:b/>
                <w:noProof/>
                <w:snapToGrid w:val="0"/>
                <w:sz w:val="20"/>
                <w:szCs w:val="20"/>
                <w:lang w:val="en-US"/>
              </w:rPr>
            </w:pPr>
            <w:r>
              <w:rPr>
                <w:b/>
                <w:noProof/>
                <w:snapToGrid w:val="0"/>
                <w:sz w:val="20"/>
                <w:szCs w:val="20"/>
              </w:rPr>
              <w:t>201</w:t>
            </w:r>
            <w:r>
              <w:rPr>
                <w:b/>
                <w:noProof/>
                <w:snapToGrid w:val="0"/>
                <w:sz w:val="20"/>
                <w:szCs w:val="20"/>
                <w:lang w:val="en-US"/>
              </w:rPr>
              <w:t>4</w:t>
            </w: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163C90" w:rsidRPr="005829BE" w:rsidRDefault="00163C90" w:rsidP="0029530C">
            <w:pPr>
              <w:jc w:val="center"/>
              <w:rPr>
                <w:b/>
                <w:noProof/>
                <w:snapToGrid w:val="0"/>
                <w:sz w:val="20"/>
                <w:szCs w:val="20"/>
                <w:lang w:val="en-US"/>
              </w:rPr>
            </w:pPr>
            <w:r>
              <w:rPr>
                <w:b/>
                <w:noProof/>
                <w:snapToGrid w:val="0"/>
                <w:sz w:val="20"/>
                <w:szCs w:val="20"/>
              </w:rPr>
              <w:t>I.201</w:t>
            </w:r>
            <w:r>
              <w:rPr>
                <w:b/>
                <w:noProof/>
                <w:snapToGrid w:val="0"/>
                <w:sz w:val="20"/>
                <w:szCs w:val="20"/>
                <w:lang w:val="en-US"/>
              </w:rPr>
              <w:t>5</w:t>
            </w: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163C90" w:rsidRPr="005829BE" w:rsidRDefault="00163C90" w:rsidP="0029530C">
            <w:pPr>
              <w:jc w:val="center"/>
              <w:rPr>
                <w:b/>
                <w:noProof/>
                <w:snapToGrid w:val="0"/>
                <w:sz w:val="20"/>
                <w:szCs w:val="20"/>
                <w:lang w:val="en-US"/>
              </w:rPr>
            </w:pPr>
            <w:r>
              <w:rPr>
                <w:b/>
                <w:noProof/>
                <w:snapToGrid w:val="0"/>
                <w:sz w:val="20"/>
                <w:szCs w:val="20"/>
              </w:rPr>
              <w:t>II.201</w:t>
            </w:r>
            <w:r>
              <w:rPr>
                <w:b/>
                <w:noProof/>
                <w:snapToGrid w:val="0"/>
                <w:sz w:val="20"/>
                <w:szCs w:val="20"/>
                <w:lang w:val="en-US"/>
              </w:rPr>
              <w:t>5</w:t>
            </w: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163C90" w:rsidRPr="005829BE" w:rsidRDefault="00163C90" w:rsidP="0029530C">
            <w:pPr>
              <w:jc w:val="center"/>
              <w:rPr>
                <w:b/>
                <w:noProof/>
                <w:snapToGrid w:val="0"/>
                <w:sz w:val="20"/>
                <w:szCs w:val="20"/>
                <w:lang w:val="en-US"/>
              </w:rPr>
            </w:pPr>
            <w:r>
              <w:rPr>
                <w:b/>
                <w:noProof/>
                <w:snapToGrid w:val="0"/>
                <w:sz w:val="20"/>
                <w:szCs w:val="20"/>
              </w:rPr>
              <w:t>III.201</w:t>
            </w:r>
            <w:r>
              <w:rPr>
                <w:b/>
                <w:noProof/>
                <w:snapToGrid w:val="0"/>
                <w:sz w:val="20"/>
                <w:szCs w:val="20"/>
                <w:lang w:val="en-US"/>
              </w:rPr>
              <w:t>5</w:t>
            </w:r>
          </w:p>
        </w:tc>
        <w:tc>
          <w:tcPr>
            <w:tcW w:w="1044" w:type="dxa"/>
            <w:tcBorders>
              <w:top w:val="thinThickSmallGap" w:sz="12" w:space="0" w:color="800000"/>
              <w:left w:val="single" w:sz="8" w:space="0" w:color="FFFFFF"/>
              <w:bottom w:val="single" w:sz="8" w:space="0" w:color="FFFFFF"/>
              <w:right w:val="single" w:sz="8" w:space="0" w:color="FFFFFF"/>
            </w:tcBorders>
            <w:shd w:val="clear" w:color="auto" w:fill="800000"/>
            <w:vAlign w:val="center"/>
          </w:tcPr>
          <w:p w:rsidR="00163C90" w:rsidRPr="005829BE" w:rsidRDefault="00163C90" w:rsidP="0029530C">
            <w:pPr>
              <w:jc w:val="center"/>
              <w:rPr>
                <w:b/>
                <w:noProof/>
                <w:snapToGrid w:val="0"/>
                <w:sz w:val="20"/>
                <w:szCs w:val="20"/>
                <w:lang w:val="en-US"/>
              </w:rPr>
            </w:pPr>
            <w:r>
              <w:rPr>
                <w:b/>
                <w:noProof/>
                <w:snapToGrid w:val="0"/>
                <w:sz w:val="20"/>
                <w:szCs w:val="20"/>
              </w:rPr>
              <w:t>IV.201</w:t>
            </w:r>
            <w:r>
              <w:rPr>
                <w:b/>
                <w:noProof/>
                <w:snapToGrid w:val="0"/>
                <w:sz w:val="20"/>
                <w:szCs w:val="20"/>
                <w:lang w:val="en-US"/>
              </w:rPr>
              <w:t>5</w:t>
            </w:r>
          </w:p>
        </w:tc>
        <w:tc>
          <w:tcPr>
            <w:tcW w:w="1044" w:type="dxa"/>
            <w:tcBorders>
              <w:top w:val="thinThickSmallGap" w:sz="12" w:space="0" w:color="800000"/>
              <w:left w:val="single" w:sz="8" w:space="0" w:color="FFFFFF"/>
              <w:bottom w:val="single" w:sz="8" w:space="0" w:color="FFFFFF"/>
              <w:right w:val="thinThickSmallGap" w:sz="12" w:space="0" w:color="800000"/>
            </w:tcBorders>
            <w:shd w:val="clear" w:color="auto" w:fill="800000"/>
            <w:vAlign w:val="center"/>
          </w:tcPr>
          <w:p w:rsidR="00163C90" w:rsidRPr="005829BE" w:rsidRDefault="00163C90" w:rsidP="0029530C">
            <w:pPr>
              <w:jc w:val="center"/>
              <w:rPr>
                <w:b/>
                <w:noProof/>
                <w:snapToGrid w:val="0"/>
                <w:sz w:val="20"/>
                <w:szCs w:val="20"/>
                <w:lang w:val="en-US"/>
              </w:rPr>
            </w:pPr>
            <w:r>
              <w:rPr>
                <w:b/>
                <w:noProof/>
                <w:snapToGrid w:val="0"/>
                <w:sz w:val="20"/>
                <w:szCs w:val="20"/>
              </w:rPr>
              <w:t>201</w:t>
            </w:r>
            <w:r>
              <w:rPr>
                <w:b/>
                <w:noProof/>
                <w:snapToGrid w:val="0"/>
                <w:sz w:val="20"/>
                <w:szCs w:val="20"/>
                <w:lang w:val="en-US"/>
              </w:rPr>
              <w:t>5</w:t>
            </w:r>
          </w:p>
        </w:tc>
      </w:tr>
      <w:tr w:rsidR="00163C90" w:rsidRPr="005829BE" w:rsidTr="0029530C">
        <w:trPr>
          <w:trHeight w:val="351"/>
          <w:jc w:val="center"/>
        </w:trPr>
        <w:tc>
          <w:tcPr>
            <w:tcW w:w="2666" w:type="dxa"/>
            <w:tcBorders>
              <w:left w:val="thinThickSmallGap" w:sz="12" w:space="0" w:color="800000"/>
              <w:right w:val="single" w:sz="8" w:space="0" w:color="800000"/>
            </w:tcBorders>
            <w:shd w:val="clear" w:color="auto" w:fill="FFFFCC"/>
            <w:vAlign w:val="center"/>
          </w:tcPr>
          <w:p w:rsidR="00163C90" w:rsidRPr="005829BE" w:rsidRDefault="00163C90" w:rsidP="0029530C">
            <w:pPr>
              <w:rPr>
                <w:noProof/>
                <w:snapToGrid w:val="0"/>
                <w:sz w:val="20"/>
                <w:szCs w:val="20"/>
              </w:rPr>
            </w:pPr>
            <w:r w:rsidRPr="005829BE">
              <w:rPr>
                <w:noProof/>
                <w:snapToGrid w:val="0"/>
                <w:sz w:val="20"/>
                <w:szCs w:val="20"/>
              </w:rPr>
              <w:t>Европейски съюз</w:t>
            </w:r>
          </w:p>
        </w:tc>
        <w:tc>
          <w:tcPr>
            <w:tcW w:w="1044" w:type="dxa"/>
            <w:tcBorders>
              <w:left w:val="single" w:sz="8" w:space="0" w:color="800000"/>
              <w:right w:val="single" w:sz="8" w:space="0" w:color="800000"/>
            </w:tcBorders>
            <w:shd w:val="clear" w:color="auto" w:fill="FFFFCC"/>
            <w:vAlign w:val="center"/>
          </w:tcPr>
          <w:p w:rsidR="00163C90" w:rsidRPr="005829BE" w:rsidRDefault="00163C90" w:rsidP="0029530C">
            <w:pPr>
              <w:jc w:val="center"/>
              <w:rPr>
                <w:b/>
                <w:sz w:val="20"/>
                <w:szCs w:val="20"/>
              </w:rPr>
            </w:pPr>
            <w:r w:rsidRPr="00B23D73">
              <w:rPr>
                <w:sz w:val="20"/>
                <w:szCs w:val="20"/>
                <w:lang w:val="en-US"/>
              </w:rPr>
              <w:t>1</w:t>
            </w:r>
            <w:r>
              <w:rPr>
                <w:sz w:val="20"/>
                <w:szCs w:val="20"/>
              </w:rPr>
              <w:t>,</w:t>
            </w:r>
            <w:r w:rsidRPr="00B23D73">
              <w:rPr>
                <w:sz w:val="20"/>
                <w:szCs w:val="20"/>
                <w:lang w:val="en-US"/>
              </w:rPr>
              <w:t>4</w:t>
            </w:r>
          </w:p>
        </w:tc>
        <w:tc>
          <w:tcPr>
            <w:tcW w:w="1044" w:type="dxa"/>
            <w:tcBorders>
              <w:left w:val="single" w:sz="8" w:space="0" w:color="800000"/>
              <w:right w:val="single" w:sz="8" w:space="0" w:color="800000"/>
            </w:tcBorders>
            <w:shd w:val="clear" w:color="auto" w:fill="FFFFCC"/>
            <w:vAlign w:val="center"/>
          </w:tcPr>
          <w:p w:rsidR="00163C90" w:rsidRPr="005829BE" w:rsidRDefault="00163C90" w:rsidP="0029530C">
            <w:pPr>
              <w:jc w:val="center"/>
              <w:rPr>
                <w:sz w:val="20"/>
                <w:szCs w:val="20"/>
                <w:lang w:val="en-US"/>
              </w:rPr>
            </w:pPr>
            <w:r>
              <w:rPr>
                <w:sz w:val="20"/>
                <w:szCs w:val="20"/>
                <w:lang w:val="en-US"/>
              </w:rPr>
              <w:t>1</w:t>
            </w:r>
            <w:r>
              <w:rPr>
                <w:sz w:val="20"/>
                <w:szCs w:val="20"/>
              </w:rPr>
              <w:t>,</w:t>
            </w:r>
            <w:r>
              <w:rPr>
                <w:sz w:val="20"/>
                <w:szCs w:val="20"/>
                <w:lang w:val="en-US"/>
              </w:rPr>
              <w:t>7</w:t>
            </w:r>
          </w:p>
        </w:tc>
        <w:tc>
          <w:tcPr>
            <w:tcW w:w="1044" w:type="dxa"/>
            <w:tcBorders>
              <w:left w:val="single" w:sz="8" w:space="0" w:color="800000"/>
              <w:right w:val="single" w:sz="8" w:space="0" w:color="800000"/>
            </w:tcBorders>
            <w:shd w:val="clear" w:color="auto" w:fill="FFFFCC"/>
            <w:vAlign w:val="center"/>
          </w:tcPr>
          <w:p w:rsidR="00163C90" w:rsidRPr="005829BE" w:rsidRDefault="00163C90" w:rsidP="0029530C">
            <w:pPr>
              <w:jc w:val="center"/>
              <w:rPr>
                <w:sz w:val="20"/>
                <w:szCs w:val="20"/>
                <w:lang w:val="en-US"/>
              </w:rPr>
            </w:pPr>
            <w:r>
              <w:rPr>
                <w:sz w:val="20"/>
                <w:szCs w:val="20"/>
                <w:lang w:val="en-US"/>
              </w:rPr>
              <w:t>1</w:t>
            </w:r>
            <w:r>
              <w:rPr>
                <w:sz w:val="20"/>
                <w:szCs w:val="20"/>
              </w:rPr>
              <w:t>,</w:t>
            </w:r>
            <w:r>
              <w:rPr>
                <w:sz w:val="20"/>
                <w:szCs w:val="20"/>
                <w:lang w:val="en-US"/>
              </w:rPr>
              <w:t>9</w:t>
            </w:r>
          </w:p>
        </w:tc>
        <w:tc>
          <w:tcPr>
            <w:tcW w:w="1044" w:type="dxa"/>
            <w:tcBorders>
              <w:left w:val="single" w:sz="8" w:space="0" w:color="800000"/>
              <w:right w:val="single" w:sz="8" w:space="0" w:color="800000"/>
            </w:tcBorders>
            <w:shd w:val="clear" w:color="auto" w:fill="FFFFCC"/>
            <w:vAlign w:val="center"/>
          </w:tcPr>
          <w:p w:rsidR="00163C90" w:rsidRPr="005829BE" w:rsidRDefault="00163C90" w:rsidP="0029530C">
            <w:pPr>
              <w:jc w:val="center"/>
              <w:rPr>
                <w:sz w:val="20"/>
                <w:szCs w:val="20"/>
                <w:lang w:val="en-US"/>
              </w:rPr>
            </w:pPr>
            <w:r>
              <w:rPr>
                <w:sz w:val="20"/>
                <w:szCs w:val="20"/>
                <w:lang w:val="en-US"/>
              </w:rPr>
              <w:t>1</w:t>
            </w:r>
            <w:r>
              <w:rPr>
                <w:sz w:val="20"/>
                <w:szCs w:val="20"/>
              </w:rPr>
              <w:t>,</w:t>
            </w:r>
            <w:r>
              <w:rPr>
                <w:sz w:val="20"/>
                <w:szCs w:val="20"/>
                <w:lang w:val="en-US"/>
              </w:rPr>
              <w:t>9</w:t>
            </w:r>
          </w:p>
        </w:tc>
        <w:tc>
          <w:tcPr>
            <w:tcW w:w="1044" w:type="dxa"/>
            <w:tcBorders>
              <w:left w:val="single" w:sz="8" w:space="0" w:color="800000"/>
              <w:right w:val="single" w:sz="8" w:space="0" w:color="800000"/>
            </w:tcBorders>
            <w:shd w:val="clear" w:color="auto" w:fill="FFFFCC"/>
            <w:vAlign w:val="center"/>
          </w:tcPr>
          <w:p w:rsidR="00163C90" w:rsidRPr="00EC33FC" w:rsidRDefault="00D96405" w:rsidP="00D96405">
            <w:pPr>
              <w:spacing w:before="100" w:beforeAutospacing="1" w:after="100" w:afterAutospacing="1"/>
              <w:jc w:val="center"/>
              <w:rPr>
                <w:sz w:val="20"/>
                <w:szCs w:val="20"/>
              </w:rPr>
            </w:pPr>
            <w:r>
              <w:rPr>
                <w:sz w:val="20"/>
                <w:szCs w:val="20"/>
                <w:lang w:val="en-US"/>
              </w:rPr>
              <w:t>2</w:t>
            </w:r>
            <w:r>
              <w:rPr>
                <w:sz w:val="20"/>
                <w:szCs w:val="20"/>
              </w:rPr>
              <w:t>,0</w:t>
            </w:r>
          </w:p>
        </w:tc>
        <w:tc>
          <w:tcPr>
            <w:tcW w:w="1044" w:type="dxa"/>
            <w:tcBorders>
              <w:left w:val="single" w:sz="8" w:space="0" w:color="800000"/>
              <w:right w:val="thinThickSmallGap" w:sz="12" w:space="0" w:color="800000"/>
            </w:tcBorders>
            <w:shd w:val="clear" w:color="auto" w:fill="FFFFCC"/>
            <w:vAlign w:val="center"/>
          </w:tcPr>
          <w:p w:rsidR="00163C90" w:rsidRPr="00D96405" w:rsidRDefault="00D96405" w:rsidP="00D96405">
            <w:pPr>
              <w:jc w:val="center"/>
              <w:rPr>
                <w:b/>
                <w:sz w:val="20"/>
                <w:szCs w:val="20"/>
              </w:rPr>
            </w:pPr>
            <w:r>
              <w:rPr>
                <w:sz w:val="20"/>
                <w:szCs w:val="20"/>
              </w:rPr>
              <w:t>2,0</w:t>
            </w:r>
          </w:p>
        </w:tc>
      </w:tr>
      <w:tr w:rsidR="00163C90" w:rsidRPr="005829BE" w:rsidTr="0029530C">
        <w:trPr>
          <w:trHeight w:val="351"/>
          <w:jc w:val="center"/>
        </w:trPr>
        <w:tc>
          <w:tcPr>
            <w:tcW w:w="2666" w:type="dxa"/>
            <w:tcBorders>
              <w:left w:val="thinThickSmallGap" w:sz="12" w:space="0" w:color="800000"/>
              <w:right w:val="single" w:sz="8" w:space="0" w:color="800000"/>
            </w:tcBorders>
            <w:shd w:val="clear" w:color="auto" w:fill="FFFFCC"/>
            <w:vAlign w:val="center"/>
          </w:tcPr>
          <w:p w:rsidR="00163C90" w:rsidRPr="005829BE" w:rsidRDefault="00163C90" w:rsidP="0029530C">
            <w:pPr>
              <w:rPr>
                <w:noProof/>
                <w:snapToGrid w:val="0"/>
                <w:sz w:val="20"/>
                <w:szCs w:val="20"/>
              </w:rPr>
            </w:pPr>
            <w:r w:rsidRPr="005829BE">
              <w:rPr>
                <w:noProof/>
                <w:snapToGrid w:val="0"/>
                <w:sz w:val="20"/>
                <w:szCs w:val="20"/>
              </w:rPr>
              <w:t>Еврозона</w:t>
            </w:r>
          </w:p>
        </w:tc>
        <w:tc>
          <w:tcPr>
            <w:tcW w:w="1044" w:type="dxa"/>
            <w:tcBorders>
              <w:left w:val="single" w:sz="8" w:space="0" w:color="800000"/>
              <w:right w:val="single" w:sz="8" w:space="0" w:color="800000"/>
            </w:tcBorders>
            <w:shd w:val="clear" w:color="auto" w:fill="FFFFCC"/>
            <w:vAlign w:val="center"/>
          </w:tcPr>
          <w:p w:rsidR="00163C90" w:rsidRPr="005829BE" w:rsidRDefault="00163C90" w:rsidP="0029530C">
            <w:pPr>
              <w:jc w:val="center"/>
              <w:rPr>
                <w:b/>
                <w:sz w:val="20"/>
                <w:szCs w:val="20"/>
              </w:rPr>
            </w:pPr>
            <w:r w:rsidRPr="00B23D73">
              <w:rPr>
                <w:sz w:val="20"/>
                <w:szCs w:val="20"/>
                <w:lang w:val="en-US"/>
              </w:rPr>
              <w:t>0</w:t>
            </w:r>
            <w:r>
              <w:rPr>
                <w:sz w:val="20"/>
                <w:szCs w:val="20"/>
              </w:rPr>
              <w:t>,</w:t>
            </w:r>
            <w:r w:rsidRPr="00B23D73">
              <w:rPr>
                <w:sz w:val="20"/>
                <w:szCs w:val="20"/>
                <w:lang w:val="en-US"/>
              </w:rPr>
              <w:t>9</w:t>
            </w:r>
          </w:p>
        </w:tc>
        <w:tc>
          <w:tcPr>
            <w:tcW w:w="1044" w:type="dxa"/>
            <w:tcBorders>
              <w:left w:val="single" w:sz="8" w:space="0" w:color="800000"/>
              <w:right w:val="single" w:sz="8" w:space="0" w:color="800000"/>
            </w:tcBorders>
            <w:shd w:val="clear" w:color="auto" w:fill="FFFFCC"/>
            <w:vAlign w:val="center"/>
          </w:tcPr>
          <w:p w:rsidR="00163C90" w:rsidRPr="005829BE" w:rsidRDefault="00163C90" w:rsidP="0029530C">
            <w:pPr>
              <w:jc w:val="center"/>
              <w:rPr>
                <w:sz w:val="20"/>
                <w:szCs w:val="20"/>
                <w:lang w:val="en-US"/>
              </w:rPr>
            </w:pPr>
            <w:r>
              <w:rPr>
                <w:sz w:val="20"/>
                <w:szCs w:val="20"/>
                <w:lang w:val="en-US"/>
              </w:rPr>
              <w:t>1</w:t>
            </w:r>
            <w:r>
              <w:rPr>
                <w:sz w:val="20"/>
                <w:szCs w:val="20"/>
              </w:rPr>
              <w:t>,</w:t>
            </w:r>
            <w:r>
              <w:rPr>
                <w:sz w:val="20"/>
                <w:szCs w:val="20"/>
                <w:lang w:val="en-US"/>
              </w:rPr>
              <w:t>3</w:t>
            </w:r>
          </w:p>
        </w:tc>
        <w:tc>
          <w:tcPr>
            <w:tcW w:w="1044" w:type="dxa"/>
            <w:tcBorders>
              <w:left w:val="single" w:sz="8" w:space="0" w:color="800000"/>
              <w:right w:val="single" w:sz="8" w:space="0" w:color="800000"/>
            </w:tcBorders>
            <w:shd w:val="clear" w:color="auto" w:fill="FFFFCC"/>
            <w:vAlign w:val="center"/>
          </w:tcPr>
          <w:p w:rsidR="00163C90" w:rsidRPr="005829BE" w:rsidRDefault="00163C90" w:rsidP="0029530C">
            <w:pPr>
              <w:jc w:val="center"/>
              <w:rPr>
                <w:sz w:val="20"/>
                <w:szCs w:val="20"/>
                <w:highlight w:val="yellow"/>
                <w:lang w:val="en-US"/>
              </w:rPr>
            </w:pPr>
            <w:r w:rsidRPr="005829BE">
              <w:rPr>
                <w:sz w:val="20"/>
                <w:szCs w:val="20"/>
                <w:lang w:val="en-US"/>
              </w:rPr>
              <w:t>1</w:t>
            </w:r>
            <w:r>
              <w:rPr>
                <w:sz w:val="20"/>
                <w:szCs w:val="20"/>
              </w:rPr>
              <w:t>,</w:t>
            </w:r>
            <w:r w:rsidRPr="005829BE">
              <w:rPr>
                <w:sz w:val="20"/>
                <w:szCs w:val="20"/>
                <w:lang w:val="en-US"/>
              </w:rPr>
              <w:t>6</w:t>
            </w:r>
          </w:p>
        </w:tc>
        <w:tc>
          <w:tcPr>
            <w:tcW w:w="1044" w:type="dxa"/>
            <w:tcBorders>
              <w:left w:val="single" w:sz="8" w:space="0" w:color="800000"/>
              <w:right w:val="single" w:sz="8" w:space="0" w:color="800000"/>
            </w:tcBorders>
            <w:shd w:val="clear" w:color="auto" w:fill="FFFFCC"/>
            <w:vAlign w:val="center"/>
          </w:tcPr>
          <w:p w:rsidR="00163C90" w:rsidRPr="005829BE" w:rsidRDefault="00163C90" w:rsidP="0029530C">
            <w:pPr>
              <w:jc w:val="center"/>
              <w:rPr>
                <w:sz w:val="20"/>
                <w:szCs w:val="20"/>
                <w:lang w:val="en-US"/>
              </w:rPr>
            </w:pPr>
            <w:r w:rsidRPr="005829BE">
              <w:rPr>
                <w:sz w:val="20"/>
                <w:szCs w:val="20"/>
                <w:lang w:val="en-US"/>
              </w:rPr>
              <w:t>1</w:t>
            </w:r>
            <w:r>
              <w:rPr>
                <w:sz w:val="20"/>
                <w:szCs w:val="20"/>
              </w:rPr>
              <w:t>,</w:t>
            </w:r>
            <w:r w:rsidRPr="005829BE">
              <w:rPr>
                <w:sz w:val="20"/>
                <w:szCs w:val="20"/>
                <w:lang w:val="en-US"/>
              </w:rPr>
              <w:t>6</w:t>
            </w:r>
          </w:p>
        </w:tc>
        <w:tc>
          <w:tcPr>
            <w:tcW w:w="1044" w:type="dxa"/>
            <w:tcBorders>
              <w:left w:val="single" w:sz="8" w:space="0" w:color="800000"/>
              <w:right w:val="single" w:sz="8" w:space="0" w:color="800000"/>
            </w:tcBorders>
            <w:shd w:val="clear" w:color="auto" w:fill="FFFFCC"/>
            <w:vAlign w:val="center"/>
          </w:tcPr>
          <w:p w:rsidR="00163C90" w:rsidRPr="005829BE" w:rsidRDefault="00163C90" w:rsidP="00D96405">
            <w:pPr>
              <w:jc w:val="center"/>
              <w:rPr>
                <w:sz w:val="20"/>
                <w:szCs w:val="20"/>
                <w:lang w:val="en-US"/>
              </w:rPr>
            </w:pPr>
            <w:r w:rsidRPr="005829BE">
              <w:rPr>
                <w:sz w:val="20"/>
                <w:szCs w:val="20"/>
                <w:lang w:val="en-US"/>
              </w:rPr>
              <w:t>1</w:t>
            </w:r>
            <w:r>
              <w:rPr>
                <w:sz w:val="20"/>
                <w:szCs w:val="20"/>
              </w:rPr>
              <w:t>,</w:t>
            </w:r>
            <w:r w:rsidR="00D96405">
              <w:rPr>
                <w:sz w:val="20"/>
                <w:szCs w:val="20"/>
              </w:rPr>
              <w:t>7</w:t>
            </w:r>
          </w:p>
        </w:tc>
        <w:tc>
          <w:tcPr>
            <w:tcW w:w="1044" w:type="dxa"/>
            <w:tcBorders>
              <w:left w:val="single" w:sz="8" w:space="0" w:color="800000"/>
              <w:right w:val="thinThickSmallGap" w:sz="12" w:space="0" w:color="800000"/>
            </w:tcBorders>
            <w:shd w:val="clear" w:color="auto" w:fill="FFFFCC"/>
            <w:vAlign w:val="center"/>
          </w:tcPr>
          <w:p w:rsidR="00163C90" w:rsidRPr="005829BE" w:rsidRDefault="00163C90" w:rsidP="00D96405">
            <w:pPr>
              <w:jc w:val="center"/>
              <w:rPr>
                <w:b/>
                <w:sz w:val="20"/>
                <w:szCs w:val="20"/>
              </w:rPr>
            </w:pPr>
            <w:r w:rsidRPr="00B23D73">
              <w:rPr>
                <w:sz w:val="20"/>
                <w:szCs w:val="20"/>
                <w:lang w:val="en-US"/>
              </w:rPr>
              <w:t>1</w:t>
            </w:r>
            <w:r>
              <w:rPr>
                <w:sz w:val="20"/>
                <w:szCs w:val="20"/>
              </w:rPr>
              <w:t>,</w:t>
            </w:r>
            <w:r w:rsidR="00D96405">
              <w:rPr>
                <w:sz w:val="20"/>
                <w:szCs w:val="20"/>
              </w:rPr>
              <w:t>7</w:t>
            </w:r>
          </w:p>
        </w:tc>
      </w:tr>
      <w:tr w:rsidR="00163C90" w:rsidRPr="005829BE" w:rsidTr="0029530C">
        <w:trPr>
          <w:trHeight w:val="351"/>
          <w:jc w:val="center"/>
        </w:trPr>
        <w:tc>
          <w:tcPr>
            <w:tcW w:w="2666" w:type="dxa"/>
            <w:tcBorders>
              <w:left w:val="thinThickSmallGap" w:sz="12" w:space="0" w:color="800000"/>
              <w:bottom w:val="thinThickSmallGap" w:sz="12" w:space="0" w:color="800000"/>
              <w:right w:val="single" w:sz="8" w:space="0" w:color="800000"/>
            </w:tcBorders>
            <w:shd w:val="clear" w:color="auto" w:fill="FFFFCC"/>
            <w:vAlign w:val="center"/>
          </w:tcPr>
          <w:p w:rsidR="00163C90" w:rsidRPr="005829BE" w:rsidRDefault="00163C90" w:rsidP="0029530C">
            <w:pPr>
              <w:rPr>
                <w:noProof/>
                <w:snapToGrid w:val="0"/>
                <w:sz w:val="20"/>
                <w:szCs w:val="20"/>
              </w:rPr>
            </w:pPr>
            <w:r w:rsidRPr="005829BE">
              <w:rPr>
                <w:noProof/>
                <w:snapToGrid w:val="0"/>
                <w:sz w:val="20"/>
                <w:szCs w:val="20"/>
              </w:rPr>
              <w:t>САЩ</w:t>
            </w:r>
          </w:p>
        </w:tc>
        <w:tc>
          <w:tcPr>
            <w:tcW w:w="1044" w:type="dxa"/>
            <w:tcBorders>
              <w:left w:val="single" w:sz="8" w:space="0" w:color="800000"/>
              <w:bottom w:val="thinThickSmallGap" w:sz="12" w:space="0" w:color="800000"/>
              <w:right w:val="single" w:sz="8" w:space="0" w:color="800000"/>
            </w:tcBorders>
            <w:shd w:val="clear" w:color="auto" w:fill="FFFFCC"/>
            <w:vAlign w:val="center"/>
          </w:tcPr>
          <w:p w:rsidR="00163C90" w:rsidRPr="006A7E82" w:rsidRDefault="00163C90" w:rsidP="0029530C">
            <w:pPr>
              <w:jc w:val="center"/>
              <w:rPr>
                <w:sz w:val="20"/>
                <w:szCs w:val="20"/>
              </w:rPr>
            </w:pPr>
            <w:r w:rsidRPr="006A7E82">
              <w:rPr>
                <w:sz w:val="20"/>
                <w:szCs w:val="20"/>
              </w:rPr>
              <w:t>2</w:t>
            </w:r>
            <w:r>
              <w:rPr>
                <w:sz w:val="20"/>
                <w:szCs w:val="20"/>
              </w:rPr>
              <w:t>,</w:t>
            </w:r>
            <w:r w:rsidRPr="006A7E82">
              <w:rPr>
                <w:sz w:val="20"/>
                <w:szCs w:val="20"/>
              </w:rPr>
              <w:t>4</w:t>
            </w:r>
          </w:p>
        </w:tc>
        <w:tc>
          <w:tcPr>
            <w:tcW w:w="1044" w:type="dxa"/>
            <w:tcBorders>
              <w:left w:val="single" w:sz="8" w:space="0" w:color="800000"/>
              <w:bottom w:val="thinThickSmallGap" w:sz="12" w:space="0" w:color="800000"/>
              <w:right w:val="single" w:sz="8" w:space="0" w:color="800000"/>
            </w:tcBorders>
            <w:shd w:val="clear" w:color="auto" w:fill="FFFFCC"/>
            <w:vAlign w:val="center"/>
          </w:tcPr>
          <w:p w:rsidR="00163C90" w:rsidRPr="00F01793" w:rsidRDefault="00163C90" w:rsidP="0029530C">
            <w:pPr>
              <w:jc w:val="center"/>
              <w:rPr>
                <w:sz w:val="20"/>
                <w:szCs w:val="20"/>
              </w:rPr>
            </w:pPr>
            <w:r w:rsidRPr="00F01793">
              <w:rPr>
                <w:sz w:val="20"/>
                <w:szCs w:val="20"/>
              </w:rPr>
              <w:t>2</w:t>
            </w:r>
            <w:r>
              <w:rPr>
                <w:sz w:val="20"/>
                <w:szCs w:val="20"/>
              </w:rPr>
              <w:t>,</w:t>
            </w:r>
            <w:r w:rsidRPr="00F01793">
              <w:rPr>
                <w:sz w:val="20"/>
                <w:szCs w:val="20"/>
              </w:rPr>
              <w:t>9</w:t>
            </w:r>
          </w:p>
        </w:tc>
        <w:tc>
          <w:tcPr>
            <w:tcW w:w="1044" w:type="dxa"/>
            <w:tcBorders>
              <w:left w:val="single" w:sz="8" w:space="0" w:color="800000"/>
              <w:bottom w:val="thinThickSmallGap" w:sz="12" w:space="0" w:color="800000"/>
              <w:right w:val="single" w:sz="8" w:space="0" w:color="800000"/>
            </w:tcBorders>
            <w:shd w:val="clear" w:color="auto" w:fill="FFFFCC"/>
            <w:vAlign w:val="center"/>
          </w:tcPr>
          <w:p w:rsidR="00163C90" w:rsidRPr="00F01793" w:rsidRDefault="00163C90" w:rsidP="0029530C">
            <w:pPr>
              <w:jc w:val="center"/>
              <w:rPr>
                <w:sz w:val="20"/>
                <w:szCs w:val="20"/>
              </w:rPr>
            </w:pPr>
            <w:r w:rsidRPr="00F01793">
              <w:rPr>
                <w:sz w:val="20"/>
                <w:szCs w:val="20"/>
              </w:rPr>
              <w:t>2</w:t>
            </w:r>
            <w:r>
              <w:rPr>
                <w:sz w:val="20"/>
                <w:szCs w:val="20"/>
              </w:rPr>
              <w:t>,</w:t>
            </w:r>
            <w:r w:rsidRPr="00F01793">
              <w:rPr>
                <w:sz w:val="20"/>
                <w:szCs w:val="20"/>
              </w:rPr>
              <w:t>7</w:t>
            </w:r>
          </w:p>
        </w:tc>
        <w:tc>
          <w:tcPr>
            <w:tcW w:w="1044" w:type="dxa"/>
            <w:tcBorders>
              <w:left w:val="single" w:sz="8" w:space="0" w:color="800000"/>
              <w:bottom w:val="thinThickSmallGap" w:sz="12" w:space="0" w:color="800000"/>
              <w:right w:val="single" w:sz="8" w:space="0" w:color="800000"/>
            </w:tcBorders>
            <w:shd w:val="clear" w:color="auto" w:fill="FFFFCC"/>
            <w:vAlign w:val="center"/>
          </w:tcPr>
          <w:p w:rsidR="00163C90" w:rsidRPr="00F01793" w:rsidRDefault="00163C90" w:rsidP="0029530C">
            <w:pPr>
              <w:jc w:val="center"/>
              <w:rPr>
                <w:sz w:val="20"/>
                <w:szCs w:val="20"/>
              </w:rPr>
            </w:pPr>
            <w:r w:rsidRPr="00F01793">
              <w:rPr>
                <w:sz w:val="20"/>
                <w:szCs w:val="20"/>
              </w:rPr>
              <w:t>2</w:t>
            </w:r>
            <w:r>
              <w:rPr>
                <w:sz w:val="20"/>
                <w:szCs w:val="20"/>
              </w:rPr>
              <w:t>,</w:t>
            </w:r>
            <w:r w:rsidRPr="00F01793">
              <w:rPr>
                <w:sz w:val="20"/>
                <w:szCs w:val="20"/>
              </w:rPr>
              <w:t>1</w:t>
            </w:r>
          </w:p>
        </w:tc>
        <w:tc>
          <w:tcPr>
            <w:tcW w:w="1044" w:type="dxa"/>
            <w:tcBorders>
              <w:left w:val="single" w:sz="8" w:space="0" w:color="800000"/>
              <w:bottom w:val="thinThickSmallGap" w:sz="12" w:space="0" w:color="800000"/>
              <w:right w:val="single" w:sz="8" w:space="0" w:color="800000"/>
            </w:tcBorders>
            <w:shd w:val="clear" w:color="auto" w:fill="FFFFCC"/>
            <w:vAlign w:val="center"/>
          </w:tcPr>
          <w:p w:rsidR="00163C90" w:rsidRPr="00F01793" w:rsidRDefault="00163C90" w:rsidP="0029530C">
            <w:pPr>
              <w:jc w:val="center"/>
              <w:rPr>
                <w:sz w:val="20"/>
                <w:szCs w:val="20"/>
              </w:rPr>
            </w:pPr>
            <w:r w:rsidRPr="00F01793">
              <w:rPr>
                <w:sz w:val="20"/>
                <w:szCs w:val="20"/>
              </w:rPr>
              <w:t>2</w:t>
            </w:r>
            <w:r>
              <w:rPr>
                <w:sz w:val="20"/>
                <w:szCs w:val="20"/>
              </w:rPr>
              <w:t>,</w:t>
            </w:r>
            <w:r w:rsidRPr="00F01793">
              <w:rPr>
                <w:sz w:val="20"/>
                <w:szCs w:val="20"/>
              </w:rPr>
              <w:t>0</w:t>
            </w:r>
          </w:p>
        </w:tc>
        <w:tc>
          <w:tcPr>
            <w:tcW w:w="1044" w:type="dxa"/>
            <w:tcBorders>
              <w:left w:val="single" w:sz="8" w:space="0" w:color="800000"/>
              <w:bottom w:val="thinThickSmallGap" w:sz="12" w:space="0" w:color="800000"/>
              <w:right w:val="thinThickSmallGap" w:sz="12" w:space="0" w:color="800000"/>
            </w:tcBorders>
            <w:shd w:val="clear" w:color="auto" w:fill="FFFFCC"/>
            <w:vAlign w:val="center"/>
          </w:tcPr>
          <w:p w:rsidR="00163C90" w:rsidRPr="006A7E82" w:rsidRDefault="00163C90" w:rsidP="0029530C">
            <w:pPr>
              <w:jc w:val="center"/>
              <w:rPr>
                <w:sz w:val="20"/>
                <w:szCs w:val="20"/>
              </w:rPr>
            </w:pPr>
            <w:r w:rsidRPr="006A7E82">
              <w:rPr>
                <w:sz w:val="20"/>
                <w:szCs w:val="20"/>
              </w:rPr>
              <w:t>2</w:t>
            </w:r>
            <w:r>
              <w:rPr>
                <w:sz w:val="20"/>
                <w:szCs w:val="20"/>
              </w:rPr>
              <w:t>,</w:t>
            </w:r>
            <w:r w:rsidRPr="006A7E82">
              <w:rPr>
                <w:sz w:val="20"/>
                <w:szCs w:val="20"/>
              </w:rPr>
              <w:t>4</w:t>
            </w:r>
          </w:p>
        </w:tc>
      </w:tr>
    </w:tbl>
    <w:p w:rsidR="00163C90" w:rsidRDefault="00163C90" w:rsidP="00163C90">
      <w:pPr>
        <w:jc w:val="center"/>
        <w:rPr>
          <w:sz w:val="20"/>
          <w:szCs w:val="20"/>
        </w:rPr>
      </w:pPr>
      <w:r>
        <w:rPr>
          <w:sz w:val="20"/>
          <w:szCs w:val="20"/>
        </w:rPr>
        <w:t xml:space="preserve">                                                             </w:t>
      </w:r>
      <w:r w:rsidRPr="00330624">
        <w:rPr>
          <w:sz w:val="20"/>
          <w:szCs w:val="20"/>
        </w:rPr>
        <w:t xml:space="preserve">Източник: Евростат, </w:t>
      </w:r>
      <w:r>
        <w:rPr>
          <w:sz w:val="20"/>
          <w:szCs w:val="20"/>
        </w:rPr>
        <w:t>Американско бюро за икономически анализи</w:t>
      </w:r>
    </w:p>
    <w:p w:rsidR="00163C90" w:rsidRDefault="00163C90" w:rsidP="00163C90">
      <w:pPr>
        <w:jc w:val="center"/>
        <w:rPr>
          <w:sz w:val="20"/>
          <w:szCs w:val="20"/>
        </w:rPr>
      </w:pPr>
    </w:p>
    <w:p w:rsidR="00163C90" w:rsidRPr="00C8319B" w:rsidRDefault="00163C90" w:rsidP="00163C90">
      <w:pPr>
        <w:jc w:val="both"/>
      </w:pPr>
      <w:r>
        <w:t xml:space="preserve">БВП на САЩ нарасна с 2,4 % през 2015 г. </w:t>
      </w:r>
      <w:r w:rsidRPr="00C8319B">
        <w:t>Влошаването на външната среда и поскъпването на щатския долар ограничиха приноса на нетния износ към растежа на американската икономика и се отразиха в плавно понижаване на растежа на БВП през четирите тримесечия на 2015 г. В същото време, благоприятното развитие на пазара на труда и спадът в енергийните цени имаха положителен ефект върху частното потребление. През декември 2015 г. Федералния</w:t>
      </w:r>
      <w:r>
        <w:t>т</w:t>
      </w:r>
      <w:r w:rsidRPr="00C8319B">
        <w:t xml:space="preserve"> резерв на САЩ повиши лихвения процент за първи път през последните девет години, обратно на политиката провеждана от ЕЦБ.</w:t>
      </w:r>
    </w:p>
    <w:p w:rsidR="00163C90" w:rsidRDefault="00163C90" w:rsidP="00163C90">
      <w:pPr>
        <w:ind w:firstLine="360"/>
        <w:jc w:val="both"/>
      </w:pPr>
      <w:r>
        <w:t>Растежът на е</w:t>
      </w:r>
      <w:r w:rsidRPr="00C8319B">
        <w:t xml:space="preserve">вропейската икономика </w:t>
      </w:r>
      <w:r>
        <w:t xml:space="preserve">се ускори до </w:t>
      </w:r>
      <w:r w:rsidR="00D96405">
        <w:t>2,0</w:t>
      </w:r>
      <w:r>
        <w:t xml:space="preserve"> %</w:t>
      </w:r>
      <w:r w:rsidRPr="00C8319B">
        <w:t xml:space="preserve"> през изминалата година</w:t>
      </w:r>
      <w:r>
        <w:t xml:space="preserve"> при ръст от 1,4 % през 2014 г</w:t>
      </w:r>
      <w:r w:rsidRPr="00C8319B">
        <w:t>. Обезценката на еврото имаше положителен ефект върху износа, а спадът в цените на петрола, подобряването на условията на пазара на труда и по-високите публични разходи, свързани с нарастващия миграционен поток към страни от Е</w:t>
      </w:r>
      <w:r>
        <w:t>С</w:t>
      </w:r>
      <w:r w:rsidRPr="00C8319B">
        <w:t>, се отразиха в по</w:t>
      </w:r>
      <w:r>
        <w:t>-високо</w:t>
      </w:r>
      <w:r w:rsidRPr="00C8319B">
        <w:t xml:space="preserve"> </w:t>
      </w:r>
      <w:r>
        <w:t>потребление.</w:t>
      </w:r>
    </w:p>
    <w:p w:rsidR="00163C90" w:rsidRDefault="00163C90" w:rsidP="00163C90">
      <w:pPr>
        <w:ind w:firstLine="360"/>
        <w:jc w:val="both"/>
      </w:pPr>
    </w:p>
    <w:p w:rsidR="00666D9F" w:rsidRPr="00163C90" w:rsidRDefault="00666D9F" w:rsidP="00563983">
      <w:pPr>
        <w:pStyle w:val="Heading1"/>
        <w:numPr>
          <w:ilvl w:val="0"/>
          <w:numId w:val="3"/>
        </w:numPr>
        <w:jc w:val="left"/>
        <w:rPr>
          <w:color w:val="000000" w:themeColor="text1"/>
        </w:rPr>
      </w:pPr>
      <w:bookmarkStart w:id="19" w:name="_Toc462146089"/>
      <w:r w:rsidRPr="00163C90">
        <w:rPr>
          <w:color w:val="000000" w:themeColor="text1"/>
        </w:rPr>
        <w:t>Макроикономическо развитие в България през 201</w:t>
      </w:r>
      <w:r w:rsidR="00163C90">
        <w:rPr>
          <w:color w:val="000000" w:themeColor="text1"/>
        </w:rPr>
        <w:t>5</w:t>
      </w:r>
      <w:r w:rsidRPr="00163C90">
        <w:rPr>
          <w:color w:val="000000" w:themeColor="text1"/>
        </w:rPr>
        <w:t xml:space="preserve"> г.</w:t>
      </w:r>
      <w:bookmarkStart w:id="20" w:name="_Икономически_растеж,_пазар_на_труда"/>
      <w:bookmarkEnd w:id="12"/>
      <w:bookmarkEnd w:id="13"/>
      <w:bookmarkEnd w:id="14"/>
      <w:bookmarkEnd w:id="15"/>
      <w:bookmarkEnd w:id="16"/>
      <w:bookmarkEnd w:id="17"/>
      <w:bookmarkEnd w:id="18"/>
      <w:bookmarkEnd w:id="20"/>
      <w:bookmarkEnd w:id="19"/>
    </w:p>
    <w:p w:rsidR="00666D9F" w:rsidRPr="007B787E" w:rsidRDefault="00666D9F" w:rsidP="00781B85">
      <w:pPr>
        <w:pStyle w:val="Heading3"/>
        <w:numPr>
          <w:ilvl w:val="1"/>
          <w:numId w:val="64"/>
        </w:numPr>
        <w:rPr>
          <w:rFonts w:ascii="Times New Roman" w:hAnsi="Times New Roman" w:cs="Times New Roman"/>
          <w:color w:val="000000" w:themeColor="text1"/>
          <w:sz w:val="24"/>
          <w:szCs w:val="24"/>
          <w:lang w:val="bg-BG"/>
        </w:rPr>
      </w:pPr>
      <w:bookmarkStart w:id="21" w:name="_Toc324863382"/>
      <w:bookmarkStart w:id="22" w:name="_Toc462146090"/>
      <w:r w:rsidRPr="007B787E">
        <w:rPr>
          <w:rFonts w:ascii="Times New Roman" w:hAnsi="Times New Roman" w:cs="Times New Roman"/>
          <w:color w:val="000000" w:themeColor="text1"/>
          <w:sz w:val="24"/>
          <w:szCs w:val="24"/>
          <w:lang w:val="bg-BG"/>
        </w:rPr>
        <w:t>Брутен вътрешен продукт</w:t>
      </w:r>
      <w:bookmarkEnd w:id="21"/>
      <w:bookmarkEnd w:id="22"/>
    </w:p>
    <w:p w:rsidR="00163C90" w:rsidRPr="00603CA6" w:rsidRDefault="00163C90" w:rsidP="00163C90">
      <w:pPr>
        <w:suppressAutoHyphens/>
        <w:spacing w:after="120"/>
        <w:ind w:firstLine="709"/>
        <w:jc w:val="both"/>
      </w:pPr>
      <w:bookmarkStart w:id="23" w:name="_Toc352851584"/>
      <w:bookmarkStart w:id="24" w:name="_Toc352851369"/>
      <w:bookmarkStart w:id="25" w:name="_Toc352315942"/>
      <w:bookmarkStart w:id="26" w:name="_Toc352315185"/>
      <w:bookmarkStart w:id="27" w:name="_Toc352314635"/>
      <w:bookmarkStart w:id="28" w:name="_Toc261276552"/>
      <w:bookmarkStart w:id="29" w:name="_Toc324863383"/>
      <w:r w:rsidRPr="00603CA6">
        <w:t xml:space="preserve">През 2015 г. реалният растеж на брутния вътрешен продукт на България достигна </w:t>
      </w:r>
      <w:r w:rsidR="00D96405">
        <w:t xml:space="preserve">  </w:t>
      </w:r>
      <w:r w:rsidRPr="00603CA6">
        <w:t>3</w:t>
      </w:r>
      <w:r>
        <w:t xml:space="preserve"> </w:t>
      </w:r>
      <w:r w:rsidRPr="00603CA6">
        <w:t xml:space="preserve">%, най-високата стойност от 2008 г. насам. За това допринесоха едновременно външното (2,1 п.п.) и вътрешното търсене (0,9 п.п.). В номинално изражение БВП на страната достигна </w:t>
      </w:r>
      <w:r w:rsidRPr="000F4B93">
        <w:t>86 372,6</w:t>
      </w:r>
      <w:r w:rsidRPr="00603CA6">
        <w:t xml:space="preserve"> млн.</w:t>
      </w:r>
      <w:r>
        <w:t xml:space="preserve"> </w:t>
      </w:r>
      <w:r w:rsidRPr="00603CA6">
        <w:t xml:space="preserve">лв., </w:t>
      </w:r>
      <w:r>
        <w:t xml:space="preserve">което е </w:t>
      </w:r>
      <w:r w:rsidRPr="00603CA6">
        <w:t>с 3,3</w:t>
      </w:r>
      <w:r>
        <w:t xml:space="preserve"> </w:t>
      </w:r>
      <w:r w:rsidRPr="00603CA6">
        <w:t>% повече от 2014 г.</w:t>
      </w:r>
    </w:p>
    <w:p w:rsidR="00163C90" w:rsidRPr="00603CA6" w:rsidRDefault="00163C90" w:rsidP="00163C90">
      <w:pPr>
        <w:suppressAutoHyphens/>
        <w:spacing w:after="120"/>
        <w:ind w:firstLine="709"/>
        <w:jc w:val="both"/>
      </w:pPr>
      <w:r w:rsidRPr="00603CA6">
        <w:t>Подобрен</w:t>
      </w:r>
      <w:r>
        <w:t>ото</w:t>
      </w:r>
      <w:r w:rsidRPr="00603CA6">
        <w:t xml:space="preserve"> търсене от страна на търговските партньори от ЕС благоприятства ускорението на растежа на износа на стоки и услуги до 7,6</w:t>
      </w:r>
      <w:r>
        <w:t xml:space="preserve"> </w:t>
      </w:r>
      <w:r w:rsidRPr="00603CA6">
        <w:t>%, което при по-умерено нарастване на вноса (4,4</w:t>
      </w:r>
      <w:r>
        <w:t xml:space="preserve"> </w:t>
      </w:r>
      <w:r w:rsidRPr="00603CA6">
        <w:t>%) доведе до положителен принос на нетния износ за ръста на БВП през 2015 г. В същото време крайното пот</w:t>
      </w:r>
      <w:r>
        <w:t>ребление забави растежа си до 0,</w:t>
      </w:r>
      <w:r w:rsidRPr="00603CA6">
        <w:t>7</w:t>
      </w:r>
      <w:r>
        <w:t xml:space="preserve"> </w:t>
      </w:r>
      <w:r w:rsidRPr="00603CA6">
        <w:t>% при нарастване от 2,2</w:t>
      </w:r>
      <w:r>
        <w:t xml:space="preserve"> </w:t>
      </w:r>
      <w:r w:rsidRPr="00603CA6">
        <w:t xml:space="preserve">% през 2014 г. </w:t>
      </w:r>
      <w:r w:rsidRPr="006C06C0">
        <w:t xml:space="preserve">За това развитие влияние оказа потреблението на домакинствата. Отрицателната динамика при цените не успя напълно да компенсира по-ниското нарастване на номиналните доходи, основно по-линия на компенсацията на </w:t>
      </w:r>
      <w:r w:rsidRPr="006C06C0">
        <w:lastRenderedPageBreak/>
        <w:t>наетите, в резултат на което реалното нарастване на разполагаемия доход на домакинствата се забави спрямо 2014 г.</w:t>
      </w:r>
      <w:r w:rsidRPr="00603CA6">
        <w:t xml:space="preserve"> Растежът при инвестиц</w:t>
      </w:r>
      <w:r>
        <w:t xml:space="preserve">иите в основен капитал достигна </w:t>
      </w:r>
      <w:r w:rsidRPr="00603CA6">
        <w:t>2,5</w:t>
      </w:r>
      <w:r>
        <w:t xml:space="preserve"> </w:t>
      </w:r>
      <w:r w:rsidRPr="00603CA6">
        <w:t xml:space="preserve">% и за трета поредна година бе формиран от публичните капиталови разходи, които се повишиха благодарение на изплатените средства по оперативни програми на ЕС, включително национално съфинансиране. Частните инвестиции  в икономиката продължиха да спадат. </w:t>
      </w:r>
    </w:p>
    <w:p w:rsidR="00163C90" w:rsidRPr="008263A6" w:rsidRDefault="00163C90" w:rsidP="00163C90">
      <w:pPr>
        <w:ind w:firstLine="708"/>
        <w:jc w:val="center"/>
        <w:rPr>
          <w:b/>
          <w:bCs/>
          <w:i/>
          <w:noProof/>
        </w:rPr>
      </w:pPr>
      <w:r w:rsidRPr="008263A6">
        <w:rPr>
          <w:b/>
          <w:bCs/>
          <w:i/>
          <w:noProof/>
        </w:rPr>
        <w:t>Реален растеж и принос на отделните компоненти по елементи на крайното използване</w:t>
      </w:r>
    </w:p>
    <w:p w:rsidR="00163C90" w:rsidRPr="008263A6" w:rsidRDefault="00163C90" w:rsidP="00163C90">
      <w:pPr>
        <w:ind w:firstLine="708"/>
        <w:jc w:val="center"/>
      </w:pPr>
    </w:p>
    <w:tbl>
      <w:tblPr>
        <w:tblW w:w="9103" w:type="dxa"/>
        <w:jc w:val="center"/>
        <w:tblInd w:w="-954" w:type="dxa"/>
        <w:tblLayout w:type="fixed"/>
        <w:tblCellMar>
          <w:left w:w="70" w:type="dxa"/>
          <w:right w:w="70" w:type="dxa"/>
        </w:tblCellMar>
        <w:tblLook w:val="00A0" w:firstRow="1" w:lastRow="0" w:firstColumn="1" w:lastColumn="0" w:noHBand="0" w:noVBand="0"/>
      </w:tblPr>
      <w:tblGrid>
        <w:gridCol w:w="3030"/>
        <w:gridCol w:w="1012"/>
        <w:gridCol w:w="1012"/>
        <w:gridCol w:w="1012"/>
        <w:gridCol w:w="1012"/>
        <w:gridCol w:w="1012"/>
        <w:gridCol w:w="1013"/>
      </w:tblGrid>
      <w:tr w:rsidR="00163C90" w:rsidRPr="008263A6" w:rsidTr="0029530C">
        <w:trPr>
          <w:cantSplit/>
          <w:trHeight w:val="79"/>
          <w:jc w:val="center"/>
        </w:trPr>
        <w:tc>
          <w:tcPr>
            <w:tcW w:w="3030" w:type="dxa"/>
            <w:vMerge w:val="restart"/>
            <w:tcBorders>
              <w:top w:val="thickThinSmallGap" w:sz="12" w:space="0" w:color="990000"/>
              <w:left w:val="thickThinSmallGap" w:sz="12" w:space="0" w:color="990000"/>
              <w:bottom w:val="thinThickSmallGap" w:sz="12" w:space="0" w:color="800000"/>
              <w:right w:val="single" w:sz="8" w:space="0" w:color="FFFFFF"/>
            </w:tcBorders>
            <w:shd w:val="clear" w:color="auto" w:fill="990000"/>
            <w:vAlign w:val="center"/>
          </w:tcPr>
          <w:p w:rsidR="00163C90" w:rsidRPr="00CD110A" w:rsidRDefault="00163C90" w:rsidP="0029530C">
            <w:pPr>
              <w:jc w:val="center"/>
              <w:rPr>
                <w:b/>
                <w:sz w:val="20"/>
                <w:szCs w:val="20"/>
              </w:rPr>
            </w:pPr>
            <w:r w:rsidRPr="00CD110A">
              <w:rPr>
                <w:b/>
                <w:sz w:val="20"/>
                <w:szCs w:val="20"/>
              </w:rPr>
              <w:t>ПОКАЗАТЕЛ</w:t>
            </w:r>
          </w:p>
        </w:tc>
        <w:tc>
          <w:tcPr>
            <w:tcW w:w="2024" w:type="dxa"/>
            <w:gridSpan w:val="2"/>
            <w:tcBorders>
              <w:top w:val="thickThinSmallGap" w:sz="12" w:space="0" w:color="990000"/>
              <w:left w:val="single" w:sz="8" w:space="0" w:color="FFFFFF"/>
              <w:bottom w:val="single" w:sz="4" w:space="0" w:color="FFFFFF"/>
              <w:right w:val="single" w:sz="8" w:space="0" w:color="FFFFFF"/>
            </w:tcBorders>
            <w:shd w:val="clear" w:color="auto" w:fill="990000"/>
            <w:vAlign w:val="center"/>
          </w:tcPr>
          <w:p w:rsidR="00163C90" w:rsidRPr="00CD110A" w:rsidRDefault="00163C90" w:rsidP="0029530C">
            <w:pPr>
              <w:jc w:val="center"/>
              <w:rPr>
                <w:b/>
                <w:noProof/>
                <w:snapToGrid w:val="0"/>
                <w:sz w:val="20"/>
                <w:szCs w:val="20"/>
              </w:rPr>
            </w:pPr>
            <w:r w:rsidRPr="00CD110A">
              <w:rPr>
                <w:b/>
                <w:noProof/>
                <w:snapToGrid w:val="0"/>
                <w:sz w:val="20"/>
                <w:szCs w:val="20"/>
              </w:rPr>
              <w:t>201</w:t>
            </w:r>
            <w:r w:rsidRPr="00CD110A">
              <w:rPr>
                <w:b/>
                <w:noProof/>
                <w:snapToGrid w:val="0"/>
                <w:sz w:val="20"/>
                <w:szCs w:val="20"/>
                <w:lang w:val="en-US"/>
              </w:rPr>
              <w:t>4</w:t>
            </w:r>
            <w:r w:rsidRPr="00CD110A">
              <w:rPr>
                <w:b/>
                <w:noProof/>
                <w:snapToGrid w:val="0"/>
                <w:sz w:val="20"/>
                <w:szCs w:val="20"/>
              </w:rPr>
              <w:t xml:space="preserve"> г.</w:t>
            </w:r>
          </w:p>
        </w:tc>
        <w:tc>
          <w:tcPr>
            <w:tcW w:w="2024" w:type="dxa"/>
            <w:gridSpan w:val="2"/>
            <w:tcBorders>
              <w:top w:val="thickThinSmallGap" w:sz="12" w:space="0" w:color="990000"/>
              <w:left w:val="single" w:sz="8" w:space="0" w:color="FFFFFF"/>
              <w:bottom w:val="single" w:sz="4" w:space="0" w:color="FFFFFF"/>
              <w:right w:val="single" w:sz="8" w:space="0" w:color="FFFFFF"/>
            </w:tcBorders>
            <w:shd w:val="clear" w:color="auto" w:fill="990000"/>
            <w:vAlign w:val="center"/>
          </w:tcPr>
          <w:p w:rsidR="00163C90" w:rsidRPr="00CD110A" w:rsidRDefault="00163C90" w:rsidP="0029530C">
            <w:pPr>
              <w:jc w:val="center"/>
              <w:rPr>
                <w:b/>
                <w:noProof/>
                <w:snapToGrid w:val="0"/>
                <w:sz w:val="20"/>
                <w:szCs w:val="20"/>
              </w:rPr>
            </w:pPr>
            <w:r w:rsidRPr="00CD110A">
              <w:rPr>
                <w:b/>
                <w:noProof/>
                <w:snapToGrid w:val="0"/>
                <w:sz w:val="20"/>
                <w:szCs w:val="20"/>
              </w:rPr>
              <w:t>201</w:t>
            </w:r>
            <w:r w:rsidRPr="00CD110A">
              <w:rPr>
                <w:b/>
                <w:noProof/>
                <w:snapToGrid w:val="0"/>
                <w:sz w:val="20"/>
                <w:szCs w:val="20"/>
                <w:lang w:val="en-US"/>
              </w:rPr>
              <w:t>5</w:t>
            </w:r>
            <w:r w:rsidRPr="00CD110A">
              <w:rPr>
                <w:b/>
                <w:noProof/>
                <w:snapToGrid w:val="0"/>
                <w:sz w:val="20"/>
                <w:szCs w:val="20"/>
              </w:rPr>
              <w:t xml:space="preserve"> г.</w:t>
            </w:r>
          </w:p>
        </w:tc>
        <w:tc>
          <w:tcPr>
            <w:tcW w:w="1012" w:type="dxa"/>
            <w:tcBorders>
              <w:top w:val="thickThinSmallGap" w:sz="12" w:space="0" w:color="990000"/>
              <w:left w:val="single" w:sz="8" w:space="0" w:color="FFFFFF"/>
              <w:bottom w:val="single" w:sz="8" w:space="0" w:color="FFFFFF"/>
              <w:right w:val="single" w:sz="8" w:space="0" w:color="FFFFFF"/>
            </w:tcBorders>
            <w:shd w:val="clear" w:color="auto" w:fill="990000"/>
            <w:vAlign w:val="center"/>
          </w:tcPr>
          <w:p w:rsidR="00163C90" w:rsidRPr="00CD110A" w:rsidRDefault="00163C90" w:rsidP="0029530C">
            <w:pPr>
              <w:jc w:val="center"/>
              <w:rPr>
                <w:b/>
                <w:noProof/>
                <w:snapToGrid w:val="0"/>
                <w:sz w:val="20"/>
                <w:szCs w:val="20"/>
              </w:rPr>
            </w:pPr>
            <w:r w:rsidRPr="00CD110A">
              <w:rPr>
                <w:b/>
                <w:noProof/>
                <w:snapToGrid w:val="0"/>
                <w:sz w:val="20"/>
                <w:szCs w:val="20"/>
              </w:rPr>
              <w:t>201</w:t>
            </w:r>
            <w:r w:rsidRPr="00CD110A">
              <w:rPr>
                <w:b/>
                <w:noProof/>
                <w:snapToGrid w:val="0"/>
                <w:sz w:val="20"/>
                <w:szCs w:val="20"/>
                <w:lang w:val="en-US"/>
              </w:rPr>
              <w:t>4</w:t>
            </w:r>
            <w:r w:rsidRPr="00CD110A">
              <w:rPr>
                <w:b/>
                <w:noProof/>
                <w:snapToGrid w:val="0"/>
                <w:sz w:val="20"/>
                <w:szCs w:val="20"/>
              </w:rPr>
              <w:t> г.</w:t>
            </w:r>
          </w:p>
        </w:tc>
        <w:tc>
          <w:tcPr>
            <w:tcW w:w="1013" w:type="dxa"/>
            <w:tcBorders>
              <w:top w:val="thickThinSmallGap" w:sz="12" w:space="0" w:color="990000"/>
              <w:left w:val="single" w:sz="8" w:space="0" w:color="FFFFFF"/>
              <w:bottom w:val="single" w:sz="8" w:space="0" w:color="FFFFFF"/>
              <w:right w:val="thickThinSmallGap" w:sz="12" w:space="0" w:color="990000"/>
            </w:tcBorders>
            <w:shd w:val="clear" w:color="auto" w:fill="990000"/>
            <w:vAlign w:val="center"/>
          </w:tcPr>
          <w:p w:rsidR="00163C90" w:rsidRPr="00CD110A" w:rsidRDefault="00163C90" w:rsidP="0029530C">
            <w:pPr>
              <w:jc w:val="center"/>
              <w:rPr>
                <w:b/>
                <w:noProof/>
                <w:snapToGrid w:val="0"/>
                <w:sz w:val="20"/>
                <w:szCs w:val="20"/>
              </w:rPr>
            </w:pPr>
            <w:r w:rsidRPr="00CD110A">
              <w:rPr>
                <w:b/>
                <w:noProof/>
                <w:snapToGrid w:val="0"/>
                <w:sz w:val="20"/>
                <w:szCs w:val="20"/>
              </w:rPr>
              <w:t>201</w:t>
            </w:r>
            <w:r w:rsidRPr="00CD110A">
              <w:rPr>
                <w:b/>
                <w:noProof/>
                <w:snapToGrid w:val="0"/>
                <w:sz w:val="20"/>
                <w:szCs w:val="20"/>
                <w:lang w:val="en-US"/>
              </w:rPr>
              <w:t>5</w:t>
            </w:r>
            <w:r w:rsidRPr="00CD110A">
              <w:rPr>
                <w:b/>
                <w:noProof/>
                <w:snapToGrid w:val="0"/>
                <w:sz w:val="20"/>
                <w:szCs w:val="20"/>
              </w:rPr>
              <w:t> г.</w:t>
            </w:r>
          </w:p>
        </w:tc>
      </w:tr>
      <w:tr w:rsidR="00163C90" w:rsidRPr="008263A6" w:rsidTr="0029530C">
        <w:trPr>
          <w:trHeight w:val="772"/>
          <w:jc w:val="center"/>
        </w:trPr>
        <w:tc>
          <w:tcPr>
            <w:tcW w:w="3030" w:type="dxa"/>
            <w:vMerge/>
            <w:tcBorders>
              <w:top w:val="thinThickSmallGap" w:sz="12" w:space="0" w:color="800000"/>
              <w:left w:val="thickThinSmallGap" w:sz="12" w:space="0" w:color="990000"/>
              <w:bottom w:val="single" w:sz="4" w:space="0" w:color="990000"/>
              <w:right w:val="single" w:sz="8" w:space="0" w:color="FFFFFF"/>
            </w:tcBorders>
            <w:shd w:val="clear" w:color="auto" w:fill="990000"/>
            <w:vAlign w:val="center"/>
          </w:tcPr>
          <w:p w:rsidR="00163C90" w:rsidRPr="00CD110A" w:rsidRDefault="00163C90" w:rsidP="0029530C">
            <w:pPr>
              <w:rPr>
                <w:b/>
                <w:sz w:val="20"/>
                <w:szCs w:val="20"/>
              </w:rPr>
            </w:pP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163C90" w:rsidRPr="00CD110A" w:rsidRDefault="00163C90" w:rsidP="0029530C">
            <w:pPr>
              <w:jc w:val="center"/>
              <w:rPr>
                <w:b/>
                <w:noProof/>
                <w:snapToGrid w:val="0"/>
                <w:sz w:val="20"/>
                <w:szCs w:val="20"/>
              </w:rPr>
            </w:pPr>
            <w:r w:rsidRPr="00CD110A">
              <w:rPr>
                <w:b/>
                <w:noProof/>
                <w:snapToGrid w:val="0"/>
                <w:sz w:val="20"/>
                <w:szCs w:val="20"/>
              </w:rPr>
              <w:t>Реален растеж (%)</w:t>
            </w: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163C90" w:rsidRPr="00CD110A" w:rsidRDefault="00163C90" w:rsidP="0029530C">
            <w:pPr>
              <w:jc w:val="center"/>
              <w:rPr>
                <w:b/>
                <w:noProof/>
                <w:snapToGrid w:val="0"/>
                <w:sz w:val="20"/>
                <w:szCs w:val="20"/>
              </w:rPr>
            </w:pPr>
            <w:r w:rsidRPr="00CD110A">
              <w:rPr>
                <w:b/>
                <w:noProof/>
                <w:snapToGrid w:val="0"/>
                <w:sz w:val="20"/>
                <w:szCs w:val="20"/>
              </w:rPr>
              <w:t>Принос в растежа* (п.п.)</w:t>
            </w: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163C90" w:rsidRPr="00CD110A" w:rsidRDefault="00163C90" w:rsidP="0029530C">
            <w:pPr>
              <w:jc w:val="center"/>
              <w:rPr>
                <w:b/>
                <w:noProof/>
                <w:snapToGrid w:val="0"/>
                <w:sz w:val="20"/>
                <w:szCs w:val="20"/>
              </w:rPr>
            </w:pPr>
            <w:r w:rsidRPr="00CD110A">
              <w:rPr>
                <w:b/>
                <w:noProof/>
                <w:snapToGrid w:val="0"/>
                <w:sz w:val="20"/>
                <w:szCs w:val="20"/>
              </w:rPr>
              <w:t>Реален растеж (%)</w:t>
            </w:r>
          </w:p>
        </w:tc>
        <w:tc>
          <w:tcPr>
            <w:tcW w:w="1012" w:type="dxa"/>
            <w:tcBorders>
              <w:top w:val="single" w:sz="2" w:space="0" w:color="FFFFFF"/>
              <w:left w:val="single" w:sz="8" w:space="0" w:color="FFFFFF"/>
              <w:bottom w:val="single" w:sz="4" w:space="0" w:color="990000"/>
              <w:right w:val="single" w:sz="8" w:space="0" w:color="FFFFFF"/>
            </w:tcBorders>
            <w:shd w:val="clear" w:color="auto" w:fill="990000"/>
            <w:vAlign w:val="center"/>
          </w:tcPr>
          <w:p w:rsidR="00163C90" w:rsidRPr="00CD110A" w:rsidRDefault="00163C90" w:rsidP="0029530C">
            <w:pPr>
              <w:jc w:val="center"/>
              <w:rPr>
                <w:b/>
                <w:noProof/>
                <w:snapToGrid w:val="0"/>
                <w:sz w:val="20"/>
                <w:szCs w:val="20"/>
              </w:rPr>
            </w:pPr>
            <w:r w:rsidRPr="00CD110A">
              <w:rPr>
                <w:b/>
                <w:noProof/>
                <w:snapToGrid w:val="0"/>
                <w:sz w:val="20"/>
                <w:szCs w:val="20"/>
              </w:rPr>
              <w:t>Принос в растежа* (п.п.)</w:t>
            </w:r>
          </w:p>
        </w:tc>
        <w:tc>
          <w:tcPr>
            <w:tcW w:w="2025" w:type="dxa"/>
            <w:gridSpan w:val="2"/>
            <w:tcBorders>
              <w:top w:val="single" w:sz="2" w:space="0" w:color="FFFFFF"/>
              <w:left w:val="single" w:sz="8" w:space="0" w:color="FFFFFF"/>
              <w:bottom w:val="single" w:sz="4" w:space="0" w:color="990000"/>
              <w:right w:val="thickThinSmallGap" w:sz="12" w:space="0" w:color="990000"/>
            </w:tcBorders>
            <w:shd w:val="clear" w:color="auto" w:fill="990000"/>
            <w:vAlign w:val="center"/>
          </w:tcPr>
          <w:p w:rsidR="00163C90" w:rsidRPr="00CD110A" w:rsidRDefault="00163C90" w:rsidP="0029530C">
            <w:pPr>
              <w:jc w:val="center"/>
              <w:rPr>
                <w:b/>
                <w:noProof/>
                <w:snapToGrid w:val="0"/>
                <w:sz w:val="20"/>
                <w:szCs w:val="20"/>
              </w:rPr>
            </w:pPr>
            <w:r w:rsidRPr="00CD110A">
              <w:rPr>
                <w:b/>
                <w:noProof/>
                <w:snapToGrid w:val="0"/>
                <w:sz w:val="20"/>
                <w:szCs w:val="20"/>
              </w:rPr>
              <w:t>% от БВП*</w:t>
            </w:r>
          </w:p>
          <w:p w:rsidR="00163C90" w:rsidRPr="00CD110A" w:rsidRDefault="00163C90" w:rsidP="0029530C">
            <w:pPr>
              <w:jc w:val="center"/>
              <w:rPr>
                <w:b/>
                <w:noProof/>
                <w:snapToGrid w:val="0"/>
                <w:sz w:val="20"/>
                <w:szCs w:val="20"/>
              </w:rPr>
            </w:pPr>
            <w:r w:rsidRPr="00CD110A">
              <w:rPr>
                <w:b/>
                <w:noProof/>
                <w:snapToGrid w:val="0"/>
                <w:sz w:val="20"/>
                <w:szCs w:val="20"/>
              </w:rPr>
              <w:t>(текущи цени)</w:t>
            </w:r>
          </w:p>
        </w:tc>
      </w:tr>
      <w:tr w:rsidR="00163C90" w:rsidRPr="008263A6" w:rsidTr="0029530C">
        <w:trPr>
          <w:trHeight w:val="206"/>
          <w:jc w:val="center"/>
        </w:trPr>
        <w:tc>
          <w:tcPr>
            <w:tcW w:w="3030" w:type="dxa"/>
            <w:tcBorders>
              <w:top w:val="single" w:sz="4" w:space="0" w:color="990000"/>
              <w:left w:val="thickThinSmallGap" w:sz="12" w:space="0" w:color="990000"/>
              <w:bottom w:val="nil"/>
              <w:right w:val="single" w:sz="4" w:space="0" w:color="990000"/>
            </w:tcBorders>
            <w:shd w:val="clear" w:color="auto" w:fill="FFFFCC"/>
            <w:vAlign w:val="center"/>
          </w:tcPr>
          <w:p w:rsidR="00163C90" w:rsidRPr="00B05396" w:rsidRDefault="00163C90" w:rsidP="0029530C">
            <w:pPr>
              <w:rPr>
                <w:noProof/>
                <w:snapToGrid w:val="0"/>
                <w:sz w:val="20"/>
                <w:szCs w:val="20"/>
              </w:rPr>
            </w:pPr>
            <w:r w:rsidRPr="00B05396">
              <w:rPr>
                <w:noProof/>
                <w:snapToGrid w:val="0"/>
                <w:sz w:val="20"/>
                <w:szCs w:val="20"/>
              </w:rPr>
              <w:t>Крайно потребление</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2,2</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1,7</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0,7</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rPr>
            </w:pPr>
            <w:r w:rsidRPr="00B05396">
              <w:rPr>
                <w:noProof/>
                <w:snapToGrid w:val="0"/>
                <w:sz w:val="20"/>
                <w:szCs w:val="20"/>
              </w:rPr>
              <w:t>0,</w:t>
            </w:r>
            <w:r>
              <w:rPr>
                <w:noProof/>
                <w:snapToGrid w:val="0"/>
                <w:sz w:val="20"/>
                <w:szCs w:val="20"/>
              </w:rPr>
              <w:t>5</w:t>
            </w:r>
          </w:p>
        </w:tc>
        <w:tc>
          <w:tcPr>
            <w:tcW w:w="1012" w:type="dxa"/>
            <w:tcBorders>
              <w:top w:val="single" w:sz="4" w:space="0" w:color="990000"/>
              <w:left w:val="single" w:sz="4" w:space="0" w:color="990000"/>
              <w:bottom w:val="nil"/>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rPr>
              <w:t>79,4</w:t>
            </w:r>
          </w:p>
        </w:tc>
        <w:tc>
          <w:tcPr>
            <w:tcW w:w="1013" w:type="dxa"/>
            <w:tcBorders>
              <w:top w:val="single" w:sz="4" w:space="0" w:color="990000"/>
              <w:left w:val="single" w:sz="4" w:space="0" w:color="990000"/>
              <w:bottom w:val="nil"/>
              <w:right w:val="thickThinSmallGap" w:sz="12"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rPr>
              <w:t>77,2</w:t>
            </w:r>
          </w:p>
        </w:tc>
      </w:tr>
      <w:tr w:rsidR="00163C90" w:rsidRPr="008263A6" w:rsidTr="0029530C">
        <w:trPr>
          <w:trHeight w:val="268"/>
          <w:jc w:val="center"/>
        </w:trPr>
        <w:tc>
          <w:tcPr>
            <w:tcW w:w="3030" w:type="dxa"/>
            <w:tcBorders>
              <w:top w:val="nil"/>
              <w:left w:val="thickThinSmallGap" w:sz="12" w:space="0" w:color="990000"/>
              <w:bottom w:val="nil"/>
              <w:right w:val="single" w:sz="4" w:space="0" w:color="990000"/>
            </w:tcBorders>
            <w:shd w:val="clear" w:color="auto" w:fill="FFFFCC"/>
            <w:vAlign w:val="center"/>
          </w:tcPr>
          <w:p w:rsidR="00163C90" w:rsidRPr="00B05396" w:rsidRDefault="00163C90" w:rsidP="0029530C">
            <w:pPr>
              <w:rPr>
                <w:noProof/>
                <w:snapToGrid w:val="0"/>
                <w:sz w:val="20"/>
                <w:szCs w:val="20"/>
              </w:rPr>
            </w:pPr>
            <w:r w:rsidRPr="00B05396">
              <w:rPr>
                <w:noProof/>
                <w:snapToGrid w:val="0"/>
                <w:sz w:val="20"/>
                <w:szCs w:val="20"/>
              </w:rPr>
              <w:t>Инвестиции в основен капитал</w:t>
            </w:r>
          </w:p>
        </w:tc>
        <w:tc>
          <w:tcPr>
            <w:tcW w:w="1012" w:type="dxa"/>
            <w:tcBorders>
              <w:top w:val="nil"/>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rPr>
            </w:pPr>
            <w:r w:rsidRPr="00CD110A">
              <w:rPr>
                <w:noProof/>
                <w:snapToGrid w:val="0"/>
                <w:sz w:val="20"/>
                <w:szCs w:val="20"/>
              </w:rPr>
              <w:t>3,4</w:t>
            </w:r>
          </w:p>
        </w:tc>
        <w:tc>
          <w:tcPr>
            <w:tcW w:w="1012" w:type="dxa"/>
            <w:tcBorders>
              <w:top w:val="nil"/>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rPr>
            </w:pPr>
            <w:r w:rsidRPr="00CD110A">
              <w:rPr>
                <w:noProof/>
                <w:snapToGrid w:val="0"/>
                <w:sz w:val="20"/>
                <w:szCs w:val="20"/>
              </w:rPr>
              <w:t>0,7</w:t>
            </w:r>
          </w:p>
        </w:tc>
        <w:tc>
          <w:tcPr>
            <w:tcW w:w="1012" w:type="dxa"/>
            <w:tcBorders>
              <w:top w:val="nil"/>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2,5</w:t>
            </w:r>
          </w:p>
        </w:tc>
        <w:tc>
          <w:tcPr>
            <w:tcW w:w="1012" w:type="dxa"/>
            <w:tcBorders>
              <w:top w:val="nil"/>
              <w:left w:val="single" w:sz="4" w:space="0" w:color="990000"/>
              <w:bottom w:val="nil"/>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lang w:val="en-US"/>
              </w:rPr>
              <w:t>0</w:t>
            </w:r>
            <w:r w:rsidRPr="00B05396">
              <w:rPr>
                <w:noProof/>
                <w:snapToGrid w:val="0"/>
                <w:sz w:val="20"/>
                <w:szCs w:val="20"/>
              </w:rPr>
              <w:t>,5</w:t>
            </w:r>
          </w:p>
        </w:tc>
        <w:tc>
          <w:tcPr>
            <w:tcW w:w="1012" w:type="dxa"/>
            <w:tcBorders>
              <w:top w:val="nil"/>
              <w:left w:val="single" w:sz="4" w:space="0" w:color="990000"/>
              <w:bottom w:val="nil"/>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rPr>
              <w:t>21,1</w:t>
            </w:r>
          </w:p>
        </w:tc>
        <w:tc>
          <w:tcPr>
            <w:tcW w:w="1013" w:type="dxa"/>
            <w:tcBorders>
              <w:top w:val="nil"/>
              <w:left w:val="single" w:sz="4" w:space="0" w:color="990000"/>
              <w:bottom w:val="nil"/>
              <w:right w:val="thickThinSmallGap" w:sz="12"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lang w:val="en-US"/>
              </w:rPr>
              <w:t>2</w:t>
            </w:r>
            <w:r w:rsidRPr="00B05396">
              <w:rPr>
                <w:noProof/>
                <w:snapToGrid w:val="0"/>
                <w:sz w:val="20"/>
                <w:szCs w:val="20"/>
              </w:rPr>
              <w:t>1,2</w:t>
            </w:r>
          </w:p>
        </w:tc>
      </w:tr>
      <w:tr w:rsidR="00163C90" w:rsidRPr="008263A6" w:rsidTr="0029530C">
        <w:trPr>
          <w:trHeight w:val="211"/>
          <w:jc w:val="center"/>
        </w:trPr>
        <w:tc>
          <w:tcPr>
            <w:tcW w:w="3030" w:type="dxa"/>
            <w:tcBorders>
              <w:top w:val="nil"/>
              <w:left w:val="thickThinSmallGap" w:sz="12" w:space="0" w:color="990000"/>
              <w:bottom w:val="nil"/>
              <w:right w:val="single" w:sz="4" w:space="0" w:color="990000"/>
            </w:tcBorders>
            <w:shd w:val="clear" w:color="auto" w:fill="FFFFCC"/>
            <w:vAlign w:val="center"/>
          </w:tcPr>
          <w:p w:rsidR="00163C90" w:rsidRPr="00B05396" w:rsidRDefault="00163C90" w:rsidP="0029530C">
            <w:pPr>
              <w:rPr>
                <w:noProof/>
                <w:snapToGrid w:val="0"/>
                <w:sz w:val="20"/>
                <w:szCs w:val="20"/>
              </w:rPr>
            </w:pPr>
            <w:r w:rsidRPr="00B05396">
              <w:rPr>
                <w:noProof/>
                <w:snapToGrid w:val="0"/>
                <w:sz w:val="20"/>
                <w:szCs w:val="20"/>
              </w:rPr>
              <w:t>Износ на стоки и услуги</w:t>
            </w:r>
          </w:p>
        </w:tc>
        <w:tc>
          <w:tcPr>
            <w:tcW w:w="1012" w:type="dxa"/>
            <w:tcBorders>
              <w:top w:val="nil"/>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-0,1</w:t>
            </w:r>
          </w:p>
        </w:tc>
        <w:tc>
          <w:tcPr>
            <w:tcW w:w="1012" w:type="dxa"/>
            <w:tcBorders>
              <w:top w:val="nil"/>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-0,1</w:t>
            </w:r>
          </w:p>
        </w:tc>
        <w:tc>
          <w:tcPr>
            <w:tcW w:w="1012" w:type="dxa"/>
            <w:tcBorders>
              <w:top w:val="nil"/>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7,6</w:t>
            </w:r>
          </w:p>
        </w:tc>
        <w:tc>
          <w:tcPr>
            <w:tcW w:w="1012" w:type="dxa"/>
            <w:tcBorders>
              <w:top w:val="nil"/>
              <w:left w:val="single" w:sz="4" w:space="0" w:color="990000"/>
              <w:bottom w:val="nil"/>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rPr>
            </w:pPr>
            <w:r>
              <w:rPr>
                <w:noProof/>
                <w:snapToGrid w:val="0"/>
                <w:sz w:val="20"/>
                <w:szCs w:val="20"/>
              </w:rPr>
              <w:t>5,0</w:t>
            </w:r>
          </w:p>
        </w:tc>
        <w:tc>
          <w:tcPr>
            <w:tcW w:w="1012" w:type="dxa"/>
            <w:tcBorders>
              <w:top w:val="nil"/>
              <w:left w:val="single" w:sz="4" w:space="0" w:color="990000"/>
              <w:bottom w:val="nil"/>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rPr>
              <w:t>65,1</w:t>
            </w:r>
          </w:p>
        </w:tc>
        <w:tc>
          <w:tcPr>
            <w:tcW w:w="1013" w:type="dxa"/>
            <w:tcBorders>
              <w:top w:val="nil"/>
              <w:left w:val="single" w:sz="4" w:space="0" w:color="990000"/>
              <w:bottom w:val="nil"/>
              <w:right w:val="thickThinSmallGap" w:sz="12"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rPr>
              <w:t>66,5</w:t>
            </w:r>
          </w:p>
        </w:tc>
      </w:tr>
      <w:tr w:rsidR="00163C90" w:rsidRPr="008263A6" w:rsidTr="0029530C">
        <w:trPr>
          <w:trHeight w:val="124"/>
          <w:jc w:val="center"/>
        </w:trPr>
        <w:tc>
          <w:tcPr>
            <w:tcW w:w="3030" w:type="dxa"/>
            <w:tcBorders>
              <w:top w:val="nil"/>
              <w:left w:val="thickThinSmallGap" w:sz="12" w:space="0" w:color="990000"/>
              <w:bottom w:val="nil"/>
              <w:right w:val="single" w:sz="4" w:space="0" w:color="990000"/>
            </w:tcBorders>
            <w:shd w:val="clear" w:color="auto" w:fill="FFFFCC"/>
            <w:vAlign w:val="center"/>
          </w:tcPr>
          <w:p w:rsidR="00163C90" w:rsidRPr="00B05396" w:rsidRDefault="00163C90" w:rsidP="0029530C">
            <w:pPr>
              <w:rPr>
                <w:noProof/>
                <w:snapToGrid w:val="0"/>
                <w:sz w:val="20"/>
                <w:szCs w:val="20"/>
              </w:rPr>
            </w:pPr>
            <w:r w:rsidRPr="00B05396">
              <w:rPr>
                <w:noProof/>
                <w:snapToGrid w:val="0"/>
                <w:sz w:val="20"/>
                <w:szCs w:val="20"/>
              </w:rPr>
              <w:t xml:space="preserve">Внос на стоки и услуги </w:t>
            </w:r>
          </w:p>
        </w:tc>
        <w:tc>
          <w:tcPr>
            <w:tcW w:w="1012" w:type="dxa"/>
            <w:tcBorders>
              <w:top w:val="nil"/>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1,5</w:t>
            </w:r>
          </w:p>
        </w:tc>
        <w:tc>
          <w:tcPr>
            <w:tcW w:w="1012" w:type="dxa"/>
            <w:tcBorders>
              <w:top w:val="nil"/>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rPr>
            </w:pPr>
            <w:r w:rsidRPr="00CD110A">
              <w:rPr>
                <w:noProof/>
                <w:snapToGrid w:val="0"/>
                <w:sz w:val="20"/>
                <w:szCs w:val="20"/>
              </w:rPr>
              <w:t>-1</w:t>
            </w:r>
            <w:r>
              <w:rPr>
                <w:noProof/>
                <w:snapToGrid w:val="0"/>
                <w:sz w:val="20"/>
                <w:szCs w:val="20"/>
              </w:rPr>
              <w:t>,0</w:t>
            </w:r>
          </w:p>
        </w:tc>
        <w:tc>
          <w:tcPr>
            <w:tcW w:w="1012" w:type="dxa"/>
            <w:tcBorders>
              <w:top w:val="nil"/>
              <w:left w:val="single" w:sz="4" w:space="0" w:color="990000"/>
              <w:bottom w:val="nil"/>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4,4</w:t>
            </w:r>
          </w:p>
        </w:tc>
        <w:tc>
          <w:tcPr>
            <w:tcW w:w="1012" w:type="dxa"/>
            <w:tcBorders>
              <w:top w:val="nil"/>
              <w:left w:val="single" w:sz="4" w:space="0" w:color="990000"/>
              <w:bottom w:val="nil"/>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lang w:val="en-US"/>
              </w:rPr>
              <w:t>-</w:t>
            </w:r>
            <w:r w:rsidRPr="00B05396">
              <w:rPr>
                <w:noProof/>
                <w:snapToGrid w:val="0"/>
                <w:sz w:val="20"/>
                <w:szCs w:val="20"/>
              </w:rPr>
              <w:t>2,9</w:t>
            </w:r>
          </w:p>
        </w:tc>
        <w:tc>
          <w:tcPr>
            <w:tcW w:w="1012" w:type="dxa"/>
            <w:tcBorders>
              <w:top w:val="nil"/>
              <w:left w:val="single" w:sz="4" w:space="0" w:color="990000"/>
              <w:bottom w:val="nil"/>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rPr>
            </w:pPr>
            <w:r w:rsidRPr="00B05396">
              <w:rPr>
                <w:noProof/>
                <w:snapToGrid w:val="0"/>
                <w:sz w:val="20"/>
                <w:szCs w:val="20"/>
              </w:rPr>
              <w:t>66,0</w:t>
            </w:r>
          </w:p>
        </w:tc>
        <w:tc>
          <w:tcPr>
            <w:tcW w:w="1013" w:type="dxa"/>
            <w:tcBorders>
              <w:top w:val="nil"/>
              <w:left w:val="single" w:sz="4" w:space="0" w:color="990000"/>
              <w:bottom w:val="nil"/>
              <w:right w:val="thickThinSmallGap" w:sz="12"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rPr>
              <w:t>65,0</w:t>
            </w:r>
          </w:p>
        </w:tc>
      </w:tr>
      <w:tr w:rsidR="00163C90" w:rsidRPr="008263A6" w:rsidTr="0029530C">
        <w:trPr>
          <w:trHeight w:val="193"/>
          <w:jc w:val="center"/>
        </w:trPr>
        <w:tc>
          <w:tcPr>
            <w:tcW w:w="3030" w:type="dxa"/>
            <w:tcBorders>
              <w:top w:val="nil"/>
              <w:left w:val="thickThinSmallGap" w:sz="12" w:space="0" w:color="990000"/>
              <w:bottom w:val="thickThinSmallGap" w:sz="12" w:space="0" w:color="990000"/>
              <w:right w:val="single" w:sz="4" w:space="0" w:color="990000"/>
            </w:tcBorders>
            <w:shd w:val="clear" w:color="auto" w:fill="FFFFCC"/>
            <w:vAlign w:val="center"/>
          </w:tcPr>
          <w:p w:rsidR="00163C90" w:rsidRPr="00B05396" w:rsidRDefault="00163C90" w:rsidP="0029530C">
            <w:pPr>
              <w:rPr>
                <w:noProof/>
                <w:snapToGrid w:val="0"/>
                <w:sz w:val="20"/>
                <w:szCs w:val="20"/>
              </w:rPr>
            </w:pPr>
            <w:r w:rsidRPr="00B05396">
              <w:rPr>
                <w:noProof/>
                <w:snapToGrid w:val="0"/>
                <w:sz w:val="20"/>
                <w:szCs w:val="20"/>
              </w:rPr>
              <w:t>БВП</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163C90" w:rsidRPr="000F4440" w:rsidRDefault="00163C90" w:rsidP="0029530C">
            <w:pPr>
              <w:ind w:right="198"/>
              <w:jc w:val="right"/>
              <w:rPr>
                <w:noProof/>
                <w:snapToGrid w:val="0"/>
                <w:sz w:val="20"/>
                <w:szCs w:val="20"/>
              </w:rPr>
            </w:pPr>
            <w:r w:rsidRPr="00CD110A">
              <w:rPr>
                <w:noProof/>
                <w:snapToGrid w:val="0"/>
                <w:sz w:val="20"/>
                <w:szCs w:val="20"/>
              </w:rPr>
              <w:t>1,</w:t>
            </w:r>
            <w:r>
              <w:rPr>
                <w:noProof/>
                <w:snapToGrid w:val="0"/>
                <w:sz w:val="20"/>
                <w:szCs w:val="20"/>
              </w:rPr>
              <w:t>5</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lang w:val="en-US"/>
              </w:rPr>
            </w:pPr>
            <w:r w:rsidRPr="00CD110A">
              <w:rPr>
                <w:noProof/>
                <w:snapToGrid w:val="0"/>
                <w:sz w:val="20"/>
                <w:szCs w:val="20"/>
              </w:rPr>
              <w:t>1,</w:t>
            </w:r>
            <w:r>
              <w:rPr>
                <w:noProof/>
                <w:snapToGrid w:val="0"/>
                <w:sz w:val="20"/>
                <w:szCs w:val="20"/>
              </w:rPr>
              <w:t>5</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163C90" w:rsidRPr="00CD110A" w:rsidRDefault="00163C90" w:rsidP="0029530C">
            <w:pPr>
              <w:ind w:right="198"/>
              <w:jc w:val="right"/>
              <w:rPr>
                <w:noProof/>
                <w:snapToGrid w:val="0"/>
                <w:sz w:val="20"/>
                <w:szCs w:val="20"/>
              </w:rPr>
            </w:pPr>
            <w:r w:rsidRPr="00CD110A">
              <w:rPr>
                <w:noProof/>
                <w:snapToGrid w:val="0"/>
                <w:sz w:val="20"/>
                <w:szCs w:val="20"/>
                <w:lang w:val="en-US"/>
              </w:rPr>
              <w:t>3</w:t>
            </w:r>
            <w:r w:rsidRPr="00CD110A">
              <w:rPr>
                <w:noProof/>
                <w:snapToGrid w:val="0"/>
                <w:sz w:val="20"/>
                <w:szCs w:val="20"/>
              </w:rPr>
              <w:t>,0</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lang w:val="en-US"/>
              </w:rPr>
            </w:pPr>
            <w:r w:rsidRPr="00B05396">
              <w:rPr>
                <w:noProof/>
                <w:snapToGrid w:val="0"/>
                <w:sz w:val="20"/>
                <w:szCs w:val="20"/>
              </w:rPr>
              <w:t>3,0</w:t>
            </w:r>
          </w:p>
        </w:tc>
        <w:tc>
          <w:tcPr>
            <w:tcW w:w="1012" w:type="dxa"/>
            <w:tcBorders>
              <w:top w:val="nil"/>
              <w:left w:val="single" w:sz="4" w:space="0" w:color="990000"/>
              <w:bottom w:val="thickThinSmallGap" w:sz="12" w:space="0" w:color="990000"/>
              <w:right w:val="single" w:sz="4" w:space="0" w:color="990000"/>
            </w:tcBorders>
            <w:shd w:val="clear" w:color="auto" w:fill="FFFFCC"/>
            <w:vAlign w:val="center"/>
          </w:tcPr>
          <w:p w:rsidR="00163C90" w:rsidRPr="00B05396" w:rsidRDefault="00163C90" w:rsidP="0029530C">
            <w:pPr>
              <w:ind w:right="198"/>
              <w:jc w:val="right"/>
              <w:rPr>
                <w:noProof/>
                <w:snapToGrid w:val="0"/>
                <w:sz w:val="20"/>
                <w:szCs w:val="20"/>
              </w:rPr>
            </w:pPr>
            <w:r w:rsidRPr="00B05396">
              <w:rPr>
                <w:noProof/>
                <w:snapToGrid w:val="0"/>
                <w:sz w:val="20"/>
                <w:szCs w:val="20"/>
              </w:rPr>
              <w:t>100,0</w:t>
            </w:r>
          </w:p>
        </w:tc>
        <w:tc>
          <w:tcPr>
            <w:tcW w:w="1013" w:type="dxa"/>
            <w:tcBorders>
              <w:top w:val="nil"/>
              <w:left w:val="single" w:sz="4" w:space="0" w:color="990000"/>
              <w:bottom w:val="thickThinSmallGap" w:sz="12" w:space="0" w:color="990000"/>
              <w:right w:val="thickThinSmallGap" w:sz="12" w:space="0" w:color="990000"/>
            </w:tcBorders>
            <w:shd w:val="clear" w:color="auto" w:fill="FFFFCC"/>
            <w:vAlign w:val="center"/>
          </w:tcPr>
          <w:p w:rsidR="00163C90" w:rsidRPr="00B05396" w:rsidRDefault="00163C90" w:rsidP="0029530C">
            <w:pPr>
              <w:ind w:right="198"/>
              <w:jc w:val="right"/>
              <w:rPr>
                <w:noProof/>
                <w:snapToGrid w:val="0"/>
                <w:sz w:val="20"/>
                <w:szCs w:val="20"/>
              </w:rPr>
            </w:pPr>
            <w:r w:rsidRPr="00B05396">
              <w:rPr>
                <w:noProof/>
                <w:snapToGrid w:val="0"/>
                <w:sz w:val="20"/>
                <w:szCs w:val="20"/>
              </w:rPr>
              <w:t>100,0</w:t>
            </w:r>
          </w:p>
        </w:tc>
      </w:tr>
    </w:tbl>
    <w:p w:rsidR="00163C90" w:rsidRPr="008263A6" w:rsidRDefault="00163C90" w:rsidP="00163C90">
      <w:pPr>
        <w:tabs>
          <w:tab w:val="right" w:pos="9072"/>
        </w:tabs>
        <w:ind w:firstLine="142"/>
        <w:rPr>
          <w:bCs/>
          <w:i/>
          <w:sz w:val="20"/>
          <w:szCs w:val="20"/>
        </w:rPr>
      </w:pPr>
      <w:r w:rsidRPr="008263A6">
        <w:rPr>
          <w:i/>
          <w:noProof/>
          <w:sz w:val="20"/>
          <w:szCs w:val="20"/>
        </w:rPr>
        <w:t>*Не е отразен приносът на изменението в запасите.</w:t>
      </w:r>
      <w:r w:rsidRPr="008263A6">
        <w:rPr>
          <w:i/>
          <w:noProof/>
          <w:sz w:val="20"/>
          <w:szCs w:val="20"/>
        </w:rPr>
        <w:tab/>
      </w:r>
      <w:r w:rsidRPr="008263A6">
        <w:rPr>
          <w:bCs/>
          <w:i/>
          <w:sz w:val="20"/>
          <w:szCs w:val="20"/>
        </w:rPr>
        <w:t>Източник: НСИ, МФ</w:t>
      </w:r>
    </w:p>
    <w:p w:rsidR="00246A3A" w:rsidRPr="00246A3A" w:rsidRDefault="00246A3A" w:rsidP="00163C90">
      <w:pPr>
        <w:suppressAutoHyphens/>
        <w:spacing w:after="120"/>
        <w:ind w:firstLine="709"/>
        <w:jc w:val="both"/>
        <w:rPr>
          <w:sz w:val="6"/>
          <w:szCs w:val="6"/>
        </w:rPr>
      </w:pPr>
    </w:p>
    <w:p w:rsidR="00163C90" w:rsidRPr="00163C90" w:rsidRDefault="00163C90" w:rsidP="00163C90">
      <w:pPr>
        <w:suppressAutoHyphens/>
        <w:spacing w:after="120"/>
        <w:ind w:firstLine="709"/>
        <w:jc w:val="both"/>
      </w:pPr>
      <w:r w:rsidRPr="00163C90">
        <w:t>По линия на предлагането икономическата активност в страната се забави. Растежът на брутната добавена стойност достигна 1,5 % през 2015 г. при ръст от 1,8 % през 2014 г. Отчетеното забавяне се дължеше на по-слабото представяне на услугите в сравнение с 2014 г. и спад в селското стопанство, докато индустрията следваше възходяща динамика.</w:t>
      </w:r>
    </w:p>
    <w:p w:rsidR="00666D9F" w:rsidRPr="00163C90" w:rsidRDefault="00666D9F" w:rsidP="00781B85">
      <w:pPr>
        <w:pStyle w:val="Heading3"/>
        <w:numPr>
          <w:ilvl w:val="1"/>
          <w:numId w:val="64"/>
        </w:numPr>
        <w:rPr>
          <w:rFonts w:ascii="Times New Roman" w:hAnsi="Times New Roman" w:cs="Times New Roman"/>
          <w:color w:val="000000" w:themeColor="text1"/>
          <w:sz w:val="24"/>
          <w:szCs w:val="24"/>
          <w:lang w:val="bg-BG"/>
        </w:rPr>
      </w:pPr>
      <w:bookmarkStart w:id="30" w:name="_Toc462146091"/>
      <w:bookmarkEnd w:id="23"/>
      <w:bookmarkEnd w:id="24"/>
      <w:bookmarkEnd w:id="25"/>
      <w:bookmarkEnd w:id="26"/>
      <w:bookmarkEnd w:id="27"/>
      <w:r w:rsidRPr="00163C90">
        <w:rPr>
          <w:rFonts w:ascii="Times New Roman" w:hAnsi="Times New Roman" w:cs="Times New Roman"/>
          <w:color w:val="000000" w:themeColor="text1"/>
          <w:sz w:val="24"/>
          <w:szCs w:val="24"/>
          <w:lang w:val="bg-BG"/>
        </w:rPr>
        <w:t>Инфлация</w:t>
      </w:r>
      <w:bookmarkEnd w:id="28"/>
      <w:bookmarkEnd w:id="29"/>
      <w:bookmarkEnd w:id="30"/>
    </w:p>
    <w:p w:rsidR="00163C90" w:rsidRPr="00C212DB" w:rsidRDefault="00163C90" w:rsidP="00163C90">
      <w:pPr>
        <w:ind w:firstLine="709"/>
        <w:jc w:val="both"/>
      </w:pPr>
      <w:bookmarkStart w:id="31" w:name="_Toc261276553"/>
      <w:bookmarkStart w:id="32" w:name="_Toc324863384"/>
      <w:r w:rsidRPr="00C212DB">
        <w:t>Инфлацията, по месеци на годишна база, остана отрицателна през цялата 2015 г., като се забави до -0,9</w:t>
      </w:r>
      <w:r>
        <w:t xml:space="preserve"> </w:t>
      </w:r>
      <w:r w:rsidRPr="00C212DB">
        <w:t>% през декември, в сравнение със спад в общото равнище на цените от 2</w:t>
      </w:r>
      <w:r>
        <w:t xml:space="preserve"> </w:t>
      </w:r>
      <w:r w:rsidRPr="00C212DB">
        <w:t>% в края на 2014 г. Средногодишната инфлация за 2015 г. също бе отрицателна в размер на -1,1</w:t>
      </w:r>
      <w:r>
        <w:t xml:space="preserve"> </w:t>
      </w:r>
      <w:r w:rsidRPr="00C212DB">
        <w:t>%.</w:t>
      </w:r>
    </w:p>
    <w:p w:rsidR="00163C90" w:rsidRPr="00C212DB" w:rsidRDefault="00163C90" w:rsidP="00163C90">
      <w:pPr>
        <w:ind w:firstLine="709"/>
        <w:jc w:val="both"/>
      </w:pPr>
      <w:r w:rsidRPr="00C212DB">
        <w:t>По-ниските цени на енергийните стоки, във връзка със спада в международните цени на суровия петрол, имаха най-голям отрицателен принос за понижението на общия индекс. Спадът в цената на суровия нефт сорт „Брент“ на международните пазари се забавяше през първата половина на 2015 г., но през второто полугодие отново отчете известно ускорение вследствие на високото предлагане и нарастването на запасите в световен мащаб. Така поевтиняването на суровината към декември спрямо съответния месец на предходната година бе 31</w:t>
      </w:r>
      <w:r>
        <w:t>,</w:t>
      </w:r>
      <w:r w:rsidRPr="00C212DB">
        <w:t>4</w:t>
      </w:r>
      <w:r w:rsidR="00C37F70">
        <w:t xml:space="preserve"> </w:t>
      </w:r>
      <w:r w:rsidRPr="00C212DB">
        <w:t>% в левово изражение. Вътрешните цени на транспортните горива последваха тази динамика, а понижението им за съответния период достигна 11,5</w:t>
      </w:r>
      <w:r w:rsidR="00C37F70">
        <w:t xml:space="preserve"> </w:t>
      </w:r>
      <w:r w:rsidRPr="00C212DB">
        <w:t>%.</w:t>
      </w:r>
    </w:p>
    <w:p w:rsidR="00163C90" w:rsidRDefault="00163C90" w:rsidP="00163C90">
      <w:pPr>
        <w:ind w:firstLine="709"/>
        <w:jc w:val="both"/>
      </w:pPr>
      <w:r w:rsidRPr="00C212DB">
        <w:t>Отрицателната базисна инфлация (от общия индекс са изключени непреработените храни и енергийните стоки) също се забави значително и започна да отчита положителни стойности от септември. Поскъпването на долара спрямо еврото спомогна за ограничаване на поевтиняването при нехранителните стоки и особено на тези с дълготраен характер. В същото време, низходящата динамика при цените на услугите се обърна през втората половина на годината, поради изчерпване на еднократни ефекти при цените на комуникационните услуги, а също така и по линия на по-високи цени в сферата на общественото хранене и туризма.</w:t>
      </w:r>
    </w:p>
    <w:p w:rsidR="00163C90" w:rsidRDefault="00163C90" w:rsidP="00163C90">
      <w:pPr>
        <w:ind w:firstLine="709"/>
        <w:jc w:val="both"/>
      </w:pPr>
    </w:p>
    <w:p w:rsidR="00163C90" w:rsidRDefault="00163C90" w:rsidP="00163C90">
      <w:pPr>
        <w:ind w:firstLine="709"/>
        <w:jc w:val="both"/>
      </w:pPr>
    </w:p>
    <w:p w:rsidR="00D54F5C" w:rsidRPr="00C212DB" w:rsidRDefault="00D54F5C" w:rsidP="00163C90">
      <w:pPr>
        <w:ind w:firstLine="709"/>
        <w:jc w:val="both"/>
      </w:pPr>
    </w:p>
    <w:p w:rsidR="00A04BA6" w:rsidRDefault="00A04BA6" w:rsidP="00163C90">
      <w:pPr>
        <w:ind w:firstLine="357"/>
        <w:jc w:val="center"/>
        <w:rPr>
          <w:b/>
          <w:bCs/>
          <w:i/>
          <w:noProof/>
        </w:rPr>
      </w:pPr>
    </w:p>
    <w:p w:rsidR="00163C90" w:rsidRPr="00C212DB" w:rsidRDefault="00163C90" w:rsidP="00163C90">
      <w:pPr>
        <w:ind w:firstLine="357"/>
        <w:jc w:val="center"/>
        <w:rPr>
          <w:b/>
          <w:bCs/>
          <w:i/>
          <w:noProof/>
        </w:rPr>
      </w:pPr>
      <w:r w:rsidRPr="00C212DB">
        <w:rPr>
          <w:b/>
          <w:bCs/>
          <w:i/>
          <w:noProof/>
        </w:rPr>
        <w:t xml:space="preserve">ХИПЦ по основни компоненти </w:t>
      </w:r>
    </w:p>
    <w:p w:rsidR="00163C90" w:rsidRPr="00C212DB" w:rsidRDefault="00163C90" w:rsidP="00163C90">
      <w:pPr>
        <w:ind w:firstLine="357"/>
        <w:jc w:val="center"/>
        <w:rPr>
          <w:bCs/>
          <w:i/>
          <w:noProof/>
        </w:rPr>
      </w:pPr>
      <w:r w:rsidRPr="00C212DB">
        <w:rPr>
          <w:bCs/>
          <w:i/>
          <w:noProof/>
        </w:rPr>
        <w:t>(изменение в % по месеци на годишна база)</w:t>
      </w:r>
    </w:p>
    <w:p w:rsidR="00163C90" w:rsidRPr="00C212DB" w:rsidRDefault="00163C90" w:rsidP="00163C90">
      <w:pPr>
        <w:autoSpaceDE w:val="0"/>
        <w:autoSpaceDN w:val="0"/>
        <w:adjustRightInd w:val="0"/>
        <w:ind w:firstLine="709"/>
        <w:jc w:val="right"/>
        <w:rPr>
          <w:i/>
          <w:sz w:val="20"/>
          <w:szCs w:val="20"/>
        </w:rPr>
      </w:pPr>
    </w:p>
    <w:tbl>
      <w:tblPr>
        <w:tblW w:w="9450" w:type="dxa"/>
        <w:jc w:val="center"/>
        <w:tblBorders>
          <w:top w:val="thickThinSmallGap" w:sz="12" w:space="0" w:color="990000"/>
          <w:left w:val="thickThinSmallGap" w:sz="12" w:space="0" w:color="990000"/>
          <w:bottom w:val="thinThickSmallGap" w:sz="12" w:space="0" w:color="990000"/>
          <w:right w:val="thinThickSmallGap" w:sz="12" w:space="0" w:color="990000"/>
          <w:insideH w:val="single" w:sz="6" w:space="0" w:color="990000"/>
          <w:insideV w:val="single" w:sz="6" w:space="0" w:color="990000"/>
        </w:tblBorders>
        <w:tblLayout w:type="fixed"/>
        <w:tblCellMar>
          <w:left w:w="70" w:type="dxa"/>
          <w:right w:w="70" w:type="dxa"/>
        </w:tblCellMar>
        <w:tblLook w:val="0000" w:firstRow="0" w:lastRow="0" w:firstColumn="0" w:lastColumn="0" w:noHBand="0" w:noVBand="0"/>
      </w:tblPr>
      <w:tblGrid>
        <w:gridCol w:w="2362"/>
        <w:gridCol w:w="590"/>
        <w:gridCol w:w="591"/>
        <w:gridCol w:w="591"/>
        <w:gridCol w:w="590"/>
        <w:gridCol w:w="591"/>
        <w:gridCol w:w="591"/>
        <w:gridCol w:w="590"/>
        <w:gridCol w:w="591"/>
        <w:gridCol w:w="591"/>
        <w:gridCol w:w="590"/>
        <w:gridCol w:w="591"/>
        <w:gridCol w:w="591"/>
      </w:tblGrid>
      <w:tr w:rsidR="00163C90" w:rsidRPr="00C212DB" w:rsidTr="0029530C">
        <w:trPr>
          <w:trHeight w:val="315"/>
          <w:jc w:val="center"/>
        </w:trPr>
        <w:tc>
          <w:tcPr>
            <w:tcW w:w="2362" w:type="dxa"/>
            <w:vMerge w:val="restart"/>
            <w:tcBorders>
              <w:top w:val="thickThinSmallGap" w:sz="12" w:space="0" w:color="990000"/>
            </w:tcBorders>
            <w:shd w:val="clear" w:color="auto" w:fill="990000"/>
            <w:vAlign w:val="center"/>
          </w:tcPr>
          <w:p w:rsidR="00163C90" w:rsidRPr="00C212DB" w:rsidRDefault="00163C90" w:rsidP="0029530C">
            <w:pPr>
              <w:jc w:val="center"/>
              <w:rPr>
                <w:b/>
                <w:bCs/>
                <w:sz w:val="20"/>
                <w:szCs w:val="20"/>
              </w:rPr>
            </w:pPr>
            <w:r w:rsidRPr="00C212DB">
              <w:rPr>
                <w:b/>
                <w:bCs/>
                <w:sz w:val="20"/>
                <w:szCs w:val="20"/>
              </w:rPr>
              <w:t>Компоненти на ХИПЦ</w:t>
            </w:r>
          </w:p>
        </w:tc>
        <w:tc>
          <w:tcPr>
            <w:tcW w:w="7088" w:type="dxa"/>
            <w:gridSpan w:val="12"/>
            <w:tcBorders>
              <w:top w:val="thickThinSmallGap" w:sz="12" w:space="0" w:color="990000"/>
            </w:tcBorders>
            <w:shd w:val="clear" w:color="auto" w:fill="990000"/>
            <w:vAlign w:val="center"/>
          </w:tcPr>
          <w:p w:rsidR="00163C90" w:rsidRPr="00C212DB" w:rsidRDefault="00163C90" w:rsidP="0029530C">
            <w:pPr>
              <w:jc w:val="center"/>
              <w:rPr>
                <w:b/>
                <w:bCs/>
                <w:sz w:val="20"/>
                <w:szCs w:val="20"/>
              </w:rPr>
            </w:pPr>
            <w:r w:rsidRPr="00C212DB">
              <w:rPr>
                <w:b/>
                <w:bCs/>
                <w:sz w:val="20"/>
                <w:szCs w:val="20"/>
              </w:rPr>
              <w:t>Месеци на 201</w:t>
            </w:r>
            <w:r w:rsidRPr="00C212DB">
              <w:rPr>
                <w:b/>
                <w:bCs/>
                <w:sz w:val="20"/>
                <w:szCs w:val="20"/>
                <w:lang w:val="en-US"/>
              </w:rPr>
              <w:t>5</w:t>
            </w:r>
            <w:r w:rsidRPr="00C212DB">
              <w:rPr>
                <w:b/>
                <w:bCs/>
                <w:sz w:val="20"/>
                <w:szCs w:val="20"/>
              </w:rPr>
              <w:t xml:space="preserve"> г.</w:t>
            </w:r>
          </w:p>
        </w:tc>
      </w:tr>
      <w:tr w:rsidR="00163C90" w:rsidRPr="00C212DB" w:rsidTr="0029530C">
        <w:trPr>
          <w:trHeight w:val="513"/>
          <w:jc w:val="center"/>
        </w:trPr>
        <w:tc>
          <w:tcPr>
            <w:tcW w:w="2362" w:type="dxa"/>
            <w:vMerge/>
            <w:shd w:val="clear" w:color="auto" w:fill="990000"/>
          </w:tcPr>
          <w:p w:rsidR="00163C90" w:rsidRPr="00C212DB" w:rsidRDefault="00163C90" w:rsidP="0029530C">
            <w:pPr>
              <w:jc w:val="center"/>
              <w:rPr>
                <w:b/>
                <w:bCs/>
                <w:sz w:val="20"/>
                <w:szCs w:val="20"/>
              </w:rPr>
            </w:pPr>
          </w:p>
        </w:tc>
        <w:tc>
          <w:tcPr>
            <w:tcW w:w="590" w:type="dxa"/>
            <w:shd w:val="clear" w:color="auto" w:fill="990000"/>
            <w:vAlign w:val="center"/>
          </w:tcPr>
          <w:p w:rsidR="00163C90" w:rsidRPr="00C212DB" w:rsidRDefault="00163C90" w:rsidP="0029530C">
            <w:pPr>
              <w:jc w:val="center"/>
              <w:rPr>
                <w:b/>
                <w:bCs/>
                <w:sz w:val="20"/>
                <w:szCs w:val="20"/>
              </w:rPr>
            </w:pPr>
            <w:r w:rsidRPr="00C212DB">
              <w:rPr>
                <w:b/>
                <w:bCs/>
                <w:sz w:val="20"/>
                <w:szCs w:val="20"/>
              </w:rPr>
              <w:t>I</w:t>
            </w:r>
          </w:p>
        </w:tc>
        <w:tc>
          <w:tcPr>
            <w:tcW w:w="591" w:type="dxa"/>
            <w:shd w:val="clear" w:color="auto" w:fill="990000"/>
            <w:vAlign w:val="center"/>
          </w:tcPr>
          <w:p w:rsidR="00163C90" w:rsidRPr="00C212DB" w:rsidRDefault="00163C90" w:rsidP="0029530C">
            <w:pPr>
              <w:jc w:val="center"/>
              <w:rPr>
                <w:b/>
                <w:bCs/>
                <w:sz w:val="20"/>
                <w:szCs w:val="20"/>
              </w:rPr>
            </w:pPr>
            <w:r w:rsidRPr="00C212DB">
              <w:rPr>
                <w:b/>
                <w:bCs/>
                <w:sz w:val="20"/>
                <w:szCs w:val="20"/>
              </w:rPr>
              <w:t>II</w:t>
            </w:r>
          </w:p>
        </w:tc>
        <w:tc>
          <w:tcPr>
            <w:tcW w:w="591" w:type="dxa"/>
            <w:shd w:val="clear" w:color="auto" w:fill="990000"/>
            <w:vAlign w:val="center"/>
          </w:tcPr>
          <w:p w:rsidR="00163C90" w:rsidRPr="00C212DB" w:rsidRDefault="00163C90" w:rsidP="0029530C">
            <w:pPr>
              <w:jc w:val="center"/>
              <w:rPr>
                <w:b/>
                <w:bCs/>
                <w:sz w:val="20"/>
                <w:szCs w:val="20"/>
              </w:rPr>
            </w:pPr>
            <w:r w:rsidRPr="00C212DB">
              <w:rPr>
                <w:b/>
                <w:bCs/>
                <w:sz w:val="20"/>
                <w:szCs w:val="20"/>
              </w:rPr>
              <w:t>III</w:t>
            </w:r>
          </w:p>
        </w:tc>
        <w:tc>
          <w:tcPr>
            <w:tcW w:w="590" w:type="dxa"/>
            <w:shd w:val="clear" w:color="auto" w:fill="990000"/>
            <w:vAlign w:val="center"/>
          </w:tcPr>
          <w:p w:rsidR="00163C90" w:rsidRPr="00C212DB" w:rsidRDefault="00163C90" w:rsidP="0029530C">
            <w:pPr>
              <w:jc w:val="center"/>
              <w:rPr>
                <w:b/>
                <w:bCs/>
                <w:sz w:val="20"/>
                <w:szCs w:val="20"/>
              </w:rPr>
            </w:pPr>
            <w:r w:rsidRPr="00C212DB">
              <w:rPr>
                <w:b/>
                <w:bCs/>
                <w:sz w:val="20"/>
                <w:szCs w:val="20"/>
              </w:rPr>
              <w:t>IV</w:t>
            </w:r>
          </w:p>
        </w:tc>
        <w:tc>
          <w:tcPr>
            <w:tcW w:w="591" w:type="dxa"/>
            <w:shd w:val="clear" w:color="auto" w:fill="990000"/>
            <w:vAlign w:val="center"/>
          </w:tcPr>
          <w:p w:rsidR="00163C90" w:rsidRPr="00C212DB" w:rsidRDefault="00163C90" w:rsidP="0029530C">
            <w:pPr>
              <w:jc w:val="center"/>
              <w:rPr>
                <w:b/>
                <w:bCs/>
                <w:sz w:val="20"/>
                <w:szCs w:val="20"/>
              </w:rPr>
            </w:pPr>
            <w:r w:rsidRPr="00C212DB">
              <w:rPr>
                <w:b/>
                <w:bCs/>
                <w:sz w:val="20"/>
                <w:szCs w:val="20"/>
              </w:rPr>
              <w:t>V</w:t>
            </w:r>
          </w:p>
        </w:tc>
        <w:tc>
          <w:tcPr>
            <w:tcW w:w="591" w:type="dxa"/>
            <w:shd w:val="clear" w:color="auto" w:fill="990000"/>
            <w:vAlign w:val="center"/>
          </w:tcPr>
          <w:p w:rsidR="00163C90" w:rsidRPr="00C212DB" w:rsidRDefault="00163C90" w:rsidP="0029530C">
            <w:pPr>
              <w:jc w:val="center"/>
              <w:rPr>
                <w:b/>
                <w:bCs/>
                <w:sz w:val="20"/>
                <w:szCs w:val="20"/>
              </w:rPr>
            </w:pPr>
            <w:r w:rsidRPr="00C212DB">
              <w:rPr>
                <w:b/>
                <w:bCs/>
                <w:sz w:val="20"/>
                <w:szCs w:val="20"/>
              </w:rPr>
              <w:t>VI</w:t>
            </w:r>
          </w:p>
        </w:tc>
        <w:tc>
          <w:tcPr>
            <w:tcW w:w="590" w:type="dxa"/>
            <w:shd w:val="clear" w:color="auto" w:fill="990000"/>
            <w:vAlign w:val="center"/>
          </w:tcPr>
          <w:p w:rsidR="00163C90" w:rsidRPr="00C212DB" w:rsidRDefault="00163C90" w:rsidP="0029530C">
            <w:pPr>
              <w:jc w:val="center"/>
              <w:rPr>
                <w:b/>
                <w:bCs/>
                <w:sz w:val="20"/>
                <w:szCs w:val="20"/>
              </w:rPr>
            </w:pPr>
            <w:r w:rsidRPr="00C212DB">
              <w:rPr>
                <w:b/>
                <w:bCs/>
                <w:sz w:val="20"/>
                <w:szCs w:val="20"/>
              </w:rPr>
              <w:t>VII</w:t>
            </w:r>
          </w:p>
        </w:tc>
        <w:tc>
          <w:tcPr>
            <w:tcW w:w="591" w:type="dxa"/>
            <w:shd w:val="clear" w:color="auto" w:fill="990000"/>
            <w:vAlign w:val="center"/>
          </w:tcPr>
          <w:p w:rsidR="00163C90" w:rsidRPr="00C212DB" w:rsidRDefault="00163C90" w:rsidP="0029530C">
            <w:pPr>
              <w:jc w:val="center"/>
              <w:rPr>
                <w:b/>
                <w:bCs/>
                <w:sz w:val="20"/>
                <w:szCs w:val="20"/>
              </w:rPr>
            </w:pPr>
            <w:r w:rsidRPr="00C212DB">
              <w:rPr>
                <w:b/>
                <w:bCs/>
                <w:sz w:val="20"/>
                <w:szCs w:val="20"/>
              </w:rPr>
              <w:t>VIII</w:t>
            </w:r>
          </w:p>
        </w:tc>
        <w:tc>
          <w:tcPr>
            <w:tcW w:w="591" w:type="dxa"/>
            <w:shd w:val="clear" w:color="auto" w:fill="990000"/>
            <w:vAlign w:val="center"/>
          </w:tcPr>
          <w:p w:rsidR="00163C90" w:rsidRPr="00C212DB" w:rsidRDefault="00163C90" w:rsidP="0029530C">
            <w:pPr>
              <w:jc w:val="center"/>
              <w:rPr>
                <w:b/>
                <w:bCs/>
                <w:sz w:val="20"/>
                <w:szCs w:val="20"/>
              </w:rPr>
            </w:pPr>
            <w:r w:rsidRPr="00C212DB">
              <w:rPr>
                <w:b/>
                <w:bCs/>
                <w:sz w:val="20"/>
                <w:szCs w:val="20"/>
              </w:rPr>
              <w:t>IX</w:t>
            </w:r>
          </w:p>
        </w:tc>
        <w:tc>
          <w:tcPr>
            <w:tcW w:w="590" w:type="dxa"/>
            <w:shd w:val="clear" w:color="auto" w:fill="990000"/>
            <w:vAlign w:val="center"/>
          </w:tcPr>
          <w:p w:rsidR="00163C90" w:rsidRPr="00C212DB" w:rsidRDefault="00163C90" w:rsidP="0029530C">
            <w:pPr>
              <w:jc w:val="center"/>
              <w:rPr>
                <w:b/>
                <w:bCs/>
                <w:sz w:val="20"/>
                <w:szCs w:val="20"/>
              </w:rPr>
            </w:pPr>
            <w:r w:rsidRPr="00C212DB">
              <w:rPr>
                <w:b/>
                <w:bCs/>
                <w:sz w:val="20"/>
                <w:szCs w:val="20"/>
              </w:rPr>
              <w:t>X</w:t>
            </w:r>
          </w:p>
        </w:tc>
        <w:tc>
          <w:tcPr>
            <w:tcW w:w="591" w:type="dxa"/>
            <w:shd w:val="clear" w:color="auto" w:fill="990000"/>
            <w:vAlign w:val="center"/>
          </w:tcPr>
          <w:p w:rsidR="00163C90" w:rsidRPr="00C212DB" w:rsidRDefault="00163C90" w:rsidP="0029530C">
            <w:pPr>
              <w:jc w:val="center"/>
              <w:rPr>
                <w:b/>
                <w:bCs/>
                <w:sz w:val="20"/>
                <w:szCs w:val="20"/>
              </w:rPr>
            </w:pPr>
            <w:r w:rsidRPr="00C212DB">
              <w:rPr>
                <w:b/>
                <w:bCs/>
                <w:sz w:val="20"/>
                <w:szCs w:val="20"/>
              </w:rPr>
              <w:t>XI</w:t>
            </w:r>
          </w:p>
        </w:tc>
        <w:tc>
          <w:tcPr>
            <w:tcW w:w="591" w:type="dxa"/>
            <w:shd w:val="clear" w:color="auto" w:fill="990000"/>
            <w:vAlign w:val="center"/>
          </w:tcPr>
          <w:p w:rsidR="00163C90" w:rsidRPr="00C212DB" w:rsidRDefault="00163C90" w:rsidP="0029530C">
            <w:pPr>
              <w:jc w:val="center"/>
              <w:rPr>
                <w:b/>
                <w:bCs/>
                <w:sz w:val="20"/>
                <w:szCs w:val="20"/>
              </w:rPr>
            </w:pPr>
            <w:r w:rsidRPr="00C212DB">
              <w:rPr>
                <w:b/>
                <w:bCs/>
                <w:sz w:val="20"/>
                <w:szCs w:val="20"/>
              </w:rPr>
              <w:t>XII</w:t>
            </w:r>
          </w:p>
        </w:tc>
      </w:tr>
      <w:tr w:rsidR="00163C90" w:rsidRPr="00C212DB" w:rsidTr="0029530C">
        <w:trPr>
          <w:trHeight w:val="112"/>
          <w:jc w:val="center"/>
        </w:trPr>
        <w:tc>
          <w:tcPr>
            <w:tcW w:w="2362" w:type="dxa"/>
            <w:shd w:val="clear" w:color="auto" w:fill="FFFFCC"/>
            <w:vAlign w:val="bottom"/>
          </w:tcPr>
          <w:p w:rsidR="00163C90" w:rsidRPr="00C212DB" w:rsidRDefault="00163C90" w:rsidP="0029530C">
            <w:pPr>
              <w:spacing w:beforeLines="20" w:before="48" w:afterLines="20" w:after="48"/>
              <w:rPr>
                <w:b/>
                <w:sz w:val="20"/>
                <w:szCs w:val="20"/>
              </w:rPr>
            </w:pPr>
            <w:r w:rsidRPr="00C212DB">
              <w:rPr>
                <w:b/>
                <w:sz w:val="20"/>
                <w:szCs w:val="20"/>
              </w:rPr>
              <w:t>Общ ХИПЦ</w:t>
            </w:r>
          </w:p>
        </w:tc>
        <w:tc>
          <w:tcPr>
            <w:tcW w:w="590"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-2,4</w:t>
            </w:r>
          </w:p>
        </w:tc>
        <w:tc>
          <w:tcPr>
            <w:tcW w:w="591"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-1,7</w:t>
            </w:r>
          </w:p>
        </w:tc>
        <w:tc>
          <w:tcPr>
            <w:tcW w:w="591"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-1,1</w:t>
            </w:r>
          </w:p>
        </w:tc>
        <w:tc>
          <w:tcPr>
            <w:tcW w:w="590"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-0,9</w:t>
            </w:r>
          </w:p>
        </w:tc>
        <w:tc>
          <w:tcPr>
            <w:tcW w:w="591"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-0,3</w:t>
            </w:r>
          </w:p>
        </w:tc>
        <w:tc>
          <w:tcPr>
            <w:tcW w:w="591"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-0,6</w:t>
            </w:r>
          </w:p>
        </w:tc>
        <w:tc>
          <w:tcPr>
            <w:tcW w:w="590"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-1,0</w:t>
            </w:r>
          </w:p>
        </w:tc>
        <w:tc>
          <w:tcPr>
            <w:tcW w:w="591"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-0,8</w:t>
            </w:r>
          </w:p>
        </w:tc>
        <w:tc>
          <w:tcPr>
            <w:tcW w:w="591"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-1,0</w:t>
            </w:r>
          </w:p>
        </w:tc>
        <w:tc>
          <w:tcPr>
            <w:tcW w:w="590"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-1,2</w:t>
            </w:r>
          </w:p>
        </w:tc>
        <w:tc>
          <w:tcPr>
            <w:tcW w:w="591"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-0,9</w:t>
            </w:r>
          </w:p>
        </w:tc>
        <w:tc>
          <w:tcPr>
            <w:tcW w:w="591" w:type="dxa"/>
            <w:shd w:val="clear" w:color="auto" w:fill="FFFFCC"/>
            <w:tcMar>
              <w:left w:w="85" w:type="dxa"/>
              <w:right w:w="85" w:type="dxa"/>
            </w:tcMar>
            <w:vAlign w:val="center"/>
          </w:tcPr>
          <w:p w:rsidR="00163C90" w:rsidRPr="00C212DB" w:rsidRDefault="00163C90" w:rsidP="0029530C">
            <w:pPr>
              <w:jc w:val="right"/>
              <w:rPr>
                <w:b/>
                <w:sz w:val="20"/>
                <w:szCs w:val="20"/>
              </w:rPr>
            </w:pPr>
            <w:r w:rsidRPr="00C212DB">
              <w:rPr>
                <w:b/>
                <w:sz w:val="20"/>
                <w:szCs w:val="20"/>
              </w:rPr>
              <w:t>-0,9</w:t>
            </w:r>
          </w:p>
        </w:tc>
      </w:tr>
      <w:tr w:rsidR="00163C90" w:rsidRPr="00C212DB" w:rsidTr="0029530C">
        <w:trPr>
          <w:trHeight w:val="112"/>
          <w:jc w:val="center"/>
        </w:trPr>
        <w:tc>
          <w:tcPr>
            <w:tcW w:w="2362" w:type="dxa"/>
            <w:shd w:val="clear" w:color="auto" w:fill="FFFFCC"/>
            <w:vAlign w:val="bottom"/>
          </w:tcPr>
          <w:p w:rsidR="00163C90" w:rsidRPr="00C212DB" w:rsidRDefault="00163C90" w:rsidP="0029530C">
            <w:pPr>
              <w:spacing w:beforeLines="20" w:before="48" w:afterLines="20" w:after="48"/>
              <w:rPr>
                <w:sz w:val="20"/>
                <w:szCs w:val="20"/>
              </w:rPr>
            </w:pPr>
            <w:r w:rsidRPr="00C212DB">
              <w:rPr>
                <w:sz w:val="20"/>
                <w:szCs w:val="20"/>
              </w:rPr>
              <w:t>Храни и безалк. напитки</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-1,0</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0,0</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0,5</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1,6</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1,8</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0,8</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-0,5</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0,5</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1,2</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0,5</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0,6</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0,8</w:t>
            </w:r>
          </w:p>
        </w:tc>
      </w:tr>
      <w:tr w:rsidR="00163C90" w:rsidRPr="00C212DB" w:rsidTr="0029530C">
        <w:trPr>
          <w:trHeight w:val="112"/>
          <w:jc w:val="center"/>
        </w:trPr>
        <w:tc>
          <w:tcPr>
            <w:tcW w:w="2362" w:type="dxa"/>
            <w:shd w:val="clear" w:color="auto" w:fill="FFFFCC"/>
            <w:vAlign w:val="bottom"/>
          </w:tcPr>
          <w:p w:rsidR="00163C90" w:rsidRPr="00C212DB" w:rsidRDefault="00163C90" w:rsidP="0029530C">
            <w:pPr>
              <w:spacing w:beforeLines="20" w:before="48" w:afterLines="20" w:after="48"/>
              <w:rPr>
                <w:sz w:val="20"/>
                <w:szCs w:val="20"/>
              </w:rPr>
            </w:pPr>
            <w:r w:rsidRPr="00C212DB">
              <w:rPr>
                <w:sz w:val="20"/>
                <w:szCs w:val="20"/>
              </w:rPr>
              <w:t>Алкохол и цигари</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0,7</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0,6</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0,6</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0,9</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1,0</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1,3</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0,9</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0,9</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1,0</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0,9</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0,6</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0,8</w:t>
            </w:r>
          </w:p>
        </w:tc>
      </w:tr>
      <w:tr w:rsidR="00163C90" w:rsidRPr="00C212DB" w:rsidTr="0029530C">
        <w:trPr>
          <w:trHeight w:val="112"/>
          <w:jc w:val="center"/>
        </w:trPr>
        <w:tc>
          <w:tcPr>
            <w:tcW w:w="2362" w:type="dxa"/>
            <w:shd w:val="clear" w:color="auto" w:fill="FFFFCC"/>
            <w:vAlign w:val="bottom"/>
          </w:tcPr>
          <w:p w:rsidR="00163C90" w:rsidRPr="00C212DB" w:rsidRDefault="00163C90" w:rsidP="0029530C">
            <w:pPr>
              <w:spacing w:beforeLines="20" w:before="48" w:afterLines="20" w:after="48"/>
              <w:rPr>
                <w:sz w:val="20"/>
                <w:szCs w:val="20"/>
              </w:rPr>
            </w:pPr>
            <w:r w:rsidRPr="00C212DB">
              <w:rPr>
                <w:sz w:val="20"/>
                <w:szCs w:val="20"/>
              </w:rPr>
              <w:t>Енергийни стоки</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-11,0</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-9,6</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-4,9</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-5,3</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-2,9</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-2,1</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-4,3</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-5,1</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-8,4</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-10,1</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-8,7</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-7,4</w:t>
            </w:r>
          </w:p>
        </w:tc>
      </w:tr>
      <w:tr w:rsidR="00163C90" w:rsidRPr="00C212DB" w:rsidTr="0029530C">
        <w:trPr>
          <w:trHeight w:val="112"/>
          <w:jc w:val="center"/>
        </w:trPr>
        <w:tc>
          <w:tcPr>
            <w:tcW w:w="2362" w:type="dxa"/>
            <w:shd w:val="clear" w:color="auto" w:fill="FFFFCC"/>
            <w:vAlign w:val="bottom"/>
          </w:tcPr>
          <w:p w:rsidR="00163C90" w:rsidRPr="00C212DB" w:rsidRDefault="00163C90" w:rsidP="0029530C">
            <w:pPr>
              <w:spacing w:beforeLines="20" w:before="48" w:afterLines="20" w:after="48"/>
              <w:rPr>
                <w:sz w:val="20"/>
                <w:szCs w:val="20"/>
              </w:rPr>
            </w:pPr>
            <w:r w:rsidRPr="00C212DB">
              <w:rPr>
                <w:sz w:val="20"/>
                <w:szCs w:val="20"/>
              </w:rPr>
              <w:t>Нехр. стоки (без енергия)</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-1,9</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-1,8</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-1,7</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-1,4</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-1,6</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-1,8</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-1,9</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-1,5</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-1,3</w:t>
            </w:r>
          </w:p>
        </w:tc>
        <w:tc>
          <w:tcPr>
            <w:tcW w:w="590"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-1,3</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-1,3</w:t>
            </w:r>
          </w:p>
        </w:tc>
        <w:tc>
          <w:tcPr>
            <w:tcW w:w="591" w:type="dxa"/>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-1,3</w:t>
            </w:r>
          </w:p>
        </w:tc>
      </w:tr>
      <w:tr w:rsidR="00163C90" w:rsidRPr="00C212DB" w:rsidTr="0029530C">
        <w:trPr>
          <w:trHeight w:val="112"/>
          <w:jc w:val="center"/>
        </w:trPr>
        <w:tc>
          <w:tcPr>
            <w:tcW w:w="2362" w:type="dxa"/>
            <w:tcBorders>
              <w:bottom w:val="thinThickSmallGap" w:sz="12" w:space="0" w:color="990000"/>
            </w:tcBorders>
            <w:shd w:val="clear" w:color="auto" w:fill="FFFFCC"/>
            <w:vAlign w:val="bottom"/>
          </w:tcPr>
          <w:p w:rsidR="00163C90" w:rsidRPr="00C212DB" w:rsidRDefault="00163C90" w:rsidP="0029530C">
            <w:pPr>
              <w:spacing w:beforeLines="20" w:before="48" w:afterLines="20" w:after="48"/>
              <w:rPr>
                <w:sz w:val="20"/>
                <w:szCs w:val="20"/>
              </w:rPr>
            </w:pPr>
            <w:r w:rsidRPr="00C212DB">
              <w:rPr>
                <w:sz w:val="20"/>
                <w:szCs w:val="20"/>
              </w:rPr>
              <w:t>Услуги</w:t>
            </w:r>
          </w:p>
        </w:tc>
        <w:tc>
          <w:tcPr>
            <w:tcW w:w="590"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-0,6</w:t>
            </w:r>
          </w:p>
        </w:tc>
        <w:tc>
          <w:tcPr>
            <w:tcW w:w="591"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0,0</w:t>
            </w:r>
          </w:p>
        </w:tc>
        <w:tc>
          <w:tcPr>
            <w:tcW w:w="591"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-0,6</w:t>
            </w:r>
          </w:p>
        </w:tc>
        <w:tc>
          <w:tcPr>
            <w:tcW w:w="590"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-0,7</w:t>
            </w:r>
          </w:p>
        </w:tc>
        <w:tc>
          <w:tcPr>
            <w:tcW w:w="591"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0,0</w:t>
            </w:r>
          </w:p>
        </w:tc>
        <w:tc>
          <w:tcPr>
            <w:tcW w:w="591"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-0,3</w:t>
            </w:r>
          </w:p>
        </w:tc>
        <w:tc>
          <w:tcPr>
            <w:tcW w:w="590"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0,4</w:t>
            </w:r>
          </w:p>
        </w:tc>
        <w:tc>
          <w:tcPr>
            <w:tcW w:w="591"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0,1</w:t>
            </w:r>
          </w:p>
        </w:tc>
        <w:tc>
          <w:tcPr>
            <w:tcW w:w="591"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0,5</w:t>
            </w:r>
          </w:p>
        </w:tc>
        <w:tc>
          <w:tcPr>
            <w:tcW w:w="590"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1,2</w:t>
            </w:r>
          </w:p>
        </w:tc>
        <w:tc>
          <w:tcPr>
            <w:tcW w:w="591"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1,1</w:t>
            </w:r>
          </w:p>
        </w:tc>
        <w:tc>
          <w:tcPr>
            <w:tcW w:w="591" w:type="dxa"/>
            <w:tcBorders>
              <w:bottom w:val="thinThickSmallGap" w:sz="12" w:space="0" w:color="990000"/>
            </w:tcBorders>
            <w:shd w:val="clear" w:color="auto" w:fill="FFFFCC"/>
            <w:tcMar>
              <w:left w:w="85" w:type="dxa"/>
              <w:right w:w="85" w:type="dxa"/>
            </w:tcMar>
            <w:vAlign w:val="center"/>
          </w:tcPr>
          <w:p w:rsidR="00163C90" w:rsidRPr="00C212DB" w:rsidRDefault="00163C90" w:rsidP="0029530C">
            <w:pPr>
              <w:jc w:val="right"/>
              <w:rPr>
                <w:sz w:val="20"/>
                <w:szCs w:val="20"/>
              </w:rPr>
            </w:pPr>
            <w:r w:rsidRPr="00C212DB">
              <w:rPr>
                <w:sz w:val="20"/>
                <w:szCs w:val="20"/>
              </w:rPr>
              <w:t>0,5</w:t>
            </w:r>
          </w:p>
        </w:tc>
      </w:tr>
    </w:tbl>
    <w:p w:rsidR="00A04BA6" w:rsidRDefault="00A04BA6" w:rsidP="00D54F5C">
      <w:pPr>
        <w:spacing w:after="120"/>
        <w:ind w:firstLine="709"/>
        <w:jc w:val="right"/>
        <w:rPr>
          <w:i/>
          <w:sz w:val="20"/>
          <w:szCs w:val="20"/>
        </w:rPr>
      </w:pPr>
    </w:p>
    <w:p w:rsidR="00D54F5C" w:rsidRPr="00D54F5C" w:rsidRDefault="00D54F5C" w:rsidP="00D54F5C">
      <w:pPr>
        <w:spacing w:after="120"/>
        <w:ind w:firstLine="709"/>
        <w:jc w:val="right"/>
        <w:rPr>
          <w:i/>
          <w:sz w:val="20"/>
          <w:szCs w:val="20"/>
        </w:rPr>
      </w:pPr>
      <w:r w:rsidRPr="00D54F5C">
        <w:rPr>
          <w:i/>
          <w:sz w:val="20"/>
          <w:szCs w:val="20"/>
        </w:rPr>
        <w:t>Източник: Евростат</w:t>
      </w:r>
    </w:p>
    <w:p w:rsidR="00A04BA6" w:rsidRDefault="00A04BA6" w:rsidP="00163C90">
      <w:pPr>
        <w:spacing w:after="120"/>
        <w:ind w:firstLine="709"/>
        <w:jc w:val="both"/>
      </w:pPr>
    </w:p>
    <w:p w:rsidR="006F2AF8" w:rsidRDefault="00163C90" w:rsidP="00163C90">
      <w:pPr>
        <w:spacing w:after="120"/>
        <w:ind w:firstLine="709"/>
        <w:jc w:val="both"/>
      </w:pPr>
      <w:r w:rsidRPr="00C212DB">
        <w:t>Регулираните цени отчетоха поевтиняване средно с 1,1</w:t>
      </w:r>
      <w:r>
        <w:t xml:space="preserve"> </w:t>
      </w:r>
      <w:r w:rsidRPr="00C212DB">
        <w:t>% в края на годината. Най-голям спад бе регистриран при цените на централно газоснабдяване и топлоенергия, съответно от -20</w:t>
      </w:r>
      <w:r>
        <w:t xml:space="preserve"> </w:t>
      </w:r>
      <w:r w:rsidRPr="00C212DB">
        <w:t>% и -15</w:t>
      </w:r>
      <w:r>
        <w:t xml:space="preserve"> </w:t>
      </w:r>
      <w:r w:rsidRPr="00C212DB">
        <w:t>% към декември 2015 г.</w:t>
      </w:r>
    </w:p>
    <w:p w:rsidR="00A04BA6" w:rsidRPr="001F6421" w:rsidRDefault="00A04BA6" w:rsidP="00163C90">
      <w:pPr>
        <w:spacing w:after="120"/>
        <w:ind w:firstLine="709"/>
        <w:jc w:val="both"/>
        <w:rPr>
          <w:color w:val="0070C0"/>
        </w:rPr>
      </w:pPr>
    </w:p>
    <w:p w:rsidR="00666D9F" w:rsidRDefault="00666D9F" w:rsidP="00781B85">
      <w:pPr>
        <w:pStyle w:val="Heading3"/>
        <w:numPr>
          <w:ilvl w:val="1"/>
          <w:numId w:val="64"/>
        </w:numPr>
        <w:rPr>
          <w:rFonts w:ascii="Times New Roman" w:hAnsi="Times New Roman" w:cs="Times New Roman"/>
          <w:color w:val="000000" w:themeColor="text1"/>
          <w:sz w:val="24"/>
          <w:szCs w:val="24"/>
          <w:lang w:val="bg-BG"/>
        </w:rPr>
      </w:pPr>
      <w:bookmarkStart w:id="33" w:name="_Toc462146092"/>
      <w:r w:rsidRPr="00163C90">
        <w:rPr>
          <w:rFonts w:ascii="Times New Roman" w:hAnsi="Times New Roman" w:cs="Times New Roman"/>
          <w:color w:val="000000" w:themeColor="text1"/>
          <w:sz w:val="24"/>
          <w:szCs w:val="24"/>
          <w:lang w:val="bg-BG"/>
        </w:rPr>
        <w:t>Пазар на труда</w:t>
      </w:r>
      <w:bookmarkEnd w:id="31"/>
      <w:bookmarkEnd w:id="32"/>
      <w:r w:rsidRPr="00163C90">
        <w:rPr>
          <w:rFonts w:ascii="Times New Roman" w:hAnsi="Times New Roman" w:cs="Times New Roman"/>
          <w:color w:val="000000" w:themeColor="text1"/>
          <w:sz w:val="24"/>
          <w:szCs w:val="24"/>
          <w:lang w:val="bg-BG"/>
        </w:rPr>
        <w:t xml:space="preserve"> и доходи</w:t>
      </w:r>
      <w:bookmarkEnd w:id="33"/>
    </w:p>
    <w:p w:rsidR="00163C90" w:rsidRPr="00163C90" w:rsidRDefault="00163C90" w:rsidP="00163C90"/>
    <w:p w:rsidR="00163C90" w:rsidRDefault="00163C90" w:rsidP="00163C90">
      <w:pPr>
        <w:spacing w:after="120"/>
        <w:ind w:firstLine="709"/>
        <w:jc w:val="both"/>
      </w:pPr>
      <w:r w:rsidRPr="00713A3B">
        <w:t>Отчетените положителни тенденции на пазара на труда продължиха и през 2015 г. Броят на заетите се повиши с 0</w:t>
      </w:r>
      <w:r>
        <w:t>,</w:t>
      </w:r>
      <w:r w:rsidRPr="00713A3B">
        <w:t>4</w:t>
      </w:r>
      <w:r>
        <w:t xml:space="preserve"> </w:t>
      </w:r>
      <w:r w:rsidRPr="00713A3B">
        <w:t>%</w:t>
      </w:r>
      <w:r w:rsidRPr="009455BA">
        <w:rPr>
          <w:rStyle w:val="FootnoteReference"/>
          <w:sz w:val="20"/>
          <w:szCs w:val="20"/>
        </w:rPr>
        <w:footnoteReference w:id="2"/>
      </w:r>
      <w:r w:rsidRPr="00713A3B">
        <w:t xml:space="preserve"> с основен принос от страна на индустрията и услугите</w:t>
      </w:r>
      <w:r w:rsidRPr="009455BA">
        <w:rPr>
          <w:rStyle w:val="FootnoteReference"/>
          <w:sz w:val="20"/>
          <w:szCs w:val="20"/>
        </w:rPr>
        <w:footnoteReference w:id="3"/>
      </w:r>
      <w:r w:rsidRPr="00713A3B">
        <w:t>. Възходящата динамика на заетостта в промишлеността (2</w:t>
      </w:r>
      <w:r>
        <w:t xml:space="preserve"> </w:t>
      </w:r>
      <w:r w:rsidRPr="00713A3B">
        <w:t xml:space="preserve">%) беше повлияна от повишението на индустриалното производство и силното представяне на износа. В строителството също </w:t>
      </w:r>
      <w:r>
        <w:t>имаше</w:t>
      </w:r>
      <w:r w:rsidRPr="00713A3B">
        <w:t xml:space="preserve"> увеличение на заетите (2</w:t>
      </w:r>
      <w:r>
        <w:t>,</w:t>
      </w:r>
      <w:r w:rsidRPr="00713A3B">
        <w:t>5</w:t>
      </w:r>
      <w:r>
        <w:t xml:space="preserve"> </w:t>
      </w:r>
      <w:r w:rsidRPr="00713A3B">
        <w:t xml:space="preserve">%), в резултат от </w:t>
      </w:r>
      <w:r>
        <w:t>повишената</w:t>
      </w:r>
      <w:r w:rsidRPr="00713A3B">
        <w:t xml:space="preserve"> икономическа активност в гражданското строителство. Броят на заетите в услугите се повиши с 0</w:t>
      </w:r>
      <w:r>
        <w:t>,</w:t>
      </w:r>
      <w:r w:rsidRPr="00713A3B">
        <w:t>6</w:t>
      </w:r>
      <w:r>
        <w:t xml:space="preserve"> </w:t>
      </w:r>
      <w:r w:rsidRPr="00713A3B">
        <w:t>%, като с най-висок растеж се характеризираха някои високотехнологични дейности в т.ч. създаване и разпространение на информация и финансово посредничество. Висок принос се наблюдаваше и от страна на агрегирания отрасъл търговия, транспорт, и хотелиерство и ресторантьорство. Почти всички дейности в рамките на сектор услуги се характеризираха с повишено търсене на труд, с изключение на държавно управление, образование, хуманно здравеопазване и социална работа, където беше отчетено намаление в съответствие с предприетите мерки за ограничаване на разходите за труд в него. През разглеждания период заетостта в аграрния сектор също се понижи с 2</w:t>
      </w:r>
      <w:r>
        <w:t>,</w:t>
      </w:r>
      <w:r w:rsidRPr="00713A3B">
        <w:t>6</w:t>
      </w:r>
      <w:r>
        <w:t xml:space="preserve"> </w:t>
      </w:r>
      <w:r w:rsidRPr="00713A3B">
        <w:t xml:space="preserve">%, поради реалното намаление на добавената стойност в него спрямо предходната година. </w:t>
      </w:r>
    </w:p>
    <w:p w:rsidR="00C37F70" w:rsidRDefault="00C37F70" w:rsidP="00163C90">
      <w:pPr>
        <w:spacing w:after="120"/>
        <w:ind w:firstLine="709"/>
        <w:jc w:val="both"/>
        <w:rPr>
          <w:b/>
        </w:rPr>
      </w:pPr>
    </w:p>
    <w:p w:rsidR="00E50B1E" w:rsidRDefault="00E50B1E" w:rsidP="00163C90">
      <w:pPr>
        <w:spacing w:after="120"/>
        <w:ind w:firstLine="709"/>
        <w:jc w:val="both"/>
        <w:rPr>
          <w:b/>
        </w:rPr>
      </w:pPr>
    </w:p>
    <w:p w:rsidR="00E50B1E" w:rsidRDefault="00E50B1E" w:rsidP="00163C90">
      <w:pPr>
        <w:spacing w:after="120"/>
        <w:ind w:firstLine="709"/>
        <w:jc w:val="both"/>
        <w:rPr>
          <w:b/>
        </w:rPr>
      </w:pPr>
    </w:p>
    <w:p w:rsidR="00E50B1E" w:rsidRDefault="00E50B1E" w:rsidP="00163C90">
      <w:pPr>
        <w:spacing w:after="120"/>
        <w:ind w:firstLine="709"/>
        <w:jc w:val="both"/>
        <w:rPr>
          <w:b/>
        </w:rPr>
      </w:pPr>
    </w:p>
    <w:p w:rsidR="00C37F70" w:rsidRPr="002F6605" w:rsidRDefault="00163C90" w:rsidP="00163C90">
      <w:pPr>
        <w:spacing w:after="120"/>
        <w:ind w:firstLine="709"/>
        <w:jc w:val="both"/>
        <w:rPr>
          <w:b/>
        </w:rPr>
      </w:pPr>
      <w:r w:rsidRPr="002F6605">
        <w:rPr>
          <w:b/>
        </w:rPr>
        <w:lastRenderedPageBreak/>
        <w:t>Фиг. 1: Приноси в динамиката на заетостта по сектори и коефициент на безработица</w:t>
      </w:r>
    </w:p>
    <w:p w:rsidR="00163C90" w:rsidRPr="00FF6143" w:rsidRDefault="00D37B0F" w:rsidP="00163C90">
      <w:pPr>
        <w:spacing w:after="120"/>
        <w:ind w:firstLine="709"/>
        <w:jc w:val="both"/>
        <w:rPr>
          <w:i/>
          <w:lang w:val="en-US"/>
        </w:rPr>
      </w:pPr>
      <w:bookmarkStart w:id="34" w:name="_MON_1529153213"/>
      <w:bookmarkStart w:id="35" w:name="_MON_1526907467"/>
      <w:bookmarkStart w:id="36" w:name="_MON_1529153181"/>
      <w:bookmarkStart w:id="37" w:name="_MON_1532443498"/>
      <w:bookmarkStart w:id="38" w:name="_MON_1532443530"/>
      <w:bookmarkEnd w:id="34"/>
      <w:bookmarkEnd w:id="35"/>
      <w:bookmarkEnd w:id="36"/>
      <w:bookmarkEnd w:id="37"/>
      <w:bookmarkEnd w:id="38"/>
      <w:r>
        <w:rPr>
          <w:noProof/>
          <w:color w:val="4F81BD"/>
        </w:rPr>
        <w:drawing>
          <wp:inline distT="0" distB="0" distL="0" distR="0" wp14:anchorId="7513B377" wp14:editId="0FD8C56F">
            <wp:extent cx="4114800" cy="2630805"/>
            <wp:effectExtent l="0" t="0" r="0" b="0"/>
            <wp:docPr id="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63C90" w:rsidRPr="00FF6143" w:rsidRDefault="00163C90" w:rsidP="00FF6143">
      <w:pPr>
        <w:spacing w:after="120"/>
        <w:ind w:left="5663" w:firstLine="709"/>
        <w:jc w:val="both"/>
        <w:rPr>
          <w:i/>
        </w:rPr>
      </w:pPr>
      <w:r w:rsidRPr="00FF6143">
        <w:rPr>
          <w:i/>
        </w:rPr>
        <w:t>Източник: НСИ, МФ</w:t>
      </w:r>
    </w:p>
    <w:p w:rsidR="00163C90" w:rsidRPr="00C43AFA" w:rsidRDefault="00163C90" w:rsidP="00163C90">
      <w:pPr>
        <w:spacing w:after="120"/>
        <w:ind w:firstLine="709"/>
        <w:jc w:val="both"/>
      </w:pPr>
      <w:r w:rsidRPr="00C43AFA">
        <w:t>Повишеното търсене на труд обуслови и продължаващата тенденция на намаление в нивото на безработица</w:t>
      </w:r>
      <w:r w:rsidRPr="00E80D0C">
        <w:rPr>
          <w:rStyle w:val="FootnoteReference"/>
          <w:sz w:val="20"/>
          <w:szCs w:val="20"/>
        </w:rPr>
        <w:footnoteReference w:id="4"/>
      </w:r>
      <w:r w:rsidRPr="00C43AFA">
        <w:t>, което достигна 9</w:t>
      </w:r>
      <w:r>
        <w:t>,</w:t>
      </w:r>
      <w:r w:rsidRPr="00C43AFA">
        <w:t>1</w:t>
      </w:r>
      <w:r>
        <w:t xml:space="preserve"> </w:t>
      </w:r>
      <w:r w:rsidRPr="00C43AFA">
        <w:t>% през 2015 г. Отчетеното благоприятно развитие беше свързано и с подобрение при структурните показатели на пазара на труда в т.ч. при коефициента на дългосрочна безработица и при младежите. Влияние върху спада на безработицата в страната оказа и намалението на работната сила, в следствие на наблюдаваните негативни демографски развития и застаряването на населението. През текущия период броят на обезкуражените лица продължи да се понижава, но входящият поток в работната сила отново се понижи с водещ отрицателен принос във възрастови групи 15-24 години и ограничения растеж в 15-64 години, поради замразяване на възрастта за пенсиониране през последните две години. Все пак, коефициентът на икономическа активност (15-64 години) се повиши до 69</w:t>
      </w:r>
      <w:r>
        <w:t>,</w:t>
      </w:r>
      <w:r w:rsidRPr="00C43AFA">
        <w:t>3</w:t>
      </w:r>
      <w:r>
        <w:t xml:space="preserve"> </w:t>
      </w:r>
      <w:r w:rsidRPr="00C43AFA">
        <w:t xml:space="preserve">%, поради по-големия спад на населението спрямо този на работната сила. </w:t>
      </w:r>
    </w:p>
    <w:p w:rsidR="00163C90" w:rsidRPr="00C43AFA" w:rsidRDefault="00163C90" w:rsidP="00163C90">
      <w:pPr>
        <w:spacing w:after="120"/>
        <w:ind w:firstLine="709"/>
        <w:jc w:val="both"/>
      </w:pPr>
      <w:r w:rsidRPr="00C43AFA">
        <w:t>Успоредно с наблюдаваните положителни тенденции в динамиката на заетостта</w:t>
      </w:r>
      <w:r>
        <w:t>,</w:t>
      </w:r>
      <w:r w:rsidRPr="00C43AFA">
        <w:t xml:space="preserve"> реалният растеж на производителността на труда</w:t>
      </w:r>
      <w:r w:rsidRPr="00626366">
        <w:rPr>
          <w:rStyle w:val="FootnoteReference"/>
          <w:sz w:val="20"/>
          <w:szCs w:val="20"/>
        </w:rPr>
        <w:footnoteReference w:id="5"/>
      </w:r>
      <w:r w:rsidRPr="00C43AFA">
        <w:t xml:space="preserve"> в българската икономика се ускори до 2</w:t>
      </w:r>
      <w:r>
        <w:t>,</w:t>
      </w:r>
      <w:r w:rsidRPr="00C43AFA">
        <w:t>6</w:t>
      </w:r>
      <w:r>
        <w:t xml:space="preserve"> </w:t>
      </w:r>
      <w:r w:rsidRPr="00C43AFA">
        <w:t>% през 2015 г. спрямо 1</w:t>
      </w:r>
      <w:r>
        <w:t>,</w:t>
      </w:r>
      <w:r w:rsidRPr="00C43AFA">
        <w:t>2</w:t>
      </w:r>
      <w:r>
        <w:t xml:space="preserve"> </w:t>
      </w:r>
      <w:r w:rsidRPr="00C43AFA">
        <w:t>% през 2014 г. Всички икономически сектори имаха положителен принос с водещо влияние от страна на промишлеността. Текущото развитие на разглеждания показател, както и по-ниския номинален темп на растеж на компенсациите на един нает (1</w:t>
      </w:r>
      <w:r>
        <w:t>,</w:t>
      </w:r>
      <w:r w:rsidRPr="00C43AFA">
        <w:t>8</w:t>
      </w:r>
      <w:r>
        <w:t xml:space="preserve"> </w:t>
      </w:r>
      <w:r w:rsidRPr="00C43AFA">
        <w:t>%) обусловиха подобряването на разходната конкурентоспособност на предприятията. През разглеждания период</w:t>
      </w:r>
      <w:r>
        <w:t>,</w:t>
      </w:r>
      <w:r w:rsidRPr="00C43AFA">
        <w:t xml:space="preserve"> разходите за труд на единица продукция</w:t>
      </w:r>
      <w:r w:rsidRPr="00626366">
        <w:rPr>
          <w:rStyle w:val="FootnoteReference"/>
          <w:sz w:val="20"/>
          <w:szCs w:val="20"/>
        </w:rPr>
        <w:footnoteReference w:id="6"/>
      </w:r>
      <w:r w:rsidRPr="00C43AFA">
        <w:t xml:space="preserve"> се понижиха с 0</w:t>
      </w:r>
      <w:r>
        <w:t>,</w:t>
      </w:r>
      <w:r w:rsidRPr="00C43AFA">
        <w:t>7</w:t>
      </w:r>
      <w:r>
        <w:t xml:space="preserve"> </w:t>
      </w:r>
      <w:r w:rsidRPr="00C43AFA">
        <w:t>% в номинално и 1</w:t>
      </w:r>
      <w:r>
        <w:t>,</w:t>
      </w:r>
      <w:r w:rsidRPr="00C43AFA">
        <w:t>1</w:t>
      </w:r>
      <w:r>
        <w:t xml:space="preserve"> </w:t>
      </w:r>
      <w:r w:rsidRPr="00C43AFA">
        <w:t xml:space="preserve">% в реално изражение.  </w:t>
      </w:r>
    </w:p>
    <w:p w:rsidR="006F2AF8" w:rsidRPr="00D54F5C" w:rsidRDefault="00163C90" w:rsidP="00D54F5C">
      <w:pPr>
        <w:spacing w:after="120"/>
        <w:ind w:firstLine="709"/>
        <w:jc w:val="both"/>
      </w:pPr>
      <w:r w:rsidRPr="00C43AFA">
        <w:t xml:space="preserve">Повишеното търсене на труд </w:t>
      </w:r>
      <w:r>
        <w:t>в</w:t>
      </w:r>
      <w:r w:rsidRPr="00C43AFA">
        <w:t xml:space="preserve"> икономиката беше съпроводено с повишаване на средната работна заплата</w:t>
      </w:r>
      <w:r w:rsidRPr="00D54F5C">
        <w:rPr>
          <w:vertAlign w:val="superscript"/>
        </w:rPr>
        <w:footnoteReference w:id="7"/>
      </w:r>
      <w:r w:rsidRPr="00C43AFA">
        <w:t>. През 2015 г. номиналното нарастване на заплатите в частния сектор достигна 10</w:t>
      </w:r>
      <w:r>
        <w:t>,</w:t>
      </w:r>
      <w:r w:rsidRPr="00C43AFA">
        <w:t>2</w:t>
      </w:r>
      <w:r>
        <w:t xml:space="preserve"> </w:t>
      </w:r>
      <w:r w:rsidRPr="00C43AFA">
        <w:t>%, а в обществения беше отчетено забавяне в стойността на показателя до 4</w:t>
      </w:r>
      <w:r>
        <w:t>,</w:t>
      </w:r>
      <w:r w:rsidRPr="00C43AFA">
        <w:t>8</w:t>
      </w:r>
      <w:r>
        <w:t xml:space="preserve"> </w:t>
      </w:r>
      <w:r w:rsidRPr="00C43AFA">
        <w:t xml:space="preserve">%. Последното бе повлияно от оптимизирането на разходите за труд в публичната администрация, което обуслови ограничаването на растежа на заплатите и </w:t>
      </w:r>
      <w:r w:rsidRPr="00C43AFA">
        <w:lastRenderedPageBreak/>
        <w:t>намалението на наетите лица в сектора. Разгледано общо за икономиката, средната работна заплата се повиши с 8</w:t>
      </w:r>
      <w:r>
        <w:t>,</w:t>
      </w:r>
      <w:r w:rsidRPr="00C43AFA">
        <w:t>8</w:t>
      </w:r>
      <w:r>
        <w:t xml:space="preserve"> </w:t>
      </w:r>
      <w:r w:rsidRPr="00C43AFA">
        <w:t>% и 9</w:t>
      </w:r>
      <w:r>
        <w:t>,</w:t>
      </w:r>
      <w:r w:rsidRPr="00C43AFA">
        <w:t>9</w:t>
      </w:r>
      <w:r>
        <w:t xml:space="preserve"> </w:t>
      </w:r>
      <w:r w:rsidRPr="00C43AFA">
        <w:t>%</w:t>
      </w:r>
      <w:r>
        <w:t>, съответно</w:t>
      </w:r>
      <w:r w:rsidRPr="00C43AFA">
        <w:t xml:space="preserve"> в номинално в реално изражение</w:t>
      </w:r>
      <w:r w:rsidRPr="00D54F5C">
        <w:rPr>
          <w:vertAlign w:val="superscript"/>
        </w:rPr>
        <w:footnoteReference w:id="8"/>
      </w:r>
      <w:r w:rsidRPr="00C43AFA">
        <w:t>.</w:t>
      </w:r>
    </w:p>
    <w:p w:rsidR="00666D9F" w:rsidRDefault="00666D9F" w:rsidP="00781B85">
      <w:pPr>
        <w:pStyle w:val="Heading3"/>
        <w:numPr>
          <w:ilvl w:val="1"/>
          <w:numId w:val="63"/>
        </w:numPr>
        <w:rPr>
          <w:rFonts w:ascii="Times New Roman" w:hAnsi="Times New Roman" w:cs="Times New Roman"/>
          <w:color w:val="000000" w:themeColor="text1"/>
          <w:sz w:val="24"/>
          <w:szCs w:val="24"/>
          <w:lang w:val="bg-BG"/>
        </w:rPr>
      </w:pPr>
      <w:bookmarkStart w:id="39" w:name="_Toc324863385"/>
      <w:bookmarkStart w:id="40" w:name="_Toc462146093"/>
      <w:r w:rsidRPr="00163C90">
        <w:rPr>
          <w:rFonts w:ascii="Times New Roman" w:hAnsi="Times New Roman" w:cs="Times New Roman"/>
          <w:color w:val="000000" w:themeColor="text1"/>
          <w:sz w:val="24"/>
          <w:szCs w:val="24"/>
          <w:lang w:val="bg-BG"/>
        </w:rPr>
        <w:t>Платежен баланс</w:t>
      </w:r>
      <w:bookmarkEnd w:id="39"/>
      <w:r w:rsidR="005B2B36" w:rsidRPr="00163C90">
        <w:rPr>
          <w:rStyle w:val="FootnoteReference"/>
          <w:rFonts w:ascii="Times New Roman" w:hAnsi="Times New Roman"/>
          <w:color w:val="000000" w:themeColor="text1"/>
          <w:sz w:val="24"/>
          <w:szCs w:val="24"/>
          <w:lang w:val="bg-BG"/>
        </w:rPr>
        <w:footnoteReference w:id="9"/>
      </w:r>
      <w:bookmarkEnd w:id="40"/>
    </w:p>
    <w:p w:rsidR="00163C90" w:rsidRPr="00163C90" w:rsidRDefault="00163C90" w:rsidP="00163C90"/>
    <w:p w:rsidR="00163C90" w:rsidRPr="00163C90" w:rsidRDefault="00163C90" w:rsidP="00163C90">
      <w:pPr>
        <w:ind w:firstLine="709"/>
        <w:jc w:val="both"/>
      </w:pPr>
      <w:r w:rsidRPr="00163C90">
        <w:t>През 2015 г. и по трите основни сметки на платежния баланс на страната (текуща, капиталова и финансова) бяха отчетени нетни входящи финансови потоци.</w:t>
      </w:r>
    </w:p>
    <w:p w:rsidR="00163C90" w:rsidRPr="00163C90" w:rsidRDefault="00163C90" w:rsidP="00163C90">
      <w:pPr>
        <w:ind w:firstLine="709"/>
        <w:jc w:val="both"/>
      </w:pPr>
      <w:r w:rsidRPr="00163C90">
        <w:t>Излишъкът по текущата сметка възлезе на 609 млн. евро или 1,4 % от БВП, като положителните баланси по услуги и вторичен доход напълно компенсираха търговския дефицит и отрицателното салдо по първичен доход.</w:t>
      </w:r>
    </w:p>
    <w:p w:rsidR="00163C90" w:rsidRDefault="00163C90" w:rsidP="00163C90">
      <w:pPr>
        <w:ind w:firstLine="709"/>
        <w:jc w:val="both"/>
      </w:pPr>
      <w:r w:rsidRPr="00163C90">
        <w:t>И при износа, и при вноса на стоки бе отчетено номинално нарастване водено от повишение на търгуваните количества, в условия на спад на международните цени. Търговията бе насочена основно към държави от ЕС, докато износът и вносът към трети страни спадна на годишна база в номинално изражение. Стоковият анализ показва, че всички основни групи са подпомогнали растежа и единствен значим отрицателен принос има от петролните продукти. Поради по-ниските цени на горивата, въпреки покачването на изнесените и на внесените количества, в последната група бяха отчетени номинални спадове на износа и на вноса.</w:t>
      </w:r>
    </w:p>
    <w:p w:rsidR="00163C90" w:rsidRPr="00163C90" w:rsidRDefault="00163C90" w:rsidP="00163C90">
      <w:pPr>
        <w:spacing w:line="276" w:lineRule="auto"/>
        <w:ind w:firstLine="720"/>
        <w:jc w:val="both"/>
        <w:rPr>
          <w:lang w:val="en-US"/>
        </w:rPr>
      </w:pPr>
    </w:p>
    <w:p w:rsidR="00163C90" w:rsidRPr="00163C90" w:rsidRDefault="00163C90" w:rsidP="00163C90">
      <w:pPr>
        <w:keepNext/>
        <w:spacing w:line="276" w:lineRule="auto"/>
        <w:jc w:val="center"/>
        <w:rPr>
          <w:rFonts w:eastAsia="Calibri"/>
          <w:sz w:val="22"/>
          <w:szCs w:val="22"/>
          <w:lang w:eastAsia="en-US"/>
        </w:rPr>
      </w:pPr>
      <w:r w:rsidRPr="00163C90">
        <w:rPr>
          <w:rFonts w:eastAsia="Calibri"/>
          <w:b/>
          <w:bCs/>
          <w:i/>
          <w:sz w:val="22"/>
          <w:szCs w:val="22"/>
          <w:lang w:eastAsia="en-US"/>
        </w:rPr>
        <w:t>Динамика на износа на стоки (</w:t>
      </w:r>
      <w:r w:rsidRPr="00163C90">
        <w:rPr>
          <w:rFonts w:eastAsia="Calibri"/>
          <w:b/>
          <w:bCs/>
          <w:i/>
          <w:sz w:val="22"/>
          <w:szCs w:val="22"/>
          <w:lang w:val="en-US" w:eastAsia="en-US"/>
        </w:rPr>
        <w:t>FOB</w:t>
      </w:r>
      <w:r w:rsidRPr="00163C90">
        <w:rPr>
          <w:rFonts w:eastAsia="Calibri"/>
          <w:b/>
          <w:bCs/>
          <w:i/>
          <w:sz w:val="22"/>
          <w:szCs w:val="22"/>
          <w:lang w:eastAsia="en-US"/>
        </w:rPr>
        <w:t>)</w:t>
      </w:r>
    </w:p>
    <w:tbl>
      <w:tblPr>
        <w:tblpPr w:leftFromText="141" w:rightFromText="141" w:vertAnchor="text" w:horzAnchor="margin" w:tblpXSpec="center" w:tblpY="268"/>
        <w:tblW w:w="6744" w:type="dxa"/>
        <w:tblCellMar>
          <w:left w:w="70" w:type="dxa"/>
          <w:right w:w="70" w:type="dxa"/>
        </w:tblCellMar>
        <w:tblLook w:val="04A0" w:firstRow="1" w:lastRow="0" w:firstColumn="1" w:lastColumn="0" w:noHBand="0" w:noVBand="1"/>
      </w:tblPr>
      <w:tblGrid>
        <w:gridCol w:w="2888"/>
        <w:gridCol w:w="1177"/>
        <w:gridCol w:w="751"/>
        <w:gridCol w:w="1161"/>
        <w:gridCol w:w="767"/>
      </w:tblGrid>
      <w:tr w:rsidR="00163C90" w:rsidRPr="00163C90" w:rsidTr="0029530C">
        <w:trPr>
          <w:trHeight w:val="255"/>
        </w:trPr>
        <w:tc>
          <w:tcPr>
            <w:tcW w:w="2888" w:type="dxa"/>
            <w:tcBorders>
              <w:top w:val="nil"/>
              <w:left w:val="nil"/>
              <w:bottom w:val="nil"/>
              <w:right w:val="single" w:sz="4" w:space="0" w:color="FFFFFF"/>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Показатели</w:t>
            </w:r>
          </w:p>
        </w:tc>
        <w:tc>
          <w:tcPr>
            <w:tcW w:w="1928" w:type="dxa"/>
            <w:gridSpan w:val="2"/>
            <w:tcBorders>
              <w:top w:val="nil"/>
              <w:left w:val="nil"/>
              <w:bottom w:val="single" w:sz="4" w:space="0" w:color="FFFFFF"/>
              <w:right w:val="single" w:sz="4" w:space="0" w:color="FFFFFF"/>
            </w:tcBorders>
            <w:shd w:val="clear" w:color="000000" w:fill="C0504D"/>
            <w:noWrap/>
            <w:vAlign w:val="center"/>
            <w:hideMark/>
          </w:tcPr>
          <w:p w:rsidR="00163C90" w:rsidRPr="00163C90" w:rsidRDefault="00163C90" w:rsidP="00163C90">
            <w:pPr>
              <w:spacing w:after="200" w:line="276" w:lineRule="auto"/>
              <w:jc w:val="center"/>
              <w:rPr>
                <w:rFonts w:eastAsia="Calibri"/>
                <w:b/>
                <w:bCs/>
                <w:color w:val="FFFFFF"/>
                <w:sz w:val="20"/>
                <w:szCs w:val="20"/>
                <w:lang w:eastAsia="en-US"/>
              </w:rPr>
            </w:pPr>
            <w:r w:rsidRPr="00163C90">
              <w:rPr>
                <w:rFonts w:eastAsia="Calibri"/>
                <w:b/>
                <w:bCs/>
                <w:color w:val="FFFFFF"/>
                <w:sz w:val="20"/>
                <w:szCs w:val="20"/>
                <w:lang w:eastAsia="en-US"/>
              </w:rPr>
              <w:t>2014</w:t>
            </w:r>
          </w:p>
        </w:tc>
        <w:tc>
          <w:tcPr>
            <w:tcW w:w="1928" w:type="dxa"/>
            <w:gridSpan w:val="2"/>
            <w:tcBorders>
              <w:top w:val="nil"/>
              <w:left w:val="nil"/>
              <w:bottom w:val="single" w:sz="4" w:space="0" w:color="FFFFFF"/>
              <w:right w:val="double" w:sz="6" w:space="0" w:color="FFFFFF"/>
            </w:tcBorders>
            <w:shd w:val="clear" w:color="000000" w:fill="C0504D"/>
            <w:noWrap/>
            <w:vAlign w:val="center"/>
            <w:hideMark/>
          </w:tcPr>
          <w:p w:rsidR="00163C90" w:rsidRPr="00163C90" w:rsidRDefault="00163C90" w:rsidP="00163C90">
            <w:pPr>
              <w:spacing w:after="200" w:line="276" w:lineRule="auto"/>
              <w:jc w:val="center"/>
              <w:rPr>
                <w:rFonts w:eastAsia="Calibri"/>
                <w:b/>
                <w:bCs/>
                <w:color w:val="FFFFFF"/>
                <w:sz w:val="20"/>
                <w:szCs w:val="20"/>
                <w:lang w:eastAsia="en-US"/>
              </w:rPr>
            </w:pPr>
            <w:r w:rsidRPr="00163C90">
              <w:rPr>
                <w:rFonts w:eastAsia="Calibri"/>
                <w:b/>
                <w:bCs/>
                <w:color w:val="FFFFFF"/>
                <w:sz w:val="20"/>
                <w:szCs w:val="20"/>
                <w:lang w:eastAsia="en-US"/>
              </w:rPr>
              <w:t>2015</w:t>
            </w:r>
          </w:p>
        </w:tc>
      </w:tr>
      <w:tr w:rsidR="00163C90" w:rsidRPr="00163C90" w:rsidTr="0029530C">
        <w:trPr>
          <w:trHeight w:val="255"/>
        </w:trPr>
        <w:tc>
          <w:tcPr>
            <w:tcW w:w="2888" w:type="dxa"/>
            <w:tcBorders>
              <w:top w:val="nil"/>
              <w:left w:val="nil"/>
              <w:bottom w:val="nil"/>
              <w:right w:val="single" w:sz="4" w:space="0" w:color="FFFFFF"/>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 </w:t>
            </w:r>
          </w:p>
        </w:tc>
        <w:tc>
          <w:tcPr>
            <w:tcW w:w="1177" w:type="dxa"/>
            <w:tcBorders>
              <w:top w:val="nil"/>
              <w:left w:val="nil"/>
              <w:bottom w:val="nil"/>
              <w:right w:val="nil"/>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растеж %</w:t>
            </w:r>
          </w:p>
        </w:tc>
        <w:tc>
          <w:tcPr>
            <w:tcW w:w="751" w:type="dxa"/>
            <w:tcBorders>
              <w:top w:val="nil"/>
              <w:left w:val="nil"/>
              <w:bottom w:val="nil"/>
              <w:right w:val="single" w:sz="4" w:space="0" w:color="FFFFFF"/>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дял %</w:t>
            </w:r>
          </w:p>
        </w:tc>
        <w:tc>
          <w:tcPr>
            <w:tcW w:w="1161" w:type="dxa"/>
            <w:tcBorders>
              <w:top w:val="nil"/>
              <w:left w:val="nil"/>
              <w:bottom w:val="nil"/>
              <w:right w:val="nil"/>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растеж %</w:t>
            </w:r>
          </w:p>
        </w:tc>
        <w:tc>
          <w:tcPr>
            <w:tcW w:w="767" w:type="dxa"/>
            <w:tcBorders>
              <w:top w:val="nil"/>
              <w:left w:val="nil"/>
              <w:bottom w:val="nil"/>
              <w:right w:val="double" w:sz="6" w:space="0" w:color="FFFFFF"/>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дял %</w:t>
            </w:r>
          </w:p>
        </w:tc>
      </w:tr>
      <w:tr w:rsidR="00163C90" w:rsidRPr="00163C90" w:rsidTr="0029530C">
        <w:trPr>
          <w:trHeight w:val="255"/>
        </w:trPr>
        <w:tc>
          <w:tcPr>
            <w:tcW w:w="288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Потребителски стоки</w:t>
            </w:r>
          </w:p>
        </w:tc>
        <w:tc>
          <w:tcPr>
            <w:tcW w:w="1177"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10,1</w:t>
            </w:r>
          </w:p>
        </w:tc>
        <w:tc>
          <w:tcPr>
            <w:tcW w:w="751"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25,9</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7,3</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26,5</w:t>
            </w:r>
          </w:p>
        </w:tc>
      </w:tr>
      <w:tr w:rsidR="00163C90" w:rsidRPr="00163C90" w:rsidTr="0029530C">
        <w:trPr>
          <w:trHeight w:val="255"/>
        </w:trPr>
        <w:tc>
          <w:tcPr>
            <w:tcW w:w="288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Суровини и материали</w:t>
            </w:r>
          </w:p>
        </w:tc>
        <w:tc>
          <w:tcPr>
            <w:tcW w:w="1177"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-5,8</w:t>
            </w:r>
          </w:p>
        </w:tc>
        <w:tc>
          <w:tcPr>
            <w:tcW w:w="751"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41,3</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4,0</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40,8</w:t>
            </w:r>
          </w:p>
        </w:tc>
      </w:tr>
      <w:tr w:rsidR="00163C90" w:rsidRPr="00163C90" w:rsidTr="0029530C">
        <w:trPr>
          <w:trHeight w:val="255"/>
        </w:trPr>
        <w:tc>
          <w:tcPr>
            <w:tcW w:w="288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Инвестиционни стоки</w:t>
            </w:r>
          </w:p>
        </w:tc>
        <w:tc>
          <w:tcPr>
            <w:tcW w:w="1177"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8,4</w:t>
            </w:r>
          </w:p>
        </w:tc>
        <w:tc>
          <w:tcPr>
            <w:tcW w:w="751"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19,5</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16,4</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21,5</w:t>
            </w:r>
          </w:p>
        </w:tc>
      </w:tr>
      <w:tr w:rsidR="00163C90" w:rsidRPr="00163C90" w:rsidTr="0029530C">
        <w:trPr>
          <w:trHeight w:val="255"/>
        </w:trPr>
        <w:tc>
          <w:tcPr>
            <w:tcW w:w="288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Енергийни стоки</w:t>
            </w:r>
          </w:p>
        </w:tc>
        <w:tc>
          <w:tcPr>
            <w:tcW w:w="1177"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-14,0</w:t>
            </w:r>
          </w:p>
        </w:tc>
        <w:tc>
          <w:tcPr>
            <w:tcW w:w="751"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13,2</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-12,0</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11,0</w:t>
            </w:r>
          </w:p>
        </w:tc>
      </w:tr>
      <w:tr w:rsidR="00163C90" w:rsidRPr="00163C90" w:rsidTr="0029530C">
        <w:trPr>
          <w:trHeight w:val="255"/>
        </w:trPr>
        <w:tc>
          <w:tcPr>
            <w:tcW w:w="288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Износ към Европейския съюз</w:t>
            </w:r>
          </w:p>
        </w:tc>
        <w:tc>
          <w:tcPr>
            <w:tcW w:w="1177"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3,1</w:t>
            </w:r>
          </w:p>
        </w:tc>
        <w:tc>
          <w:tcPr>
            <w:tcW w:w="751"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62,3</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7,9</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63,9</w:t>
            </w:r>
          </w:p>
        </w:tc>
      </w:tr>
      <w:tr w:rsidR="00163C90" w:rsidRPr="00163C90" w:rsidTr="0029530C">
        <w:trPr>
          <w:trHeight w:val="270"/>
        </w:trPr>
        <w:tc>
          <w:tcPr>
            <w:tcW w:w="2888" w:type="dxa"/>
            <w:tcBorders>
              <w:top w:val="nil"/>
              <w:left w:val="double" w:sz="6" w:space="0" w:color="C0504D"/>
              <w:bottom w:val="double" w:sz="6" w:space="0" w:color="C0504D"/>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Износ към страни извън ЕС</w:t>
            </w:r>
          </w:p>
        </w:tc>
        <w:tc>
          <w:tcPr>
            <w:tcW w:w="1177" w:type="dxa"/>
            <w:tcBorders>
              <w:top w:val="nil"/>
              <w:left w:val="nil"/>
              <w:bottom w:val="double" w:sz="6" w:space="0" w:color="C0504D"/>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-6,5</w:t>
            </w:r>
          </w:p>
        </w:tc>
        <w:tc>
          <w:tcPr>
            <w:tcW w:w="751" w:type="dxa"/>
            <w:tcBorders>
              <w:top w:val="nil"/>
              <w:left w:val="nil"/>
              <w:bottom w:val="double" w:sz="6" w:space="0" w:color="C0504D"/>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37,3</w:t>
            </w:r>
          </w:p>
        </w:tc>
        <w:tc>
          <w:tcPr>
            <w:tcW w:w="1161" w:type="dxa"/>
            <w:tcBorders>
              <w:top w:val="nil"/>
              <w:left w:val="nil"/>
              <w:bottom w:val="double" w:sz="6" w:space="0" w:color="C0504D"/>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0,6</w:t>
            </w:r>
          </w:p>
        </w:tc>
        <w:tc>
          <w:tcPr>
            <w:tcW w:w="767" w:type="dxa"/>
            <w:tcBorders>
              <w:top w:val="nil"/>
              <w:left w:val="nil"/>
              <w:bottom w:val="double" w:sz="6" w:space="0" w:color="C0504D"/>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36,1</w:t>
            </w:r>
          </w:p>
        </w:tc>
      </w:tr>
    </w:tbl>
    <w:p w:rsidR="00C37F70" w:rsidRDefault="00C37F70" w:rsidP="00D54F5C">
      <w:pPr>
        <w:spacing w:after="120"/>
        <w:ind w:left="5663" w:firstLine="709"/>
        <w:jc w:val="both"/>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0F02EE" w:rsidRDefault="000F02EE" w:rsidP="00EC33FC">
      <w:pPr>
        <w:spacing w:after="120"/>
        <w:ind w:left="5663"/>
        <w:rPr>
          <w:i/>
          <w:sz w:val="20"/>
          <w:szCs w:val="20"/>
        </w:rPr>
      </w:pPr>
    </w:p>
    <w:p w:rsidR="00163C90" w:rsidRPr="00EC33FC" w:rsidRDefault="00163C90" w:rsidP="00EC33FC">
      <w:pPr>
        <w:tabs>
          <w:tab w:val="left" w:pos="4962"/>
        </w:tabs>
        <w:spacing w:after="120"/>
        <w:ind w:left="5103" w:hanging="1134"/>
        <w:rPr>
          <w:i/>
          <w:sz w:val="20"/>
          <w:szCs w:val="20"/>
        </w:rPr>
      </w:pPr>
      <w:r w:rsidRPr="00EC33FC">
        <w:rPr>
          <w:i/>
          <w:sz w:val="20"/>
          <w:szCs w:val="20"/>
        </w:rPr>
        <w:t>Източник Изчисления на МФ по данни на БНБ</w:t>
      </w:r>
    </w:p>
    <w:p w:rsidR="00163C90" w:rsidRDefault="00163C90" w:rsidP="00163C90">
      <w:pPr>
        <w:ind w:firstLine="709"/>
        <w:jc w:val="both"/>
      </w:pPr>
    </w:p>
    <w:p w:rsidR="00163C90" w:rsidRDefault="00163C90" w:rsidP="00163C90">
      <w:pPr>
        <w:ind w:firstLine="709"/>
        <w:jc w:val="both"/>
      </w:pPr>
      <w:r w:rsidRPr="00163C90">
        <w:t xml:space="preserve">Общият износ на стоки нарасна с 5,5% в номинално изражение. Търсенето на суровини за експортно ориентираните отрасли подпомогна растежа на вноса,  докато забавянето във вътрешното търсене имаше задържащ ефект. Номиналното нарастване на вноса за годината бе 1,3 %. </w:t>
      </w:r>
    </w:p>
    <w:p w:rsidR="00163C90" w:rsidRDefault="00163C90" w:rsidP="00163C90">
      <w:pPr>
        <w:ind w:firstLine="709"/>
        <w:jc w:val="both"/>
      </w:pPr>
    </w:p>
    <w:p w:rsidR="00163C90" w:rsidRDefault="00163C90" w:rsidP="00163C90">
      <w:pPr>
        <w:ind w:firstLine="709"/>
        <w:jc w:val="both"/>
      </w:pPr>
    </w:p>
    <w:p w:rsidR="00163C90" w:rsidRDefault="00163C90" w:rsidP="00163C90">
      <w:pPr>
        <w:ind w:firstLine="709"/>
        <w:jc w:val="both"/>
      </w:pPr>
    </w:p>
    <w:p w:rsidR="00163C90" w:rsidRDefault="00163C90" w:rsidP="00163C90">
      <w:pPr>
        <w:ind w:firstLine="709"/>
        <w:jc w:val="both"/>
      </w:pPr>
    </w:p>
    <w:p w:rsidR="00163C90" w:rsidRDefault="00163C90" w:rsidP="00163C90">
      <w:pPr>
        <w:ind w:firstLine="709"/>
        <w:jc w:val="both"/>
      </w:pPr>
    </w:p>
    <w:p w:rsidR="00163C90" w:rsidRPr="00163C90" w:rsidRDefault="00163C90" w:rsidP="00163C90">
      <w:pPr>
        <w:ind w:firstLine="709"/>
        <w:jc w:val="both"/>
      </w:pPr>
    </w:p>
    <w:p w:rsidR="00163C90" w:rsidRPr="00163C90" w:rsidRDefault="00163C90" w:rsidP="00163C90">
      <w:pPr>
        <w:ind w:firstLine="709"/>
        <w:jc w:val="both"/>
      </w:pPr>
    </w:p>
    <w:p w:rsidR="00163C90" w:rsidRPr="00163C90" w:rsidRDefault="00163C90" w:rsidP="00163C90">
      <w:pPr>
        <w:keepNext/>
        <w:spacing w:after="120" w:line="276" w:lineRule="auto"/>
        <w:jc w:val="center"/>
        <w:rPr>
          <w:rFonts w:eastAsia="Calibri"/>
          <w:color w:val="4F81BD"/>
          <w:sz w:val="22"/>
          <w:szCs w:val="22"/>
          <w:lang w:eastAsia="en-US"/>
        </w:rPr>
      </w:pPr>
      <w:r w:rsidRPr="00163C90">
        <w:rPr>
          <w:rFonts w:eastAsia="Calibri"/>
          <w:b/>
          <w:bCs/>
          <w:i/>
          <w:sz w:val="22"/>
          <w:szCs w:val="22"/>
          <w:lang w:eastAsia="en-US"/>
        </w:rPr>
        <w:t>Динамика на вноса на стоки (</w:t>
      </w:r>
      <w:r w:rsidRPr="00163C90">
        <w:rPr>
          <w:rFonts w:eastAsia="Calibri"/>
          <w:b/>
          <w:bCs/>
          <w:i/>
          <w:sz w:val="22"/>
          <w:szCs w:val="22"/>
          <w:lang w:val="en-US" w:eastAsia="en-US"/>
        </w:rPr>
        <w:t>FOB</w:t>
      </w:r>
      <w:r w:rsidRPr="00163C90">
        <w:rPr>
          <w:rFonts w:eastAsia="Calibri"/>
          <w:b/>
          <w:bCs/>
          <w:i/>
          <w:sz w:val="22"/>
          <w:szCs w:val="22"/>
          <w:lang w:eastAsia="en-US"/>
        </w:rPr>
        <w:t>)</w:t>
      </w:r>
    </w:p>
    <w:tbl>
      <w:tblPr>
        <w:tblpPr w:leftFromText="141" w:rightFromText="141" w:vertAnchor="text" w:horzAnchor="margin" w:tblpXSpec="center" w:tblpY="19"/>
        <w:tblW w:w="6944" w:type="dxa"/>
        <w:tblCellMar>
          <w:left w:w="70" w:type="dxa"/>
          <w:right w:w="70" w:type="dxa"/>
        </w:tblCellMar>
        <w:tblLook w:val="04A0" w:firstRow="1" w:lastRow="0" w:firstColumn="1" w:lastColumn="0" w:noHBand="0" w:noVBand="1"/>
      </w:tblPr>
      <w:tblGrid>
        <w:gridCol w:w="3068"/>
        <w:gridCol w:w="1189"/>
        <w:gridCol w:w="759"/>
        <w:gridCol w:w="1161"/>
        <w:gridCol w:w="767"/>
      </w:tblGrid>
      <w:tr w:rsidR="00163C90" w:rsidRPr="00163C90" w:rsidTr="0029530C">
        <w:trPr>
          <w:trHeight w:val="270"/>
        </w:trPr>
        <w:tc>
          <w:tcPr>
            <w:tcW w:w="3068" w:type="dxa"/>
            <w:tcBorders>
              <w:top w:val="nil"/>
              <w:left w:val="nil"/>
              <w:bottom w:val="nil"/>
              <w:right w:val="single" w:sz="4" w:space="0" w:color="FFFFFF"/>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Показатели</w:t>
            </w:r>
          </w:p>
        </w:tc>
        <w:tc>
          <w:tcPr>
            <w:tcW w:w="1948" w:type="dxa"/>
            <w:gridSpan w:val="2"/>
            <w:tcBorders>
              <w:top w:val="nil"/>
              <w:left w:val="nil"/>
              <w:bottom w:val="single" w:sz="4" w:space="0" w:color="FFFFFF"/>
              <w:right w:val="single" w:sz="4" w:space="0" w:color="FFFFFF"/>
            </w:tcBorders>
            <w:shd w:val="clear" w:color="000000" w:fill="C0504D"/>
            <w:noWrap/>
            <w:vAlign w:val="center"/>
            <w:hideMark/>
          </w:tcPr>
          <w:p w:rsidR="00163C90" w:rsidRPr="00163C90" w:rsidRDefault="00163C90" w:rsidP="00163C90">
            <w:pPr>
              <w:spacing w:after="200" w:line="276" w:lineRule="auto"/>
              <w:jc w:val="center"/>
              <w:rPr>
                <w:rFonts w:eastAsia="Calibri"/>
                <w:b/>
                <w:bCs/>
                <w:color w:val="FFFFFF"/>
                <w:sz w:val="20"/>
                <w:szCs w:val="20"/>
                <w:lang w:eastAsia="en-US"/>
              </w:rPr>
            </w:pPr>
            <w:r w:rsidRPr="00163C90">
              <w:rPr>
                <w:rFonts w:eastAsia="Calibri"/>
                <w:b/>
                <w:bCs/>
                <w:color w:val="FFFFFF"/>
                <w:sz w:val="20"/>
                <w:szCs w:val="20"/>
                <w:lang w:eastAsia="en-US"/>
              </w:rPr>
              <w:t>2014</w:t>
            </w:r>
          </w:p>
        </w:tc>
        <w:tc>
          <w:tcPr>
            <w:tcW w:w="1928" w:type="dxa"/>
            <w:gridSpan w:val="2"/>
            <w:tcBorders>
              <w:top w:val="nil"/>
              <w:left w:val="nil"/>
              <w:bottom w:val="single" w:sz="4" w:space="0" w:color="FFFFFF"/>
              <w:right w:val="double" w:sz="6" w:space="0" w:color="FFFFFF"/>
            </w:tcBorders>
            <w:shd w:val="clear" w:color="000000" w:fill="C0504D"/>
            <w:noWrap/>
            <w:vAlign w:val="center"/>
            <w:hideMark/>
          </w:tcPr>
          <w:p w:rsidR="00163C90" w:rsidRPr="00163C90" w:rsidRDefault="00163C90" w:rsidP="00163C90">
            <w:pPr>
              <w:spacing w:after="200" w:line="276" w:lineRule="auto"/>
              <w:jc w:val="center"/>
              <w:rPr>
                <w:rFonts w:eastAsia="Calibri"/>
                <w:b/>
                <w:bCs/>
                <w:color w:val="FFFFFF"/>
                <w:sz w:val="20"/>
                <w:szCs w:val="20"/>
                <w:lang w:eastAsia="en-US"/>
              </w:rPr>
            </w:pPr>
            <w:r w:rsidRPr="00163C90">
              <w:rPr>
                <w:rFonts w:eastAsia="Calibri"/>
                <w:b/>
                <w:bCs/>
                <w:color w:val="FFFFFF"/>
                <w:sz w:val="20"/>
                <w:szCs w:val="20"/>
                <w:lang w:eastAsia="en-US"/>
              </w:rPr>
              <w:t>2015</w:t>
            </w:r>
          </w:p>
        </w:tc>
      </w:tr>
      <w:tr w:rsidR="00163C90" w:rsidRPr="00163C90" w:rsidTr="0029530C">
        <w:trPr>
          <w:trHeight w:val="255"/>
        </w:trPr>
        <w:tc>
          <w:tcPr>
            <w:tcW w:w="3068" w:type="dxa"/>
            <w:tcBorders>
              <w:top w:val="nil"/>
              <w:left w:val="nil"/>
              <w:bottom w:val="nil"/>
              <w:right w:val="single" w:sz="4" w:space="0" w:color="FFFFFF"/>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 </w:t>
            </w:r>
          </w:p>
        </w:tc>
        <w:tc>
          <w:tcPr>
            <w:tcW w:w="1189" w:type="dxa"/>
            <w:tcBorders>
              <w:top w:val="nil"/>
              <w:left w:val="nil"/>
              <w:bottom w:val="nil"/>
              <w:right w:val="nil"/>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растеж %</w:t>
            </w:r>
          </w:p>
        </w:tc>
        <w:tc>
          <w:tcPr>
            <w:tcW w:w="759" w:type="dxa"/>
            <w:tcBorders>
              <w:top w:val="nil"/>
              <w:left w:val="nil"/>
              <w:bottom w:val="nil"/>
              <w:right w:val="single" w:sz="4" w:space="0" w:color="FFFFFF"/>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дял %</w:t>
            </w:r>
          </w:p>
        </w:tc>
        <w:tc>
          <w:tcPr>
            <w:tcW w:w="1161" w:type="dxa"/>
            <w:tcBorders>
              <w:top w:val="nil"/>
              <w:left w:val="nil"/>
              <w:bottom w:val="nil"/>
              <w:right w:val="nil"/>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растеж %</w:t>
            </w:r>
          </w:p>
        </w:tc>
        <w:tc>
          <w:tcPr>
            <w:tcW w:w="767" w:type="dxa"/>
            <w:tcBorders>
              <w:top w:val="nil"/>
              <w:left w:val="nil"/>
              <w:bottom w:val="nil"/>
              <w:right w:val="double" w:sz="6" w:space="0" w:color="FFFFFF"/>
            </w:tcBorders>
            <w:shd w:val="clear" w:color="000000" w:fill="C0504D"/>
            <w:noWrap/>
            <w:vAlign w:val="center"/>
            <w:hideMark/>
          </w:tcPr>
          <w:p w:rsidR="00163C90" w:rsidRPr="00163C90" w:rsidRDefault="00163C90" w:rsidP="00163C90">
            <w:pPr>
              <w:spacing w:after="200" w:line="276" w:lineRule="auto"/>
              <w:rPr>
                <w:rFonts w:eastAsia="Calibri"/>
                <w:b/>
                <w:bCs/>
                <w:color w:val="FFFFFF"/>
                <w:sz w:val="20"/>
                <w:szCs w:val="20"/>
                <w:lang w:eastAsia="en-US"/>
              </w:rPr>
            </w:pPr>
            <w:r w:rsidRPr="00163C90">
              <w:rPr>
                <w:rFonts w:eastAsia="Calibri"/>
                <w:b/>
                <w:bCs/>
                <w:color w:val="FFFFFF"/>
                <w:sz w:val="20"/>
                <w:szCs w:val="20"/>
                <w:lang w:eastAsia="en-US"/>
              </w:rPr>
              <w:t>дял %</w:t>
            </w:r>
          </w:p>
        </w:tc>
      </w:tr>
      <w:tr w:rsidR="00163C90" w:rsidRPr="00163C90" w:rsidTr="0029530C">
        <w:trPr>
          <w:trHeight w:val="255"/>
        </w:trPr>
        <w:tc>
          <w:tcPr>
            <w:tcW w:w="306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Потребителски стоки</w:t>
            </w:r>
          </w:p>
        </w:tc>
        <w:tc>
          <w:tcPr>
            <w:tcW w:w="1189"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7,2</w:t>
            </w:r>
          </w:p>
        </w:tc>
        <w:tc>
          <w:tcPr>
            <w:tcW w:w="759"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19,6</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9,4</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21,2</w:t>
            </w:r>
          </w:p>
        </w:tc>
      </w:tr>
      <w:tr w:rsidR="00163C90" w:rsidRPr="00163C90" w:rsidTr="0029530C">
        <w:trPr>
          <w:trHeight w:val="255"/>
        </w:trPr>
        <w:tc>
          <w:tcPr>
            <w:tcW w:w="306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Суровини и материали</w:t>
            </w:r>
          </w:p>
        </w:tc>
        <w:tc>
          <w:tcPr>
            <w:tcW w:w="1189"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-0,7</w:t>
            </w:r>
          </w:p>
        </w:tc>
        <w:tc>
          <w:tcPr>
            <w:tcW w:w="759"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34,7</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7,4</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36,9</w:t>
            </w:r>
          </w:p>
        </w:tc>
      </w:tr>
      <w:tr w:rsidR="00163C90" w:rsidRPr="00163C90" w:rsidTr="0029530C">
        <w:trPr>
          <w:trHeight w:val="255"/>
        </w:trPr>
        <w:tc>
          <w:tcPr>
            <w:tcW w:w="306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Инвестиционни стоки</w:t>
            </w:r>
          </w:p>
        </w:tc>
        <w:tc>
          <w:tcPr>
            <w:tcW w:w="1189"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14,0</w:t>
            </w:r>
          </w:p>
        </w:tc>
        <w:tc>
          <w:tcPr>
            <w:tcW w:w="759"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25,2</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2,4</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25,5</w:t>
            </w:r>
          </w:p>
        </w:tc>
      </w:tr>
      <w:tr w:rsidR="00163C90" w:rsidRPr="00163C90" w:rsidTr="0029530C">
        <w:trPr>
          <w:trHeight w:val="255"/>
        </w:trPr>
        <w:tc>
          <w:tcPr>
            <w:tcW w:w="306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Енергийни стоки</w:t>
            </w:r>
          </w:p>
        </w:tc>
        <w:tc>
          <w:tcPr>
            <w:tcW w:w="1189"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-13,2</w:t>
            </w:r>
          </w:p>
        </w:tc>
        <w:tc>
          <w:tcPr>
            <w:tcW w:w="759"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20,1</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-19,6</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16,0</w:t>
            </w:r>
          </w:p>
        </w:tc>
      </w:tr>
      <w:tr w:rsidR="00163C90" w:rsidRPr="00163C90" w:rsidTr="0029530C">
        <w:trPr>
          <w:trHeight w:val="255"/>
        </w:trPr>
        <w:tc>
          <w:tcPr>
            <w:tcW w:w="3068" w:type="dxa"/>
            <w:tcBorders>
              <w:top w:val="nil"/>
              <w:left w:val="double" w:sz="6" w:space="0" w:color="C0504D"/>
              <w:bottom w:val="nil"/>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Внос към Европейския съюз</w:t>
            </w:r>
          </w:p>
        </w:tc>
        <w:tc>
          <w:tcPr>
            <w:tcW w:w="1189"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5,0</w:t>
            </w:r>
          </w:p>
        </w:tc>
        <w:tc>
          <w:tcPr>
            <w:tcW w:w="759" w:type="dxa"/>
            <w:tcBorders>
              <w:top w:val="nil"/>
              <w:left w:val="nil"/>
              <w:bottom w:val="nil"/>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50,6</w:t>
            </w:r>
          </w:p>
        </w:tc>
        <w:tc>
          <w:tcPr>
            <w:tcW w:w="1161" w:type="dxa"/>
            <w:tcBorders>
              <w:top w:val="nil"/>
              <w:left w:val="nil"/>
              <w:bottom w:val="nil"/>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5,7</w:t>
            </w:r>
          </w:p>
        </w:tc>
        <w:tc>
          <w:tcPr>
            <w:tcW w:w="767" w:type="dxa"/>
            <w:tcBorders>
              <w:top w:val="nil"/>
              <w:left w:val="nil"/>
              <w:bottom w:val="nil"/>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52,9</w:t>
            </w:r>
          </w:p>
        </w:tc>
      </w:tr>
      <w:tr w:rsidR="00163C90" w:rsidRPr="00163C90" w:rsidTr="0029530C">
        <w:trPr>
          <w:trHeight w:val="270"/>
        </w:trPr>
        <w:tc>
          <w:tcPr>
            <w:tcW w:w="3068" w:type="dxa"/>
            <w:tcBorders>
              <w:top w:val="nil"/>
              <w:left w:val="double" w:sz="6" w:space="0" w:color="C0504D"/>
              <w:bottom w:val="double" w:sz="6" w:space="0" w:color="C0504D"/>
              <w:right w:val="single" w:sz="4" w:space="0" w:color="C0504D"/>
            </w:tcBorders>
            <w:shd w:val="clear" w:color="000000" w:fill="FFFF99"/>
            <w:noWrap/>
            <w:vAlign w:val="center"/>
            <w:hideMark/>
          </w:tcPr>
          <w:p w:rsidR="00163C90" w:rsidRPr="00163C90" w:rsidRDefault="00163C90" w:rsidP="00163C90">
            <w:pPr>
              <w:spacing w:after="200" w:line="276" w:lineRule="auto"/>
              <w:rPr>
                <w:rFonts w:eastAsia="Calibri"/>
                <w:sz w:val="20"/>
                <w:szCs w:val="20"/>
                <w:lang w:eastAsia="en-US"/>
              </w:rPr>
            </w:pPr>
            <w:r w:rsidRPr="00163C90">
              <w:rPr>
                <w:rFonts w:eastAsia="Calibri"/>
                <w:sz w:val="20"/>
                <w:szCs w:val="20"/>
                <w:lang w:eastAsia="en-US"/>
              </w:rPr>
              <w:t>Внос към страни извън ЕС</w:t>
            </w:r>
          </w:p>
        </w:tc>
        <w:tc>
          <w:tcPr>
            <w:tcW w:w="1189" w:type="dxa"/>
            <w:tcBorders>
              <w:top w:val="nil"/>
              <w:left w:val="nil"/>
              <w:bottom w:val="double" w:sz="6" w:space="0" w:color="C0504D"/>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-2,5</w:t>
            </w:r>
          </w:p>
        </w:tc>
        <w:tc>
          <w:tcPr>
            <w:tcW w:w="759" w:type="dxa"/>
            <w:tcBorders>
              <w:top w:val="nil"/>
              <w:left w:val="nil"/>
              <w:bottom w:val="double" w:sz="6" w:space="0" w:color="C0504D"/>
              <w:right w:val="single" w:sz="4"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49,4</w:t>
            </w:r>
          </w:p>
        </w:tc>
        <w:tc>
          <w:tcPr>
            <w:tcW w:w="1161" w:type="dxa"/>
            <w:tcBorders>
              <w:top w:val="nil"/>
              <w:left w:val="nil"/>
              <w:bottom w:val="double" w:sz="6" w:space="0" w:color="C0504D"/>
              <w:right w:val="nil"/>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-3,6</w:t>
            </w:r>
          </w:p>
        </w:tc>
        <w:tc>
          <w:tcPr>
            <w:tcW w:w="767" w:type="dxa"/>
            <w:tcBorders>
              <w:top w:val="nil"/>
              <w:left w:val="nil"/>
              <w:bottom w:val="double" w:sz="6" w:space="0" w:color="C0504D"/>
              <w:right w:val="double" w:sz="6" w:space="0" w:color="C0504D"/>
            </w:tcBorders>
            <w:shd w:val="clear" w:color="000000" w:fill="FFFF99"/>
            <w:noWrap/>
            <w:vAlign w:val="center"/>
            <w:hideMark/>
          </w:tcPr>
          <w:p w:rsidR="00163C90" w:rsidRPr="00163C90" w:rsidRDefault="00163C90" w:rsidP="00163C90">
            <w:pPr>
              <w:spacing w:after="200" w:line="276" w:lineRule="auto"/>
              <w:jc w:val="center"/>
              <w:rPr>
                <w:rFonts w:eastAsia="Calibri"/>
                <w:sz w:val="20"/>
                <w:szCs w:val="20"/>
                <w:lang w:eastAsia="en-US"/>
              </w:rPr>
            </w:pPr>
            <w:r w:rsidRPr="00163C90">
              <w:rPr>
                <w:rFonts w:eastAsia="Calibri"/>
                <w:sz w:val="20"/>
                <w:szCs w:val="20"/>
                <w:lang w:eastAsia="en-US"/>
              </w:rPr>
              <w:t>47,1</w:t>
            </w:r>
          </w:p>
        </w:tc>
      </w:tr>
    </w:tbl>
    <w:p w:rsidR="00163C90" w:rsidRPr="001445FB" w:rsidRDefault="001445FB" w:rsidP="000F02EE">
      <w:pPr>
        <w:ind w:left="2836" w:firstLine="1133"/>
        <w:jc w:val="both"/>
        <w:rPr>
          <w:i/>
          <w:sz w:val="20"/>
          <w:szCs w:val="20"/>
        </w:rPr>
      </w:pPr>
      <w:r w:rsidRPr="001445FB">
        <w:rPr>
          <w:i/>
          <w:sz w:val="20"/>
          <w:szCs w:val="20"/>
        </w:rPr>
        <w:t>Източник:Изчисления на МФ по данни на БНБ</w:t>
      </w:r>
    </w:p>
    <w:p w:rsidR="001445FB" w:rsidRPr="001445FB" w:rsidRDefault="001445FB" w:rsidP="000F02EE">
      <w:pPr>
        <w:ind w:firstLine="1133"/>
        <w:jc w:val="both"/>
        <w:rPr>
          <w:i/>
          <w:sz w:val="20"/>
          <w:szCs w:val="20"/>
        </w:rPr>
      </w:pPr>
    </w:p>
    <w:p w:rsidR="00163C90" w:rsidRPr="00163C90" w:rsidRDefault="00163C90" w:rsidP="00163C90">
      <w:pPr>
        <w:ind w:firstLine="709"/>
        <w:jc w:val="both"/>
      </w:pPr>
      <w:r w:rsidRPr="00163C90">
        <w:t>Така формираният търговски дефицит се подобри с 860 млн. евро спрямо предходната година, като отрицателното салдо се сви до 4,3 % от БВП.</w:t>
      </w:r>
    </w:p>
    <w:p w:rsidR="00163C90" w:rsidRPr="00163C90" w:rsidRDefault="00163C90" w:rsidP="00163C90">
      <w:pPr>
        <w:ind w:firstLine="709"/>
        <w:jc w:val="both"/>
      </w:pPr>
      <w:r w:rsidRPr="00163C90">
        <w:t>Положителна динамика бе отчетена при статията услуги, продиктувана от ускорено повишение в износа на други бизнес услуги.</w:t>
      </w:r>
    </w:p>
    <w:p w:rsidR="00163C90" w:rsidRPr="00163C90" w:rsidRDefault="00163C90" w:rsidP="00163C90">
      <w:pPr>
        <w:ind w:firstLine="709"/>
        <w:jc w:val="both"/>
      </w:pPr>
      <w:r w:rsidRPr="00163C90">
        <w:t>Салдото по вторичен доход се повиши в стойностно изражение поради по-високите трансфери към сектор държавно управление, вкл. средства по фондове от ЕС. Излишъкът по статията като относителен дял от БВП се понижи с 0,1 п.п. до 3,7 % в сравнение с 2014 г</w:t>
      </w:r>
      <w:r w:rsidR="0029530C">
        <w:t>одина</w:t>
      </w:r>
      <w:r w:rsidRPr="00163C90">
        <w:t>.</w:t>
      </w:r>
    </w:p>
    <w:p w:rsidR="00163C90" w:rsidRPr="00163C90" w:rsidRDefault="00163C90" w:rsidP="00163C90">
      <w:pPr>
        <w:ind w:firstLine="709"/>
        <w:jc w:val="both"/>
      </w:pPr>
      <w:r w:rsidRPr="00163C90">
        <w:t>През 2015 г. по финансовата сметка</w:t>
      </w:r>
      <w:r w:rsidRPr="00163C90">
        <w:rPr>
          <w:sz w:val="20"/>
          <w:szCs w:val="20"/>
          <w:vertAlign w:val="superscript"/>
        </w:rPr>
        <w:footnoteReference w:id="10"/>
      </w:r>
      <w:r w:rsidRPr="00163C90">
        <w:t xml:space="preserve"> в страната влязоха нетно 940 млн. евро, а основните входящи потоци бяха свързани с привлечените преки чуждестранни инвестиции. ПЧИ в страната възлязоха на 1,6 млрд. евро или 3,6 % от БВП, под формата на дялово участие и реинвестирана печалба от компаниите-майки към местните дружества. </w:t>
      </w:r>
    </w:p>
    <w:p w:rsidR="002C4BAC" w:rsidRPr="001F6421" w:rsidRDefault="00163C90" w:rsidP="00163C90">
      <w:pPr>
        <w:keepNext/>
        <w:keepLines/>
        <w:spacing w:before="120"/>
        <w:ind w:firstLine="709"/>
        <w:jc w:val="both"/>
        <w:rPr>
          <w:color w:val="0070C0"/>
        </w:rPr>
      </w:pPr>
      <w:r w:rsidRPr="00163C90">
        <w:t>Брутният външен дълг (БВД) на страната възлезе на 34,1 млрд. евро или 77,2 % от БВП към края на 2015 г., понижавайки се с 13,4 % спрямо края на 2014 г. Подобрението отразява понижение на външната задлъжнялост на всички институционални сектори.</w:t>
      </w:r>
    </w:p>
    <w:p w:rsidR="00666D9F" w:rsidRPr="001F6421" w:rsidRDefault="00666D9F" w:rsidP="00E7165D">
      <w:pPr>
        <w:pStyle w:val="BodyText"/>
        <w:jc w:val="both"/>
        <w:rPr>
          <w:color w:val="0070C0"/>
          <w:sz w:val="2"/>
          <w:szCs w:val="2"/>
        </w:rPr>
      </w:pPr>
    </w:p>
    <w:p w:rsidR="00666D9F" w:rsidRPr="00643BF6" w:rsidRDefault="00666D9F" w:rsidP="00643BF6">
      <w:pPr>
        <w:pStyle w:val="Heading1"/>
        <w:numPr>
          <w:ilvl w:val="0"/>
          <w:numId w:val="3"/>
        </w:numPr>
        <w:jc w:val="left"/>
        <w:rPr>
          <w:color w:val="000000" w:themeColor="text1"/>
        </w:rPr>
      </w:pPr>
      <w:bookmarkStart w:id="41" w:name="_Toc324863386"/>
      <w:bookmarkStart w:id="42" w:name="_Toc136597712"/>
      <w:bookmarkStart w:id="43" w:name="_Toc136601615"/>
      <w:bookmarkStart w:id="44" w:name="_Toc166304012"/>
      <w:bookmarkStart w:id="45" w:name="_Toc166381572"/>
      <w:bookmarkStart w:id="46" w:name="_Toc167005087"/>
      <w:bookmarkStart w:id="47" w:name="_Toc261276554"/>
      <w:bookmarkStart w:id="48" w:name="_Toc462146094"/>
      <w:r w:rsidRPr="00643BF6">
        <w:rPr>
          <w:color w:val="000000" w:themeColor="text1"/>
        </w:rPr>
        <w:t>Финансов сектор</w:t>
      </w:r>
      <w:bookmarkEnd w:id="41"/>
      <w:bookmarkEnd w:id="42"/>
      <w:bookmarkEnd w:id="43"/>
      <w:bookmarkEnd w:id="44"/>
      <w:bookmarkEnd w:id="45"/>
      <w:bookmarkEnd w:id="46"/>
      <w:bookmarkEnd w:id="47"/>
      <w:bookmarkEnd w:id="48"/>
    </w:p>
    <w:p w:rsidR="00666D9F" w:rsidRPr="001F6421" w:rsidRDefault="00666D9F" w:rsidP="005E255B">
      <w:pPr>
        <w:rPr>
          <w:color w:val="0070C0"/>
          <w:sz w:val="12"/>
          <w:szCs w:val="12"/>
          <w:lang w:eastAsia="en-US"/>
        </w:rPr>
      </w:pPr>
    </w:p>
    <w:p w:rsidR="003F046B" w:rsidRPr="003F046B" w:rsidRDefault="003F046B" w:rsidP="003F046B">
      <w:pPr>
        <w:ind w:firstLine="709"/>
        <w:jc w:val="both"/>
      </w:pPr>
      <w:bookmarkStart w:id="49" w:name="_Фискална_политика,_ръст_на_кредитит"/>
      <w:bookmarkEnd w:id="49"/>
      <w:r w:rsidRPr="003F046B">
        <w:t xml:space="preserve">Валутният борд, един от основните фактори за финансова стабилност на страната, запази добрите си показатели. Към края на 2015 г. международните валутни резерви на Българска народна банка отбелязаха годишен ръст от 22,7 % (14,6 % през 2014 г.) и достигнаха в номинално изражение 39,7 млрд. лв. Значителното ускоряване на темпа им на растеж спрямо предходната година се дължеше на успешно реализираната през март емисия еврооблигации и в по-малка степен на емисията от 10-годишни ДЦК през април. </w:t>
      </w:r>
    </w:p>
    <w:p w:rsidR="003F046B" w:rsidRPr="003F046B" w:rsidRDefault="003F046B" w:rsidP="003F046B">
      <w:pPr>
        <w:ind w:firstLine="709"/>
        <w:jc w:val="both"/>
      </w:pPr>
      <w:r w:rsidRPr="003F046B">
        <w:t>Покритието на паричната база с валутни резерви в края на декември се понижи в сравнение с предходната година – 144,3 % при 168,1 % към края на 2014 г. Това се дължеше на нарастването на свръхрезервите на банковата система в БНБ, отразяващо високата ликвидност на банките. Към края на декември 2015 г. резервите покриваха 8</w:t>
      </w:r>
      <w:r w:rsidR="004C1158">
        <w:t>,</w:t>
      </w:r>
      <w:r w:rsidRPr="003F046B">
        <w:t xml:space="preserve">5 месеца внос при 7,1 месеца година по-рано. По отношение на краткосрочния външен дълг </w:t>
      </w:r>
      <w:r w:rsidRPr="003F046B">
        <w:lastRenderedPageBreak/>
        <w:t>по оригинален матуритет, покритието с международни валутни резерви достигна 257,3 %, подобрявайки се спрямо 165,9 % в края на 2014 г.</w:t>
      </w:r>
    </w:p>
    <w:p w:rsidR="003F046B" w:rsidRPr="001F6421" w:rsidRDefault="003F046B" w:rsidP="003F046B">
      <w:pPr>
        <w:spacing w:after="120"/>
        <w:ind w:firstLine="708"/>
        <w:jc w:val="both"/>
        <w:rPr>
          <w:color w:val="0070C0"/>
        </w:rPr>
      </w:pPr>
    </w:p>
    <w:p w:rsidR="002C4BAC" w:rsidRDefault="003F046B" w:rsidP="003F046B">
      <w:pPr>
        <w:keepNext/>
        <w:ind w:firstLine="709"/>
        <w:jc w:val="center"/>
        <w:rPr>
          <w:b/>
          <w:i/>
          <w:color w:val="000000" w:themeColor="text1"/>
        </w:rPr>
      </w:pPr>
      <w:r w:rsidRPr="003F046B">
        <w:rPr>
          <w:b/>
          <w:i/>
          <w:color w:val="000000" w:themeColor="text1"/>
        </w:rPr>
        <w:t>Ключови отношения на валутния борд</w:t>
      </w:r>
    </w:p>
    <w:p w:rsidR="003F046B" w:rsidRPr="003F046B" w:rsidRDefault="003F046B" w:rsidP="003F046B">
      <w:pPr>
        <w:keepNext/>
        <w:ind w:firstLine="709"/>
        <w:jc w:val="center"/>
        <w:rPr>
          <w:b/>
          <w:i/>
          <w:color w:val="000000" w:themeColor="text1"/>
        </w:rPr>
      </w:pPr>
    </w:p>
    <w:p w:rsidR="003F046B" w:rsidRDefault="00D37B0F" w:rsidP="003F046B">
      <w:pPr>
        <w:keepNext/>
        <w:ind w:firstLine="709"/>
        <w:jc w:val="center"/>
        <w:rPr>
          <w:noProof/>
          <w:lang w:eastAsia="en-US"/>
        </w:rPr>
      </w:pPr>
      <w:r>
        <w:rPr>
          <w:noProof/>
        </w:rPr>
        <w:drawing>
          <wp:inline distT="0" distB="0" distL="0" distR="0" wp14:anchorId="0A1AE7B4" wp14:editId="45379698">
            <wp:extent cx="4786630" cy="2633980"/>
            <wp:effectExtent l="0" t="0" r="13970" b="13970"/>
            <wp:docPr id="3" name="Picture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F046B" w:rsidRPr="003F046B" w:rsidRDefault="003F046B" w:rsidP="003F046B">
      <w:pPr>
        <w:keepNext/>
        <w:spacing w:after="200" w:line="276" w:lineRule="auto"/>
        <w:ind w:left="5379" w:firstLine="993"/>
        <w:rPr>
          <w:rFonts w:eastAsia="Calibri"/>
          <w:bCs/>
          <w:i/>
          <w:sz w:val="20"/>
          <w:szCs w:val="20"/>
          <w:lang w:eastAsia="en-US"/>
        </w:rPr>
      </w:pPr>
      <w:r w:rsidRPr="003F046B">
        <w:rPr>
          <w:rFonts w:eastAsia="Calibri"/>
          <w:bCs/>
          <w:i/>
          <w:sz w:val="20"/>
          <w:szCs w:val="20"/>
          <w:lang w:eastAsia="en-US"/>
        </w:rPr>
        <w:t>Източник: БНБ, МФ</w:t>
      </w:r>
    </w:p>
    <w:p w:rsidR="003F046B" w:rsidRPr="003F046B" w:rsidRDefault="003F046B" w:rsidP="003F046B">
      <w:pPr>
        <w:ind w:firstLine="709"/>
        <w:jc w:val="both"/>
      </w:pPr>
      <w:r w:rsidRPr="003F046B">
        <w:t>Банковата система продължи да поддържа високи нива на капитал и ликвидност. Към края на годината съотношението на обща капиталова адекватност на банковата система бе 22,18 %, а отношението на капитала от първи ред достигна 20,46 %. Коефициентът на ликвидните активи, изчисляван по Наредба № 11 на БНБ достигна</w:t>
      </w:r>
      <w:r w:rsidR="004C1158">
        <w:t xml:space="preserve">  </w:t>
      </w:r>
      <w:r w:rsidRPr="003F046B">
        <w:t xml:space="preserve"> 36,71 % в края на 2015 г. Нетният финансов резултат на банковата система възлезе на </w:t>
      </w:r>
      <w:r w:rsidR="004C1158">
        <w:t xml:space="preserve">   </w:t>
      </w:r>
      <w:r w:rsidRPr="003F046B">
        <w:t xml:space="preserve">898 млн. лв. или с 20,4 % повече спрямо година по-рано. Възвръщаемостта на активите към края на декември 2015 г. се повиши до 1,03 % при 0,89 % в края на предходната година. </w:t>
      </w:r>
    </w:p>
    <w:p w:rsidR="003F046B" w:rsidRDefault="003F046B" w:rsidP="003F046B">
      <w:pPr>
        <w:ind w:firstLine="709"/>
        <w:jc w:val="both"/>
      </w:pPr>
      <w:r w:rsidRPr="003F046B">
        <w:t>През 2015 г. кредитирането на частния сектор се характеризираше със слаба активност за сметка на нарастваща свръхликвидност в банките. От една страна това бе свързано с все още слабото търсене на кредити и завишените стандарти от страна на предлагането, а от друга с подготовката за предстоящите преглед на качеството на активите (ПКА) и стрес тестове на банките, вкл. чрез усилията им да намалят кредитния риск в балансите си. Годишният ръст на кредита за частния сектор остана на отрицателна територия почти през всички месеци на 2015 г., с изключение на ноември (0,2 %), когато бе изчерпан техническия</w:t>
      </w:r>
      <w:r w:rsidR="004C1158">
        <w:t>т</w:t>
      </w:r>
      <w:r w:rsidRPr="003F046B">
        <w:t xml:space="preserve"> ефект от изключването на баланса на КТБ от паричната статистика. Към края на 2015 г. годишният спад на кредита за частния сектор бе в размер на 1,2 %. За това принос имаха най-вече кредитите за нефинансови предприятия, чието понижение на годишна база към края на декември достигна 1,7 %.  </w:t>
      </w:r>
    </w:p>
    <w:p w:rsidR="003F046B" w:rsidRDefault="003F046B" w:rsidP="003F046B">
      <w:pPr>
        <w:ind w:firstLine="709"/>
        <w:jc w:val="both"/>
        <w:rPr>
          <w:b/>
          <w:bCs/>
          <w:i/>
        </w:rPr>
      </w:pPr>
    </w:p>
    <w:p w:rsidR="003F046B" w:rsidRDefault="003F046B" w:rsidP="003F046B">
      <w:pPr>
        <w:ind w:firstLine="709"/>
        <w:jc w:val="both"/>
        <w:rPr>
          <w:b/>
          <w:bCs/>
          <w:i/>
        </w:rPr>
      </w:pPr>
    </w:p>
    <w:p w:rsidR="003F046B" w:rsidRDefault="003F046B" w:rsidP="003F046B">
      <w:pPr>
        <w:ind w:firstLine="709"/>
        <w:jc w:val="both"/>
        <w:rPr>
          <w:b/>
          <w:bCs/>
          <w:i/>
        </w:rPr>
      </w:pPr>
    </w:p>
    <w:p w:rsidR="003F046B" w:rsidRDefault="003F046B" w:rsidP="003F046B">
      <w:pPr>
        <w:ind w:firstLine="709"/>
        <w:jc w:val="both"/>
        <w:rPr>
          <w:b/>
          <w:bCs/>
          <w:i/>
        </w:rPr>
      </w:pPr>
    </w:p>
    <w:p w:rsidR="003F046B" w:rsidRDefault="003F046B" w:rsidP="003F046B">
      <w:pPr>
        <w:ind w:firstLine="709"/>
        <w:jc w:val="both"/>
        <w:rPr>
          <w:b/>
          <w:bCs/>
          <w:i/>
        </w:rPr>
      </w:pPr>
    </w:p>
    <w:p w:rsidR="003F046B" w:rsidRDefault="003F046B" w:rsidP="003F046B">
      <w:pPr>
        <w:ind w:firstLine="709"/>
        <w:jc w:val="both"/>
        <w:rPr>
          <w:b/>
          <w:bCs/>
          <w:i/>
        </w:rPr>
      </w:pPr>
    </w:p>
    <w:p w:rsidR="0029530C" w:rsidRDefault="0029530C" w:rsidP="003F046B">
      <w:pPr>
        <w:ind w:firstLine="709"/>
        <w:jc w:val="both"/>
        <w:rPr>
          <w:b/>
          <w:bCs/>
          <w:i/>
        </w:rPr>
      </w:pPr>
    </w:p>
    <w:p w:rsidR="0029530C" w:rsidRDefault="0029530C" w:rsidP="003F046B">
      <w:pPr>
        <w:ind w:firstLine="709"/>
        <w:jc w:val="both"/>
        <w:rPr>
          <w:b/>
          <w:bCs/>
          <w:i/>
        </w:rPr>
      </w:pPr>
    </w:p>
    <w:p w:rsidR="00E377C8" w:rsidRDefault="00E377C8" w:rsidP="003F046B">
      <w:pPr>
        <w:ind w:firstLine="709"/>
        <w:jc w:val="both"/>
        <w:rPr>
          <w:b/>
          <w:bCs/>
          <w:i/>
        </w:rPr>
      </w:pPr>
    </w:p>
    <w:p w:rsidR="00E377C8" w:rsidRDefault="00E377C8" w:rsidP="003F046B">
      <w:pPr>
        <w:ind w:firstLine="709"/>
        <w:jc w:val="both"/>
        <w:rPr>
          <w:b/>
          <w:bCs/>
          <w:i/>
        </w:rPr>
      </w:pPr>
    </w:p>
    <w:p w:rsidR="003F046B" w:rsidRDefault="003F046B" w:rsidP="003F046B">
      <w:pPr>
        <w:ind w:firstLine="709"/>
        <w:jc w:val="center"/>
        <w:rPr>
          <w:b/>
          <w:bCs/>
          <w:i/>
        </w:rPr>
      </w:pPr>
      <w:r w:rsidRPr="003F046B">
        <w:rPr>
          <w:b/>
          <w:bCs/>
          <w:i/>
        </w:rPr>
        <w:lastRenderedPageBreak/>
        <w:t>Растеж на кредита за частния сектор</w:t>
      </w:r>
    </w:p>
    <w:p w:rsidR="003F046B" w:rsidRPr="003F046B" w:rsidRDefault="003F046B" w:rsidP="003F046B">
      <w:pPr>
        <w:ind w:firstLine="709"/>
        <w:jc w:val="both"/>
        <w:rPr>
          <w:b/>
          <w:bCs/>
          <w:i/>
          <w:sz w:val="8"/>
          <w:szCs w:val="8"/>
        </w:rPr>
      </w:pPr>
    </w:p>
    <w:p w:rsidR="003F046B" w:rsidRPr="003F046B" w:rsidRDefault="00D37B0F" w:rsidP="003F046B">
      <w:pPr>
        <w:ind w:firstLine="709"/>
        <w:jc w:val="both"/>
        <w:rPr>
          <w:b/>
        </w:rPr>
      </w:pPr>
      <w:r>
        <w:rPr>
          <w:noProof/>
        </w:rPr>
        <w:drawing>
          <wp:inline distT="0" distB="0" distL="0" distR="0" wp14:anchorId="00991386" wp14:editId="0B8EA80A">
            <wp:extent cx="4594860" cy="2635250"/>
            <wp:effectExtent l="0" t="0" r="15240" b="12700"/>
            <wp:docPr id="4" name="Picture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F046B" w:rsidRPr="00EC33FC" w:rsidRDefault="000F02EE" w:rsidP="00EC33FC">
      <w:pPr>
        <w:ind w:firstLine="709"/>
        <w:jc w:val="center"/>
        <w:rPr>
          <w:bCs/>
          <w:i/>
          <w:sz w:val="20"/>
          <w:szCs w:val="20"/>
        </w:rPr>
      </w:pPr>
      <w:r>
        <w:rPr>
          <w:bCs/>
          <w:i/>
          <w:sz w:val="20"/>
          <w:szCs w:val="20"/>
        </w:rPr>
        <w:t xml:space="preserve">                                                                                </w:t>
      </w:r>
      <w:r w:rsidR="003F046B" w:rsidRPr="00EC33FC">
        <w:rPr>
          <w:bCs/>
          <w:i/>
          <w:sz w:val="20"/>
          <w:szCs w:val="20"/>
        </w:rPr>
        <w:t>Източник: БНБ, МФ</w:t>
      </w:r>
    </w:p>
    <w:p w:rsidR="003F046B" w:rsidRPr="003F046B" w:rsidRDefault="003F046B" w:rsidP="003F046B">
      <w:pPr>
        <w:ind w:firstLine="709"/>
        <w:jc w:val="both"/>
        <w:rPr>
          <w:sz w:val="4"/>
          <w:szCs w:val="4"/>
        </w:rPr>
      </w:pPr>
    </w:p>
    <w:p w:rsidR="003F046B" w:rsidRPr="003F046B" w:rsidRDefault="003F046B" w:rsidP="003F046B">
      <w:pPr>
        <w:ind w:firstLine="709"/>
        <w:jc w:val="both"/>
      </w:pPr>
      <w:r w:rsidRPr="003F046B">
        <w:t>Депозитите в банковата система</w:t>
      </w:r>
      <w:r w:rsidR="004C1158" w:rsidRPr="00EC33FC">
        <w:rPr>
          <w:rStyle w:val="FootnoteReference"/>
          <w:sz w:val="20"/>
          <w:szCs w:val="20"/>
        </w:rPr>
        <w:footnoteReference w:id="11"/>
      </w:r>
      <w:r w:rsidRPr="003F046B">
        <w:t xml:space="preserve"> продължиха да нарастват устойчиво и през </w:t>
      </w:r>
      <w:r w:rsidR="007A2D4F" w:rsidRPr="0027234E">
        <w:t>2015</w:t>
      </w:r>
      <w:r w:rsidR="007A2D4F">
        <w:t> </w:t>
      </w:r>
      <w:r w:rsidR="007A2D4F" w:rsidRPr="0027234E">
        <w:t>г</w:t>
      </w:r>
      <w:r w:rsidR="007A2D4F">
        <w:t>.</w:t>
      </w:r>
      <w:r w:rsidRPr="003F046B">
        <w:t xml:space="preserve"> Годишният им темп на растеж през първите 10 месеца на годината бе значително по-нисък спрямо същия период на предходната година, което се дължеше на базовия ефект от изключването на баланса на КТБ през ноември 2014 г. Въпреки това, депозитите нарастваха на месечна база и след изчерпването на базовия ефект ръстът им достигна до 10,9 % в края на ноември. </w:t>
      </w:r>
      <w:r w:rsidR="004C1158">
        <w:t>Към края на</w:t>
      </w:r>
      <w:r w:rsidRPr="003F046B">
        <w:t xml:space="preserve"> 2015 г. общото им нарастване беше 8,2 % при почти равни приноси от страна на депозитите на домакинства и на нефинансови предприятия. Делът на депозитите в национална валута отбеляза леко повишение спрямо 2014 г. и от 58,9 % достигна 59,5 % в края на 2015 г.  </w:t>
      </w:r>
    </w:p>
    <w:p w:rsidR="003F046B" w:rsidRPr="003F046B" w:rsidRDefault="003F046B" w:rsidP="003F046B">
      <w:pPr>
        <w:ind w:firstLine="709"/>
        <w:jc w:val="both"/>
      </w:pPr>
      <w:r w:rsidRPr="003F046B">
        <w:t>Дългосрочната тенденция при лихвените проценти както при кредитите, така и при депозитите се запази в низходяща посока през 2015 г. Осезаем спад бе отбелязан при среднопретеглените лихвени проценти при ипотечните кредити и кредитите на нефинансови предприятия, които през ноември достигнаха най-ниската си стойност от 4,8</w:t>
      </w:r>
      <w:r w:rsidR="004C1158">
        <w:t>6</w:t>
      </w:r>
      <w:r w:rsidRPr="003F046B">
        <w:t xml:space="preserve"> %. В края на 2015 г. среднопретеглените лихвени проценти при ипотечните кредити бяха със 78 б.т. по-ниски спрямо година по-рано, а тези за корпоративния сектор със 133 б</w:t>
      </w:r>
      <w:r w:rsidR="004C1158">
        <w:t>азисни точки</w:t>
      </w:r>
      <w:r w:rsidRPr="003F046B">
        <w:t xml:space="preserve">. </w:t>
      </w:r>
    </w:p>
    <w:p w:rsidR="003F046B" w:rsidRPr="003F046B" w:rsidRDefault="003F046B" w:rsidP="003F046B">
      <w:pPr>
        <w:ind w:firstLine="709"/>
        <w:jc w:val="center"/>
        <w:rPr>
          <w:b/>
          <w:bCs/>
          <w:i/>
        </w:rPr>
      </w:pPr>
      <w:r w:rsidRPr="003F046B">
        <w:rPr>
          <w:b/>
          <w:bCs/>
          <w:i/>
        </w:rPr>
        <w:t>Лихвени проценти по депозити и кредити</w:t>
      </w:r>
    </w:p>
    <w:p w:rsidR="003F046B" w:rsidRPr="003F046B" w:rsidRDefault="00D37B0F" w:rsidP="003F046B">
      <w:pPr>
        <w:ind w:firstLine="709"/>
        <w:jc w:val="both"/>
        <w:rPr>
          <w:b/>
          <w:bCs/>
          <w:i/>
          <w:lang w:val="en-US"/>
        </w:rPr>
      </w:pPr>
      <w:r>
        <w:rPr>
          <w:noProof/>
        </w:rPr>
        <w:drawing>
          <wp:inline distT="0" distB="0" distL="0" distR="0" wp14:anchorId="7AD14F7D" wp14:editId="4AE35B2B">
            <wp:extent cx="4412615" cy="2386965"/>
            <wp:effectExtent l="0" t="0" r="26035" b="13335"/>
            <wp:docPr id="5" name="Picture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F046B" w:rsidRPr="00EC33FC" w:rsidRDefault="000F02EE" w:rsidP="00EC33FC">
      <w:pPr>
        <w:ind w:firstLine="709"/>
        <w:jc w:val="center"/>
        <w:rPr>
          <w:bCs/>
          <w:i/>
          <w:sz w:val="20"/>
          <w:szCs w:val="20"/>
        </w:rPr>
      </w:pPr>
      <w:r>
        <w:rPr>
          <w:bCs/>
          <w:i/>
          <w:sz w:val="20"/>
          <w:szCs w:val="20"/>
        </w:rPr>
        <w:t xml:space="preserve">                                                                     </w:t>
      </w:r>
      <w:r w:rsidR="003F046B" w:rsidRPr="00EC33FC">
        <w:rPr>
          <w:bCs/>
          <w:i/>
          <w:sz w:val="20"/>
          <w:szCs w:val="20"/>
        </w:rPr>
        <w:t>Източник: БНБ, МФ</w:t>
      </w:r>
    </w:p>
    <w:p w:rsidR="003F046B" w:rsidRPr="003F046B" w:rsidRDefault="003F046B" w:rsidP="003F046B">
      <w:pPr>
        <w:ind w:firstLine="709"/>
        <w:jc w:val="both"/>
      </w:pPr>
    </w:p>
    <w:p w:rsidR="004C4649" w:rsidRPr="008E4EE0" w:rsidRDefault="0029530C" w:rsidP="008E4EE0">
      <w:pPr>
        <w:pStyle w:val="Heading1"/>
        <w:numPr>
          <w:ilvl w:val="0"/>
          <w:numId w:val="3"/>
        </w:numPr>
        <w:jc w:val="left"/>
        <w:rPr>
          <w:color w:val="000000" w:themeColor="text1"/>
        </w:rPr>
      </w:pPr>
      <w:bookmarkStart w:id="50" w:name="_Toc462146095"/>
      <w:bookmarkStart w:id="51" w:name="_Toc324863387"/>
      <w:r w:rsidRPr="008E4EE0">
        <w:rPr>
          <w:color w:val="000000" w:themeColor="text1"/>
        </w:rPr>
        <w:t>Съпоставка на отчетните данни с допусканията и параметрите, заложени в макроикономическата прогноза по Закона за държавния бюджет на Република България за 2015 г.</w:t>
      </w:r>
      <w:bookmarkEnd w:id="50"/>
    </w:p>
    <w:bookmarkEnd w:id="51"/>
    <w:p w:rsidR="00666D9F" w:rsidRPr="0029530C" w:rsidRDefault="00666D9F" w:rsidP="005E255B">
      <w:pPr>
        <w:rPr>
          <w:color w:val="000000" w:themeColor="text1"/>
          <w:sz w:val="12"/>
          <w:szCs w:val="12"/>
          <w:lang w:eastAsia="en-US"/>
        </w:rPr>
      </w:pPr>
    </w:p>
    <w:p w:rsidR="0029530C" w:rsidRPr="00206818" w:rsidRDefault="0029530C" w:rsidP="0029530C">
      <w:pPr>
        <w:spacing w:after="120"/>
        <w:ind w:firstLine="709"/>
        <w:jc w:val="both"/>
        <w:rPr>
          <w:rFonts w:eastAsia="Calibri"/>
          <w:color w:val="000000" w:themeColor="text1"/>
          <w:lang w:eastAsia="en-US"/>
        </w:rPr>
      </w:pPr>
      <w:r w:rsidRPr="00875BA9">
        <w:rPr>
          <w:rFonts w:eastAsia="Calibri"/>
          <w:color w:val="000000" w:themeColor="text1"/>
          <w:lang w:eastAsia="en-US"/>
        </w:rPr>
        <w:t xml:space="preserve">През 2015 г. БВП нарасна с 3 % в реално изражение при очакван ръст от 0,8 %, който бе прогнозиран при изготвянето на държавния бюджет за 2015 г. Основен принос за отчетения по-висок растеж имаше </w:t>
      </w:r>
      <w:r w:rsidRPr="00EC33FC">
        <w:rPr>
          <w:rFonts w:eastAsia="Calibri"/>
          <w:color w:val="000000" w:themeColor="text1"/>
          <w:lang w:eastAsia="en-US"/>
        </w:rPr>
        <w:t>по-ускореното нарастване на износа</w:t>
      </w:r>
      <w:r w:rsidRPr="00EC33FC">
        <w:rPr>
          <w:rFonts w:eastAsia="Calibri"/>
          <w:color w:val="000000" w:themeColor="text1"/>
          <w:lang w:val="ru-RU" w:eastAsia="en-US"/>
        </w:rPr>
        <w:t>,</w:t>
      </w:r>
      <w:r w:rsidRPr="00875BA9" w:rsidDel="00AB2430">
        <w:rPr>
          <w:rFonts w:eastAsia="Calibri"/>
          <w:color w:val="000000" w:themeColor="text1"/>
          <w:lang w:eastAsia="en-US"/>
        </w:rPr>
        <w:t xml:space="preserve"> </w:t>
      </w:r>
      <w:r w:rsidRPr="00EC33FC">
        <w:rPr>
          <w:rFonts w:eastAsia="Calibri"/>
          <w:color w:val="000000" w:themeColor="text1"/>
          <w:lang w:eastAsia="en-US"/>
        </w:rPr>
        <w:t xml:space="preserve">подпомогнато от </w:t>
      </w:r>
      <w:r w:rsidRPr="00875BA9">
        <w:rPr>
          <w:rFonts w:eastAsia="Calibri"/>
          <w:color w:val="000000" w:themeColor="text1"/>
          <w:lang w:eastAsia="en-US"/>
        </w:rPr>
        <w:t>по-благоприятното от очакваното представяне на европейската икономика. Инвестициите също имаха по-висок положителен принос за растежа на БВП поради отчетеното повишение на публичните капиталови разходи, свързани с нарастването на изпл</w:t>
      </w:r>
      <w:r w:rsidRPr="00206818">
        <w:rPr>
          <w:rFonts w:eastAsia="Calibri"/>
          <w:color w:val="000000" w:themeColor="text1"/>
          <w:lang w:eastAsia="en-US"/>
        </w:rPr>
        <w:t xml:space="preserve">атените средства по оперативните програми на ЕС.  </w:t>
      </w:r>
    </w:p>
    <w:p w:rsidR="0029530C" w:rsidRPr="00875BA9" w:rsidRDefault="0029530C" w:rsidP="0029530C">
      <w:pPr>
        <w:spacing w:after="120"/>
        <w:ind w:firstLine="709"/>
        <w:jc w:val="both"/>
        <w:rPr>
          <w:rFonts w:eastAsia="Calibri"/>
          <w:color w:val="000000" w:themeColor="text1"/>
          <w:lang w:eastAsia="en-US"/>
        </w:rPr>
      </w:pPr>
      <w:r w:rsidRPr="00206818">
        <w:rPr>
          <w:rFonts w:eastAsia="Calibri"/>
          <w:color w:val="000000" w:themeColor="text1"/>
          <w:lang w:eastAsia="en-US"/>
        </w:rPr>
        <w:t xml:space="preserve">При изготвянето на макроикономическата прогноза за целите на Бюджет 2015 г. </w:t>
      </w:r>
      <w:r w:rsidRPr="00EC33FC">
        <w:rPr>
          <w:rFonts w:eastAsia="Calibri"/>
          <w:color w:val="000000" w:themeColor="text1"/>
          <w:lang w:eastAsia="en-US"/>
        </w:rPr>
        <w:t xml:space="preserve">бяха </w:t>
      </w:r>
      <w:r w:rsidRPr="00875BA9">
        <w:rPr>
          <w:rFonts w:eastAsia="Calibri"/>
          <w:color w:val="000000" w:themeColor="text1"/>
          <w:lang w:eastAsia="en-US"/>
        </w:rPr>
        <w:t xml:space="preserve">използвани налични данни за първото полугодие на 2014 г. Въпреки че, отчетеният растеж на БВП за 2014 г. </w:t>
      </w:r>
      <w:r w:rsidRPr="00EC33FC">
        <w:rPr>
          <w:rFonts w:eastAsia="Calibri"/>
          <w:color w:val="000000" w:themeColor="text1"/>
          <w:lang w:eastAsia="en-US"/>
        </w:rPr>
        <w:t xml:space="preserve">съвпадна </w:t>
      </w:r>
      <w:r w:rsidRPr="00875BA9">
        <w:rPr>
          <w:rFonts w:eastAsia="Calibri"/>
          <w:color w:val="000000" w:themeColor="text1"/>
          <w:lang w:eastAsia="en-US"/>
        </w:rPr>
        <w:t xml:space="preserve">с прогнозирания, в неговата структура имаше съществена разлика, която се отрази и в динамиката на компонентите на БВП през 2015 г. </w:t>
      </w:r>
    </w:p>
    <w:p w:rsidR="0029530C" w:rsidRPr="0029530C" w:rsidRDefault="0029530C" w:rsidP="0029530C">
      <w:pPr>
        <w:spacing w:after="120" w:line="276" w:lineRule="auto"/>
        <w:ind w:firstLine="709"/>
        <w:jc w:val="center"/>
        <w:rPr>
          <w:rFonts w:eastAsia="Calibri"/>
          <w:b/>
          <w:i/>
          <w:color w:val="000000" w:themeColor="text1"/>
          <w:lang w:eastAsia="en-US"/>
        </w:rPr>
      </w:pPr>
      <w:r w:rsidRPr="0029530C">
        <w:rPr>
          <w:rFonts w:eastAsia="Calibri"/>
          <w:b/>
          <w:i/>
          <w:color w:val="000000" w:themeColor="text1"/>
          <w:lang w:eastAsia="en-US"/>
        </w:rPr>
        <w:t>Външни допускания и основни макроикономически показатели на България  през 201</w:t>
      </w:r>
      <w:r w:rsidRPr="0029530C">
        <w:rPr>
          <w:rFonts w:eastAsia="Calibri"/>
          <w:b/>
          <w:i/>
          <w:color w:val="000000" w:themeColor="text1"/>
          <w:lang w:val="ru-RU" w:eastAsia="en-US"/>
        </w:rPr>
        <w:t>5</w:t>
      </w:r>
      <w:r w:rsidRPr="0029530C">
        <w:rPr>
          <w:rFonts w:eastAsia="Calibri"/>
          <w:b/>
          <w:i/>
          <w:color w:val="000000" w:themeColor="text1"/>
          <w:lang w:eastAsia="en-US"/>
        </w:rPr>
        <w:t xml:space="preserve"> г.</w:t>
      </w:r>
    </w:p>
    <w:tbl>
      <w:tblPr>
        <w:tblW w:w="7088" w:type="dxa"/>
        <w:tblInd w:w="779" w:type="dxa"/>
        <w:tblCellMar>
          <w:left w:w="70" w:type="dxa"/>
          <w:right w:w="70" w:type="dxa"/>
        </w:tblCellMar>
        <w:tblLook w:val="04A0" w:firstRow="1" w:lastRow="0" w:firstColumn="1" w:lastColumn="0" w:noHBand="0" w:noVBand="1"/>
      </w:tblPr>
      <w:tblGrid>
        <w:gridCol w:w="3686"/>
        <w:gridCol w:w="1031"/>
        <w:gridCol w:w="1237"/>
        <w:gridCol w:w="1134"/>
      </w:tblGrid>
      <w:tr w:rsidR="00AA30D2" w:rsidRPr="00AA30D2" w:rsidTr="0029530C">
        <w:trPr>
          <w:trHeight w:val="782"/>
        </w:trPr>
        <w:tc>
          <w:tcPr>
            <w:tcW w:w="3686" w:type="dxa"/>
            <w:tcBorders>
              <w:top w:val="double" w:sz="6" w:space="0" w:color="auto"/>
              <w:left w:val="double" w:sz="6" w:space="0" w:color="auto"/>
              <w:bottom w:val="single" w:sz="4" w:space="0" w:color="auto"/>
              <w:right w:val="single" w:sz="4" w:space="0" w:color="auto"/>
            </w:tcBorders>
            <w:shd w:val="clear" w:color="000000" w:fill="800000"/>
            <w:noWrap/>
            <w:hideMark/>
          </w:tcPr>
          <w:p w:rsidR="0029530C" w:rsidRPr="00EC33FC" w:rsidRDefault="0029530C" w:rsidP="0029530C">
            <w:pPr>
              <w:spacing w:before="100" w:beforeAutospacing="1" w:after="100" w:afterAutospacing="1"/>
              <w:jc w:val="center"/>
              <w:rPr>
                <w:b/>
                <w:bCs/>
                <w:color w:val="FFFFFF" w:themeColor="background1"/>
                <w:sz w:val="20"/>
                <w:szCs w:val="20"/>
              </w:rPr>
            </w:pPr>
            <w:r w:rsidRPr="00EC33FC">
              <w:rPr>
                <w:b/>
                <w:bCs/>
                <w:color w:val="FFFFFF" w:themeColor="background1"/>
                <w:sz w:val="20"/>
                <w:szCs w:val="20"/>
              </w:rPr>
              <w:t>Показатели</w:t>
            </w:r>
          </w:p>
        </w:tc>
        <w:tc>
          <w:tcPr>
            <w:tcW w:w="1031" w:type="dxa"/>
            <w:tcBorders>
              <w:top w:val="double" w:sz="6" w:space="0" w:color="auto"/>
              <w:left w:val="nil"/>
              <w:bottom w:val="single" w:sz="4" w:space="0" w:color="auto"/>
              <w:right w:val="single" w:sz="4" w:space="0" w:color="auto"/>
            </w:tcBorders>
            <w:shd w:val="clear" w:color="000000" w:fill="800000"/>
            <w:noWrap/>
            <w:hideMark/>
          </w:tcPr>
          <w:p w:rsidR="0029530C" w:rsidRPr="00EC33FC" w:rsidRDefault="0029530C" w:rsidP="0029530C">
            <w:pPr>
              <w:jc w:val="center"/>
              <w:rPr>
                <w:b/>
                <w:bCs/>
                <w:color w:val="FFFFFF" w:themeColor="background1"/>
                <w:sz w:val="20"/>
                <w:szCs w:val="20"/>
              </w:rPr>
            </w:pPr>
            <w:r w:rsidRPr="00EC33FC">
              <w:rPr>
                <w:b/>
                <w:bCs/>
                <w:color w:val="FFFFFF" w:themeColor="background1"/>
                <w:sz w:val="20"/>
                <w:szCs w:val="20"/>
              </w:rPr>
              <w:t> </w:t>
            </w:r>
          </w:p>
        </w:tc>
        <w:tc>
          <w:tcPr>
            <w:tcW w:w="1237" w:type="dxa"/>
            <w:tcBorders>
              <w:top w:val="double" w:sz="6" w:space="0" w:color="auto"/>
              <w:left w:val="nil"/>
              <w:bottom w:val="single" w:sz="4" w:space="0" w:color="auto"/>
              <w:right w:val="single" w:sz="4" w:space="0" w:color="auto"/>
            </w:tcBorders>
            <w:shd w:val="clear" w:color="000000" w:fill="800000"/>
            <w:hideMark/>
          </w:tcPr>
          <w:p w:rsidR="0029530C" w:rsidRPr="00EC33FC" w:rsidRDefault="0029530C" w:rsidP="0029530C">
            <w:pPr>
              <w:jc w:val="center"/>
              <w:rPr>
                <w:b/>
                <w:bCs/>
                <w:color w:val="FFFFFF" w:themeColor="background1"/>
                <w:sz w:val="20"/>
                <w:szCs w:val="20"/>
              </w:rPr>
            </w:pPr>
            <w:r w:rsidRPr="00EC33FC">
              <w:rPr>
                <w:b/>
                <w:bCs/>
                <w:color w:val="FFFFFF" w:themeColor="background1"/>
                <w:sz w:val="20"/>
                <w:szCs w:val="20"/>
              </w:rPr>
              <w:t>Бюджетна прогноза</w:t>
            </w:r>
          </w:p>
        </w:tc>
        <w:tc>
          <w:tcPr>
            <w:tcW w:w="1134" w:type="dxa"/>
            <w:tcBorders>
              <w:top w:val="double" w:sz="6" w:space="0" w:color="auto"/>
              <w:left w:val="nil"/>
              <w:bottom w:val="single" w:sz="4" w:space="0" w:color="auto"/>
              <w:right w:val="double" w:sz="6" w:space="0" w:color="auto"/>
            </w:tcBorders>
            <w:shd w:val="clear" w:color="000000" w:fill="800000"/>
            <w:noWrap/>
            <w:hideMark/>
          </w:tcPr>
          <w:p w:rsidR="0029530C" w:rsidRPr="00EC33FC" w:rsidRDefault="0029530C" w:rsidP="0029530C">
            <w:pPr>
              <w:jc w:val="center"/>
              <w:rPr>
                <w:b/>
                <w:bCs/>
                <w:color w:val="FFFFFF" w:themeColor="background1"/>
                <w:sz w:val="20"/>
                <w:szCs w:val="20"/>
              </w:rPr>
            </w:pPr>
            <w:r w:rsidRPr="00EC33FC">
              <w:rPr>
                <w:b/>
                <w:bCs/>
                <w:color w:val="FFFFFF" w:themeColor="background1"/>
                <w:sz w:val="20"/>
                <w:szCs w:val="20"/>
              </w:rPr>
              <w:t>Отчетни данни</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b/>
                <w:bCs/>
                <w:color w:val="000000" w:themeColor="text1"/>
                <w:sz w:val="20"/>
                <w:szCs w:val="20"/>
              </w:rPr>
            </w:pPr>
            <w:r w:rsidRPr="0029530C">
              <w:rPr>
                <w:b/>
                <w:bCs/>
                <w:color w:val="000000" w:themeColor="text1"/>
                <w:sz w:val="20"/>
                <w:szCs w:val="20"/>
              </w:rPr>
              <w:t>Международна среда</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w:t>
            </w:r>
          </w:p>
        </w:tc>
        <w:tc>
          <w:tcPr>
            <w:tcW w:w="1237"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jc w:val="right"/>
              <w:rPr>
                <w:color w:val="000000" w:themeColor="text1"/>
                <w:sz w:val="20"/>
                <w:szCs w:val="20"/>
              </w:rPr>
            </w:pPr>
            <w:r w:rsidRPr="0029530C">
              <w:rPr>
                <w:color w:val="000000" w:themeColor="text1"/>
                <w:sz w:val="20"/>
                <w:szCs w:val="20"/>
              </w:rPr>
              <w:t> </w:t>
            </w:r>
          </w:p>
        </w:tc>
        <w:tc>
          <w:tcPr>
            <w:tcW w:w="1134"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jc w:val="right"/>
              <w:rPr>
                <w:color w:val="000000" w:themeColor="text1"/>
                <w:sz w:val="20"/>
                <w:szCs w:val="20"/>
              </w:rPr>
            </w:pPr>
            <w:r w:rsidRPr="0029530C">
              <w:rPr>
                <w:color w:val="000000" w:themeColor="text1"/>
                <w:sz w:val="20"/>
                <w:szCs w:val="20"/>
              </w:rPr>
              <w:t> </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Растеж на световната икономика</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3,8</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lang w:val="en-US"/>
              </w:rPr>
            </w:pPr>
            <w:r w:rsidRPr="0029530C">
              <w:rPr>
                <w:color w:val="000000" w:themeColor="text1"/>
                <w:sz w:val="20"/>
                <w:szCs w:val="20"/>
                <w:lang w:val="en-US"/>
              </w:rPr>
              <w:t>3</w:t>
            </w:r>
            <w:r w:rsidRPr="0029530C">
              <w:rPr>
                <w:color w:val="000000" w:themeColor="text1"/>
                <w:sz w:val="20"/>
                <w:szCs w:val="20"/>
              </w:rPr>
              <w:t>,</w:t>
            </w:r>
            <w:r w:rsidRPr="0029530C">
              <w:rPr>
                <w:color w:val="000000" w:themeColor="text1"/>
                <w:sz w:val="20"/>
                <w:szCs w:val="20"/>
                <w:lang w:val="en-US"/>
              </w:rPr>
              <w:t>1</w:t>
            </w:r>
            <w:r w:rsidRPr="0029530C">
              <w:rPr>
                <w:color w:val="000000" w:themeColor="text1"/>
                <w:sz w:val="20"/>
                <w:szCs w:val="20"/>
                <w:vertAlign w:val="superscript"/>
                <w:lang w:val="en-US"/>
              </w:rPr>
              <w:footnoteReference w:id="12"/>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Растеж на икономиката на ЕС</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1,5</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875BA9" w:rsidP="00875BA9">
            <w:pPr>
              <w:jc w:val="right"/>
              <w:rPr>
                <w:color w:val="000000" w:themeColor="text1"/>
                <w:sz w:val="20"/>
                <w:szCs w:val="20"/>
                <w:lang w:val="en-US"/>
              </w:rPr>
            </w:pPr>
            <w:r>
              <w:rPr>
                <w:color w:val="000000" w:themeColor="text1"/>
                <w:sz w:val="20"/>
                <w:szCs w:val="20"/>
              </w:rPr>
              <w:t>2,0</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xml:space="preserve">Валутен курс </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лева/щ.д.</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lang w:val="en-US"/>
              </w:rPr>
            </w:pPr>
            <w:r w:rsidRPr="0029530C">
              <w:rPr>
                <w:color w:val="000000" w:themeColor="text1"/>
                <w:sz w:val="20"/>
                <w:szCs w:val="20"/>
              </w:rPr>
              <w:t>1,54</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lang w:val="en-US"/>
              </w:rPr>
            </w:pPr>
            <w:r w:rsidRPr="0029530C">
              <w:rPr>
                <w:color w:val="000000" w:themeColor="text1"/>
                <w:sz w:val="20"/>
                <w:szCs w:val="20"/>
              </w:rPr>
              <w:t>1,76</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xml:space="preserve">Цена на петрол „Брент“ </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щ.д./барел</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lang w:val="en-US"/>
              </w:rPr>
            </w:pPr>
            <w:r w:rsidRPr="0029530C">
              <w:rPr>
                <w:color w:val="000000" w:themeColor="text1"/>
                <w:sz w:val="20"/>
                <w:szCs w:val="20"/>
              </w:rPr>
              <w:t>91,</w:t>
            </w:r>
            <w:r w:rsidRPr="0029530C">
              <w:rPr>
                <w:color w:val="000000" w:themeColor="text1"/>
                <w:sz w:val="20"/>
                <w:szCs w:val="20"/>
                <w:lang w:val="en-US"/>
              </w:rPr>
              <w:t>0</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lang w:val="en-US"/>
              </w:rPr>
            </w:pPr>
            <w:r w:rsidRPr="0029530C">
              <w:rPr>
                <w:color w:val="000000" w:themeColor="text1"/>
                <w:sz w:val="20"/>
                <w:szCs w:val="20"/>
              </w:rPr>
              <w:t>52,</w:t>
            </w:r>
            <w:r w:rsidRPr="0029530C">
              <w:rPr>
                <w:color w:val="000000" w:themeColor="text1"/>
                <w:sz w:val="20"/>
                <w:szCs w:val="20"/>
                <w:lang w:val="en-US"/>
              </w:rPr>
              <w:t>4</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xml:space="preserve">Цена на неенергийни суровини </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щ.д., %</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-0,4</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875BA9">
            <w:pPr>
              <w:jc w:val="right"/>
              <w:rPr>
                <w:color w:val="000000" w:themeColor="text1"/>
                <w:sz w:val="20"/>
                <w:szCs w:val="20"/>
                <w:lang w:val="en-US"/>
              </w:rPr>
            </w:pPr>
            <w:r w:rsidRPr="0029530C">
              <w:rPr>
                <w:color w:val="000000" w:themeColor="text1"/>
                <w:sz w:val="20"/>
                <w:szCs w:val="20"/>
              </w:rPr>
              <w:t>-15,</w:t>
            </w:r>
            <w:r w:rsidR="00875BA9">
              <w:rPr>
                <w:color w:val="000000" w:themeColor="text1"/>
                <w:sz w:val="20"/>
                <w:szCs w:val="20"/>
              </w:rPr>
              <w:t>1</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b/>
                <w:bCs/>
                <w:color w:val="000000" w:themeColor="text1"/>
                <w:sz w:val="20"/>
                <w:szCs w:val="20"/>
              </w:rPr>
            </w:pPr>
            <w:r w:rsidRPr="0029530C">
              <w:rPr>
                <w:b/>
                <w:bCs/>
                <w:color w:val="000000" w:themeColor="text1"/>
                <w:sz w:val="20"/>
                <w:szCs w:val="20"/>
              </w:rPr>
              <w:t>Брутен вътрешен продукт</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БВП - текущи цени</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млн. лева</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82 406</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86 373</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БВП - реален растеж</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0,8</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3,0</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xml:space="preserve">   Потребление</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0,5</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0,7</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xml:space="preserve">   Бруто образуване на основен капитал</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0,1</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2,5</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xml:space="preserve">   Износ на стоки и услуги</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2,9</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7,6</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xml:space="preserve">   Внос на стоки и услуги</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2,3</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4,4</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b/>
                <w:bCs/>
                <w:color w:val="000000" w:themeColor="text1"/>
                <w:sz w:val="20"/>
                <w:szCs w:val="20"/>
              </w:rPr>
            </w:pPr>
            <w:r w:rsidRPr="0029530C">
              <w:rPr>
                <w:b/>
                <w:bCs/>
                <w:color w:val="000000" w:themeColor="text1"/>
                <w:sz w:val="20"/>
                <w:szCs w:val="20"/>
              </w:rPr>
              <w:t>Пазар на труда и цени</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xml:space="preserve">Заетост (СНС) </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-0,2</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0,4</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xml:space="preserve">Коефициент на безработица (НРС) </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11,7</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9,1</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Средногодишна инфлация (ХИПЦ)</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0,1</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-1,1</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b/>
                <w:bCs/>
                <w:color w:val="000000" w:themeColor="text1"/>
                <w:sz w:val="20"/>
                <w:szCs w:val="20"/>
              </w:rPr>
            </w:pPr>
            <w:r w:rsidRPr="0029530C">
              <w:rPr>
                <w:b/>
                <w:bCs/>
                <w:color w:val="000000" w:themeColor="text1"/>
                <w:sz w:val="20"/>
                <w:szCs w:val="20"/>
              </w:rPr>
              <w:t>Платежен баланс</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 </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Текуща сметка</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млн. евро</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765</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609</w:t>
            </w:r>
          </w:p>
        </w:tc>
      </w:tr>
      <w:tr w:rsidR="0029530C" w:rsidRPr="0029530C" w:rsidTr="0029530C">
        <w:trPr>
          <w:trHeight w:val="301"/>
        </w:trPr>
        <w:tc>
          <w:tcPr>
            <w:tcW w:w="3686" w:type="dxa"/>
            <w:tcBorders>
              <w:top w:val="nil"/>
              <w:left w:val="double" w:sz="6" w:space="0" w:color="auto"/>
              <w:bottom w:val="single" w:sz="4" w:space="0" w:color="auto"/>
              <w:right w:val="single" w:sz="4" w:space="0" w:color="auto"/>
            </w:tcBorders>
            <w:shd w:val="clear" w:color="000000" w:fill="FFFFCC"/>
            <w:noWrap/>
            <w:vAlign w:val="bottom"/>
            <w:hideMark/>
          </w:tcPr>
          <w:p w:rsidR="0029530C" w:rsidRPr="0029530C" w:rsidRDefault="0029530C" w:rsidP="0029530C">
            <w:pPr>
              <w:ind w:left="708"/>
              <w:rPr>
                <w:color w:val="000000" w:themeColor="text1"/>
                <w:sz w:val="20"/>
                <w:szCs w:val="20"/>
              </w:rPr>
            </w:pPr>
            <w:r w:rsidRPr="0029530C">
              <w:rPr>
                <w:color w:val="000000" w:themeColor="text1"/>
                <w:sz w:val="20"/>
                <w:szCs w:val="20"/>
              </w:rPr>
              <w:t>в процент от БВП</w:t>
            </w:r>
          </w:p>
        </w:tc>
        <w:tc>
          <w:tcPr>
            <w:tcW w:w="1031" w:type="dxa"/>
            <w:tcBorders>
              <w:top w:val="nil"/>
              <w:left w:val="nil"/>
              <w:bottom w:val="single" w:sz="4" w:space="0" w:color="auto"/>
              <w:right w:val="single" w:sz="4" w:space="0" w:color="auto"/>
            </w:tcBorders>
            <w:shd w:val="clear" w:color="000000" w:fill="FFFFCC"/>
            <w:noWrap/>
            <w:vAlign w:val="bottom"/>
            <w:hideMark/>
          </w:tcPr>
          <w:p w:rsidR="0029530C" w:rsidRPr="0029530C" w:rsidRDefault="0029530C" w:rsidP="0029530C">
            <w:pPr>
              <w:rPr>
                <w:color w:val="000000" w:themeColor="text1"/>
                <w:sz w:val="20"/>
                <w:szCs w:val="20"/>
              </w:rPr>
            </w:pPr>
            <w:r w:rsidRPr="0029530C">
              <w:rPr>
                <w:color w:val="000000" w:themeColor="text1"/>
                <w:sz w:val="20"/>
                <w:szCs w:val="20"/>
              </w:rPr>
              <w:t>процент</w:t>
            </w:r>
          </w:p>
        </w:tc>
        <w:tc>
          <w:tcPr>
            <w:tcW w:w="1237"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1,8</w:t>
            </w:r>
          </w:p>
        </w:tc>
        <w:tc>
          <w:tcPr>
            <w:tcW w:w="1134" w:type="dxa"/>
            <w:tcBorders>
              <w:top w:val="nil"/>
              <w:left w:val="nil"/>
              <w:bottom w:val="single" w:sz="4" w:space="0" w:color="auto"/>
              <w:right w:val="single" w:sz="4" w:space="0" w:color="auto"/>
            </w:tcBorders>
            <w:shd w:val="clear" w:color="000000" w:fill="FFFFCC"/>
            <w:noWrap/>
            <w:vAlign w:val="bottom"/>
          </w:tcPr>
          <w:p w:rsidR="0029530C" w:rsidRPr="0029530C" w:rsidRDefault="0029530C" w:rsidP="0029530C">
            <w:pPr>
              <w:jc w:val="right"/>
              <w:rPr>
                <w:color w:val="000000" w:themeColor="text1"/>
                <w:sz w:val="20"/>
                <w:szCs w:val="20"/>
              </w:rPr>
            </w:pPr>
            <w:r w:rsidRPr="0029530C">
              <w:rPr>
                <w:color w:val="000000" w:themeColor="text1"/>
                <w:sz w:val="20"/>
                <w:szCs w:val="20"/>
              </w:rPr>
              <w:t>1,4</w:t>
            </w:r>
          </w:p>
        </w:tc>
      </w:tr>
    </w:tbl>
    <w:p w:rsidR="0029530C" w:rsidRPr="0029530C" w:rsidRDefault="0029530C" w:rsidP="0029530C">
      <w:pPr>
        <w:spacing w:after="200" w:line="276" w:lineRule="auto"/>
        <w:jc w:val="both"/>
        <w:rPr>
          <w:rFonts w:eastAsia="Calibri"/>
          <w:color w:val="000000" w:themeColor="text1"/>
          <w:sz w:val="20"/>
          <w:szCs w:val="20"/>
          <w:lang w:val="ru-RU" w:eastAsia="en-US"/>
        </w:rPr>
      </w:pPr>
      <w:r w:rsidRPr="0029530C">
        <w:rPr>
          <w:rFonts w:ascii="Calibri" w:eastAsia="Calibri" w:hAnsi="Calibri"/>
          <w:color w:val="000000" w:themeColor="text1"/>
          <w:sz w:val="22"/>
          <w:szCs w:val="22"/>
          <w:lang w:eastAsia="en-US"/>
        </w:rPr>
        <w:tab/>
      </w:r>
      <w:r w:rsidRPr="0029530C">
        <w:rPr>
          <w:rFonts w:ascii="Calibri" w:eastAsia="Calibri" w:hAnsi="Calibri"/>
          <w:color w:val="000000" w:themeColor="text1"/>
          <w:sz w:val="22"/>
          <w:szCs w:val="22"/>
          <w:lang w:eastAsia="en-US"/>
        </w:rPr>
        <w:tab/>
      </w:r>
      <w:r w:rsidRPr="0029530C">
        <w:rPr>
          <w:rFonts w:ascii="Calibri" w:eastAsia="Calibri" w:hAnsi="Calibri"/>
          <w:color w:val="000000" w:themeColor="text1"/>
          <w:sz w:val="22"/>
          <w:szCs w:val="22"/>
          <w:lang w:eastAsia="en-US"/>
        </w:rPr>
        <w:tab/>
      </w:r>
      <w:r w:rsidRPr="0029530C">
        <w:rPr>
          <w:rFonts w:ascii="Calibri" w:eastAsia="Calibri" w:hAnsi="Calibri"/>
          <w:color w:val="000000" w:themeColor="text1"/>
          <w:sz w:val="22"/>
          <w:szCs w:val="22"/>
          <w:lang w:eastAsia="en-US"/>
        </w:rPr>
        <w:tab/>
      </w:r>
      <w:r w:rsidRPr="0029530C">
        <w:rPr>
          <w:rFonts w:ascii="Calibri" w:eastAsia="Calibri" w:hAnsi="Calibri"/>
          <w:color w:val="000000" w:themeColor="text1"/>
          <w:sz w:val="22"/>
          <w:szCs w:val="22"/>
          <w:lang w:eastAsia="en-US"/>
        </w:rPr>
        <w:tab/>
      </w:r>
      <w:r w:rsidRPr="0029530C">
        <w:rPr>
          <w:rFonts w:eastAsia="Calibri"/>
          <w:color w:val="000000" w:themeColor="text1"/>
          <w:sz w:val="22"/>
          <w:szCs w:val="22"/>
          <w:lang w:eastAsia="en-US"/>
        </w:rPr>
        <w:t xml:space="preserve">        </w:t>
      </w:r>
      <w:r w:rsidRPr="0029530C">
        <w:rPr>
          <w:rFonts w:eastAsia="Calibri"/>
          <w:color w:val="000000" w:themeColor="text1"/>
          <w:sz w:val="20"/>
          <w:szCs w:val="20"/>
          <w:lang w:eastAsia="en-US"/>
        </w:rPr>
        <w:t>Източник: НСИ, БНБ, МФ, Евростат, МВФ, СБ</w:t>
      </w:r>
    </w:p>
    <w:p w:rsidR="0029530C" w:rsidRPr="0029530C" w:rsidRDefault="0029530C" w:rsidP="0029530C">
      <w:pPr>
        <w:spacing w:after="120"/>
        <w:ind w:firstLine="709"/>
        <w:jc w:val="both"/>
        <w:rPr>
          <w:rFonts w:eastAsia="Calibri"/>
          <w:color w:val="000000" w:themeColor="text1"/>
          <w:lang w:val="ru-RU" w:eastAsia="en-US"/>
        </w:rPr>
      </w:pPr>
      <w:r w:rsidRPr="0029530C">
        <w:rPr>
          <w:rFonts w:eastAsia="Calibri"/>
          <w:color w:val="000000" w:themeColor="text1"/>
          <w:lang w:eastAsia="en-US"/>
        </w:rPr>
        <w:t xml:space="preserve">При изготвяне на прогнозата за инфлацията през 2015 г. се очакваше спадът на потребителските цени в страната да се забави съществено и те да отчетат положително изменение както в края на годината, така и средно за периода. При допускане за умерен </w:t>
      </w:r>
      <w:r w:rsidRPr="0029530C">
        <w:rPr>
          <w:rFonts w:eastAsia="Calibri"/>
          <w:color w:val="000000" w:themeColor="text1"/>
          <w:lang w:eastAsia="en-US"/>
        </w:rPr>
        <w:lastRenderedPageBreak/>
        <w:t>спад в цената на петрола сорт „Брент“, цената на суровината обаче следваше ускорена низходяща тенденция. Спадът й средно за годината възлезе на 47 % в доларово изражение, при очаквано понижение от 11,3 %, а прогнозата за изменението в цените на транспортните горива имаше най-голям принос за разликата между прогнозните и реално отчетените данни за инфлацията през периода. При международните цени на неенергийните суровини също бе очакван по-малък спад от отчетения, но ефектът от това до голяма степен бе компенсиран от по-ускореното поевтиняване на еврото спрямо долара. В тази връзка бе и разминаването при прогнозата за ценовата динамика на храните, които поскъпнаха при очаквано поевтиняване средно за годината.</w:t>
      </w:r>
    </w:p>
    <w:p w:rsidR="004C4649" w:rsidRPr="0029530C" w:rsidRDefault="0029530C" w:rsidP="0029530C">
      <w:pPr>
        <w:keepNext/>
        <w:spacing w:after="120"/>
        <w:ind w:firstLine="709"/>
        <w:jc w:val="both"/>
        <w:rPr>
          <w:color w:val="000000" w:themeColor="text1"/>
        </w:rPr>
      </w:pPr>
      <w:r w:rsidRPr="0029530C">
        <w:rPr>
          <w:rFonts w:eastAsia="Calibri"/>
          <w:color w:val="000000" w:themeColor="text1"/>
          <w:lang w:eastAsia="en-US"/>
        </w:rPr>
        <w:t>През 2015 г. основните показатели на пазара на труда се характеризираха със съществено подобрение спрямо стойностите, заложени в ЗДБРБ за 2015 г. В условията на ускорена икономическа активност броят на заетите се повиши с 0,4 % и надвиши очаквания темп на изменение от -0,2 %. Заедно с това, нивото на безработица се понижи до 9,1 % и също бе по-благоприятно от залегналата стойност в бюджета от 11,7 %. Отчетените различия между отчетната и очакваната стойност при коефициента на безработица бяха обусловени, както от нарасналото търсене на труд в икономиката, така и от по-високото от очакваното намаление на работната сила. По отношение на динамиката на компенсациите на наетите лица, заложена в бюджета за предходната година не се наблюдаваха съществени различия в сравнение с отчетните данни за 2015 г.</w:t>
      </w:r>
    </w:p>
    <w:p w:rsidR="00666D9F" w:rsidRPr="001F6421" w:rsidRDefault="00666D9F" w:rsidP="00097254">
      <w:pPr>
        <w:tabs>
          <w:tab w:val="left" w:pos="720"/>
        </w:tabs>
        <w:ind w:firstLine="540"/>
        <w:jc w:val="both"/>
        <w:rPr>
          <w:color w:val="0070C0"/>
          <w:sz w:val="12"/>
          <w:szCs w:val="12"/>
        </w:rPr>
      </w:pPr>
    </w:p>
    <w:p w:rsidR="009A5820" w:rsidRPr="00EC33FC" w:rsidRDefault="009A5820" w:rsidP="00EC33FC">
      <w:pPr>
        <w:pStyle w:val="Heading1"/>
        <w:numPr>
          <w:ilvl w:val="0"/>
          <w:numId w:val="3"/>
        </w:numPr>
        <w:jc w:val="left"/>
        <w:rPr>
          <w:b w:val="0"/>
          <w:bCs w:val="0"/>
          <w:color w:val="000000" w:themeColor="text1"/>
        </w:rPr>
      </w:pPr>
      <w:bookmarkStart w:id="52" w:name="_Toc462146096"/>
      <w:bookmarkStart w:id="53" w:name="_Toc261276556"/>
      <w:bookmarkStart w:id="54" w:name="_Toc324863388"/>
      <w:r w:rsidRPr="00EC33FC">
        <w:rPr>
          <w:color w:val="000000" w:themeColor="text1"/>
        </w:rPr>
        <w:t>Въздействие на политиката по доходите и разходните политики на правителството върху развитието на националната икономика</w:t>
      </w:r>
      <w:bookmarkEnd w:id="52"/>
    </w:p>
    <w:bookmarkEnd w:id="53"/>
    <w:bookmarkEnd w:id="54"/>
    <w:p w:rsidR="00666D9F" w:rsidRPr="001F6421" w:rsidRDefault="00666D9F" w:rsidP="005E255B">
      <w:pPr>
        <w:rPr>
          <w:color w:val="0070C0"/>
          <w:sz w:val="12"/>
          <w:szCs w:val="12"/>
          <w:lang w:eastAsia="en-US"/>
        </w:rPr>
      </w:pPr>
    </w:p>
    <w:p w:rsidR="003F50A7" w:rsidRPr="00CC7942" w:rsidRDefault="003F50A7" w:rsidP="003F50A7">
      <w:pPr>
        <w:spacing w:after="120"/>
        <w:ind w:firstLine="709"/>
        <w:contextualSpacing/>
        <w:jc w:val="both"/>
        <w:rPr>
          <w:rFonts w:eastAsia="Calibri"/>
          <w:color w:val="000000"/>
          <w:lang w:eastAsia="en-US"/>
        </w:rPr>
      </w:pPr>
      <w:r w:rsidRPr="00CC7942">
        <w:rPr>
          <w:rFonts w:eastAsia="Calibri"/>
          <w:color w:val="000000"/>
          <w:lang w:eastAsia="en-US"/>
        </w:rPr>
        <w:t>Данъчната политика, провеждана от Министерството на финансите през 2015 г., беше ориентирана към създаване на ефективна данъчна система, предоставяща макроикономическа и бюджетна стабилност в средносрочен и дългосрочен план, осигуряването на необходимия финансов ресурс за изпълнение на фискалната политика на правителството, както и подобряване на бизнес средата, с цел стимулиране на икономическия растеж и заетостта.</w:t>
      </w:r>
    </w:p>
    <w:p w:rsidR="003F50A7" w:rsidRPr="00CC7942" w:rsidRDefault="003F50A7" w:rsidP="003F50A7">
      <w:pPr>
        <w:spacing w:after="120"/>
        <w:ind w:firstLine="709"/>
        <w:contextualSpacing/>
        <w:jc w:val="both"/>
        <w:rPr>
          <w:rFonts w:eastAsia="Calibri"/>
          <w:color w:val="000000"/>
          <w:lang w:eastAsia="en-US"/>
        </w:rPr>
      </w:pPr>
      <w:r w:rsidRPr="00CC7942">
        <w:rPr>
          <w:rFonts w:eastAsia="Calibri"/>
          <w:color w:val="000000"/>
          <w:lang w:eastAsia="en-US"/>
        </w:rPr>
        <w:t>Основните цели бяха свързани с провеждането на политика, насочена към повишаване на бюджетните приходи и намаляване на дела на сенчестата икономика. Други стратегически цели бяха формулирани в областта на борбата с данъчните измами и укриването на данъци, както и с намаляването на административната тежест и разходите за бизнеса и гражданите.</w:t>
      </w:r>
    </w:p>
    <w:p w:rsidR="003F50A7" w:rsidRPr="00CC7942" w:rsidRDefault="003F50A7" w:rsidP="003F50A7">
      <w:pPr>
        <w:spacing w:after="120"/>
        <w:ind w:firstLine="709"/>
        <w:contextualSpacing/>
        <w:jc w:val="both"/>
        <w:rPr>
          <w:rFonts w:eastAsia="Calibri"/>
          <w:color w:val="000000"/>
          <w:lang w:eastAsia="en-US"/>
        </w:rPr>
      </w:pPr>
      <w:r w:rsidRPr="00CC7942">
        <w:rPr>
          <w:rFonts w:eastAsia="Calibri"/>
          <w:color w:val="000000"/>
          <w:lang w:eastAsia="en-US"/>
        </w:rPr>
        <w:t xml:space="preserve">Приоритетите на данъчната политика кореспондират с направените от Съвета </w:t>
      </w:r>
      <w:r w:rsidR="00BC350C">
        <w:rPr>
          <w:rFonts w:eastAsia="Calibri"/>
          <w:color w:val="000000"/>
          <w:lang w:eastAsia="en-US"/>
        </w:rPr>
        <w:t xml:space="preserve">на Европейския съюз </w:t>
      </w:r>
      <w:r w:rsidRPr="00CC7942">
        <w:rPr>
          <w:rFonts w:eastAsia="Calibri"/>
          <w:color w:val="000000"/>
          <w:lang w:eastAsia="en-US"/>
        </w:rPr>
        <w:t>през 2014 г. и 2015 г. специфични препоръки към България, а именно:</w:t>
      </w:r>
    </w:p>
    <w:p w:rsidR="003F50A7" w:rsidRPr="00CC7942" w:rsidRDefault="003F50A7" w:rsidP="003F50A7">
      <w:pPr>
        <w:spacing w:after="120"/>
        <w:ind w:firstLine="709"/>
        <w:contextualSpacing/>
        <w:jc w:val="both"/>
        <w:rPr>
          <w:rFonts w:eastAsia="Calibri"/>
          <w:color w:val="000000"/>
          <w:lang w:eastAsia="en-US"/>
        </w:rPr>
      </w:pPr>
      <w:r w:rsidRPr="00CC7942">
        <w:rPr>
          <w:rFonts w:eastAsia="Calibri"/>
          <w:color w:val="000000"/>
          <w:lang w:eastAsia="en-US"/>
        </w:rPr>
        <w:t>-</w:t>
      </w:r>
      <w:r w:rsidRPr="00CC7942">
        <w:rPr>
          <w:rFonts w:eastAsia="Calibri"/>
          <w:color w:val="000000"/>
          <w:lang w:eastAsia="en-US"/>
        </w:rPr>
        <w:tab/>
        <w:t xml:space="preserve">повишаване на събираемостта на данъците и борба със сенчестата икономика; </w:t>
      </w:r>
    </w:p>
    <w:p w:rsidR="003F50A7" w:rsidRPr="00CC7942" w:rsidRDefault="003F50A7" w:rsidP="003F50A7">
      <w:pPr>
        <w:spacing w:after="120"/>
        <w:ind w:firstLine="709"/>
        <w:contextualSpacing/>
        <w:jc w:val="both"/>
        <w:rPr>
          <w:rFonts w:eastAsia="Calibri"/>
          <w:color w:val="000000"/>
          <w:lang w:eastAsia="en-US"/>
        </w:rPr>
      </w:pPr>
      <w:r w:rsidRPr="00CC7942">
        <w:rPr>
          <w:rFonts w:eastAsia="Calibri"/>
          <w:color w:val="000000"/>
          <w:lang w:eastAsia="en-US"/>
        </w:rPr>
        <w:t>-</w:t>
      </w:r>
      <w:r w:rsidRPr="00CC7942">
        <w:rPr>
          <w:rFonts w:eastAsia="Calibri"/>
          <w:color w:val="000000"/>
          <w:lang w:eastAsia="en-US"/>
        </w:rPr>
        <w:tab/>
        <w:t>намаляване на административната тежест и разходите за бизнеса и гражданите.</w:t>
      </w:r>
    </w:p>
    <w:p w:rsidR="003F50A7" w:rsidRPr="00CC7942" w:rsidRDefault="003F50A7" w:rsidP="003F50A7">
      <w:pPr>
        <w:spacing w:after="120"/>
        <w:ind w:firstLine="709"/>
        <w:contextualSpacing/>
        <w:jc w:val="both"/>
        <w:rPr>
          <w:rFonts w:eastAsia="Calibri"/>
          <w:color w:val="000000"/>
          <w:lang w:eastAsia="en-US"/>
        </w:rPr>
      </w:pPr>
      <w:r w:rsidRPr="00CC7942">
        <w:rPr>
          <w:rFonts w:eastAsia="Calibri"/>
          <w:color w:val="000000"/>
          <w:lang w:eastAsia="en-US"/>
        </w:rPr>
        <w:t xml:space="preserve">С оглед реализиране на посочените цели през 2015 г. бяха приети законови промени и осъществени действия от приходните администрации в областта на събирането и контрола. В допълнение към това и за изпълнение на заложения в актуализацията на Националната програма за реформи за 2015 г. ангажимент за изготвяне и приемане на единен стратегически документ, беше изготвена и приета от Министерския съвет Единна национална стратегия за повишаване на събираемостта на приходите, справяне със сенчестата икономика и намаляване на разходите за спазване на законодателството 2015 - 2017 г. (ЕНС 2015 - 2017) и на План за действие към нея (РМС № 806 от 15.10.2015 г.). Основната цел на Стратегията е да се подобри спазването на законодателството, да се защити фискалната стабилност на страната и да осигури равнопоставеност и конкурентноспособност на всички икономически субекти, като се набележат мерки и </w:t>
      </w:r>
      <w:r w:rsidRPr="00CC7942">
        <w:rPr>
          <w:rFonts w:eastAsia="Calibri"/>
          <w:color w:val="000000"/>
          <w:lang w:eastAsia="en-US"/>
        </w:rPr>
        <w:lastRenderedPageBreak/>
        <w:t>осъществят дейности, които ще доведат до увеличаване на приходите от данъци, осигурителни вноски и такси, чрез по-висока ефективност при тяхното администриране и предотвратяване на възможностите за укриването им, както и стимулиране на доброволното изпълнение. Включените в Стратегията мерки задълбочават междуинституционалната координация и сътрудничество и засилват оценката на риска, одита и капацитета в областта на информационните технологии на администрацията.</w:t>
      </w:r>
    </w:p>
    <w:p w:rsidR="003F50A7" w:rsidRPr="00CC7942" w:rsidRDefault="003F50A7" w:rsidP="003F50A7">
      <w:pPr>
        <w:spacing w:after="120"/>
        <w:ind w:firstLine="709"/>
        <w:contextualSpacing/>
        <w:jc w:val="both"/>
        <w:rPr>
          <w:rFonts w:eastAsia="Calibri"/>
          <w:color w:val="000000"/>
          <w:lang w:eastAsia="en-US"/>
        </w:rPr>
      </w:pPr>
      <w:r w:rsidRPr="00CC7942">
        <w:rPr>
          <w:rFonts w:eastAsia="Calibri"/>
          <w:color w:val="000000"/>
          <w:lang w:eastAsia="en-US"/>
        </w:rPr>
        <w:t>Сред приоритетите е и достигане на минималните нива на акцизните ставки в ЕС, в съответствие с договорения преходен период, като за периода 2015-2017 г. беше разчетено постепенно повишаване на акцизната ставка на цигарите.</w:t>
      </w:r>
    </w:p>
    <w:p w:rsidR="003F50A7" w:rsidRDefault="003F50A7" w:rsidP="003F50A7">
      <w:pPr>
        <w:spacing w:after="120"/>
        <w:ind w:firstLine="709"/>
        <w:contextualSpacing/>
        <w:jc w:val="both"/>
        <w:rPr>
          <w:rFonts w:eastAsia="Calibri"/>
          <w:color w:val="000000"/>
          <w:lang w:eastAsia="en-US"/>
        </w:rPr>
      </w:pPr>
      <w:r w:rsidRPr="00CC7942">
        <w:rPr>
          <w:rFonts w:eastAsia="Calibri"/>
          <w:color w:val="000000"/>
          <w:lang w:eastAsia="en-US"/>
        </w:rPr>
        <w:t>Развитието на данъчната политика за периода отговаря на изискванията на правото на Европейския съюз и международните договори, страна по които е Република България</w:t>
      </w:r>
      <w:r>
        <w:rPr>
          <w:rFonts w:eastAsia="Calibri"/>
          <w:color w:val="000000"/>
          <w:lang w:eastAsia="en-US"/>
        </w:rPr>
        <w:t>.</w:t>
      </w:r>
    </w:p>
    <w:p w:rsidR="0029530C" w:rsidRPr="0029530C" w:rsidRDefault="0029530C" w:rsidP="0029530C">
      <w:pPr>
        <w:spacing w:after="120"/>
        <w:ind w:firstLine="709"/>
        <w:contextualSpacing/>
        <w:jc w:val="both"/>
        <w:rPr>
          <w:rFonts w:eastAsia="Calibri"/>
          <w:color w:val="000000"/>
          <w:lang w:eastAsia="en-US"/>
        </w:rPr>
      </w:pPr>
      <w:r w:rsidRPr="0029530C">
        <w:rPr>
          <w:rFonts w:eastAsia="Calibri"/>
          <w:color w:val="000000"/>
          <w:lang w:eastAsia="en-US"/>
        </w:rPr>
        <w:t>През 2015 г. размерът на минималната работна заплата (МРЗ) бе повишен до 360 лв. от месец януари и 380 лв. от месец юли като средногодишното увеличение на разглеждания показател възлезе на 8,8 % в номинално изражение. През разглеждания период динамиката на минималните доходи следваше повишението на средната работна заплата общо в икономиката (СРЗ). По този начин, отношението МРЗ/СРЗ не се измени спрямо предходната година (41,4 %) и неговата стойност остана съпоставима със средното за страните от ЕС ниво. Възходящата динамика на доходите в т.ч. минималната работна заплата беше съпроводена с повишено търсене на труд в икономиката.</w:t>
      </w:r>
    </w:p>
    <w:p w:rsidR="0029530C" w:rsidRPr="0029530C" w:rsidRDefault="0029530C" w:rsidP="0029530C">
      <w:pPr>
        <w:spacing w:after="120"/>
        <w:ind w:firstLine="709"/>
        <w:contextualSpacing/>
        <w:jc w:val="both"/>
        <w:rPr>
          <w:rFonts w:eastAsia="Calibri"/>
          <w:color w:val="000000"/>
          <w:lang w:eastAsia="en-US"/>
        </w:rPr>
      </w:pPr>
      <w:r w:rsidRPr="0029530C">
        <w:rPr>
          <w:rFonts w:eastAsia="Calibri"/>
          <w:color w:val="000000"/>
          <w:lang w:eastAsia="en-US"/>
        </w:rPr>
        <w:t>Капиталовите разходи по консолидираната фискална програма се увеличиха с 40 % спрямо 2014 г., което се дължеше в най-голяма степен на предприетите мерки за ускоряване на процеса по усвояване на средствата по Оперативните програми и фондове на ЕС. Нарастването на публичните инвестиции компенсира регистрирания спад на частните инвестиционни разходи през годината, като в</w:t>
      </w:r>
      <w:r w:rsidR="00BC350C">
        <w:rPr>
          <w:rFonts w:eastAsia="Calibri"/>
          <w:color w:val="000000"/>
          <w:lang w:eastAsia="en-US"/>
        </w:rPr>
        <w:t xml:space="preserve"> </w:t>
      </w:r>
      <w:r w:rsidRPr="0029530C">
        <w:rPr>
          <w:rFonts w:eastAsia="Calibri"/>
          <w:color w:val="000000"/>
          <w:lang w:eastAsia="en-US"/>
        </w:rPr>
        <w:t xml:space="preserve">следствие на това общото брутообразуване на основен капитал нарасна с 2,5 % в реално изражение, имайки положителен принос към растежа на БВП. </w:t>
      </w:r>
    </w:p>
    <w:p w:rsidR="00960BA9" w:rsidRPr="001F6421" w:rsidRDefault="0029530C" w:rsidP="0029530C">
      <w:pPr>
        <w:autoSpaceDE w:val="0"/>
        <w:autoSpaceDN w:val="0"/>
        <w:adjustRightInd w:val="0"/>
        <w:ind w:firstLine="720"/>
        <w:jc w:val="both"/>
        <w:rPr>
          <w:color w:val="0070C0"/>
        </w:rPr>
      </w:pPr>
      <w:r w:rsidRPr="0029530C">
        <w:rPr>
          <w:rFonts w:eastAsia="Calibri"/>
          <w:color w:val="000000"/>
          <w:lang w:eastAsia="en-US"/>
        </w:rPr>
        <w:t xml:space="preserve">При крайните потребителски разходи на правителството бе отчетено минимално нарастване и те имаха почти неутрален принос към растежа на БВП. Оптимизирането на разходите за труд в публичната администрация през годината доведе до ограничаване на растежа на заплатите и намалението на наетите лица в сектора. Индивидуалното правителствено потребление се увеличи с 0,2 % в реално изражение,  а колективното с 0,4 </w:t>
      </w:r>
      <w:r>
        <w:rPr>
          <w:rFonts w:eastAsia="Calibri"/>
          <w:color w:val="000000"/>
          <w:lang w:eastAsia="en-US"/>
        </w:rPr>
        <w:t>процента</w:t>
      </w:r>
      <w:r w:rsidRPr="0029530C">
        <w:rPr>
          <w:rFonts w:eastAsia="Calibri"/>
          <w:color w:val="000000"/>
          <w:lang w:eastAsia="en-US"/>
        </w:rPr>
        <w:t>.</w:t>
      </w:r>
    </w:p>
    <w:p w:rsidR="00567CEA" w:rsidRPr="001F6421" w:rsidRDefault="00567CEA" w:rsidP="00246730">
      <w:pPr>
        <w:autoSpaceDE w:val="0"/>
        <w:autoSpaceDN w:val="0"/>
        <w:adjustRightInd w:val="0"/>
        <w:ind w:firstLine="720"/>
        <w:jc w:val="both"/>
        <w:rPr>
          <w:color w:val="0070C0"/>
        </w:rPr>
      </w:pPr>
    </w:p>
    <w:p w:rsidR="00666D9F" w:rsidRPr="0029530C" w:rsidRDefault="00666D9F" w:rsidP="008E4EE0">
      <w:pPr>
        <w:pStyle w:val="Heading1"/>
        <w:numPr>
          <w:ilvl w:val="0"/>
          <w:numId w:val="3"/>
        </w:numPr>
        <w:jc w:val="left"/>
        <w:rPr>
          <w:color w:val="000000" w:themeColor="text1"/>
        </w:rPr>
      </w:pPr>
      <w:bookmarkStart w:id="55" w:name="_Toc324863389"/>
      <w:bookmarkStart w:id="56" w:name="_Toc462146097"/>
      <w:r w:rsidRPr="0029530C">
        <w:rPr>
          <w:color w:val="000000" w:themeColor="text1"/>
        </w:rPr>
        <w:t>Макроикономически ефект от усвояването на средства</w:t>
      </w:r>
      <w:bookmarkEnd w:id="55"/>
      <w:r w:rsidR="00567CEA" w:rsidRPr="0029530C">
        <w:rPr>
          <w:color w:val="000000" w:themeColor="text1"/>
        </w:rPr>
        <w:t>та по Оперативните програми на ЕС</w:t>
      </w:r>
      <w:bookmarkEnd w:id="56"/>
    </w:p>
    <w:p w:rsidR="00666D9F" w:rsidRPr="001F6421" w:rsidRDefault="00666D9F" w:rsidP="00321AE2">
      <w:pPr>
        <w:rPr>
          <w:color w:val="0070C0"/>
          <w:sz w:val="12"/>
          <w:szCs w:val="12"/>
          <w:lang w:val="ru-RU" w:eastAsia="en-US"/>
        </w:rPr>
      </w:pPr>
    </w:p>
    <w:p w:rsidR="00E41152" w:rsidRPr="00E41152" w:rsidRDefault="00E41152" w:rsidP="00E41152">
      <w:pPr>
        <w:pStyle w:val="Default"/>
        <w:ind w:firstLine="709"/>
        <w:jc w:val="both"/>
        <w:rPr>
          <w:rFonts w:ascii="Times New Roman" w:hAnsi="Times New Roman" w:cs="Times New Roman"/>
        </w:rPr>
      </w:pPr>
      <w:bookmarkStart w:id="57" w:name="_Toc136519946"/>
      <w:bookmarkStart w:id="58" w:name="_Toc136597714"/>
      <w:bookmarkStart w:id="59" w:name="_Toc136601617"/>
      <w:bookmarkStart w:id="60" w:name="_Toc166304014"/>
      <w:bookmarkStart w:id="61" w:name="_Toc166381574"/>
      <w:bookmarkStart w:id="62" w:name="_Toc167005089"/>
      <w:r w:rsidRPr="00E41152">
        <w:rPr>
          <w:rFonts w:ascii="Times New Roman" w:hAnsi="Times New Roman" w:cs="Times New Roman"/>
        </w:rPr>
        <w:t xml:space="preserve">Усвояването на средствата от Кохезионния </w:t>
      </w:r>
      <w:r w:rsidR="00BC350C">
        <w:rPr>
          <w:rFonts w:ascii="Times New Roman" w:hAnsi="Times New Roman" w:cs="Times New Roman"/>
        </w:rPr>
        <w:t xml:space="preserve">и </w:t>
      </w:r>
      <w:r w:rsidR="00BC350C" w:rsidRPr="00E41152">
        <w:rPr>
          <w:rFonts w:ascii="Times New Roman" w:hAnsi="Times New Roman" w:cs="Times New Roman"/>
        </w:rPr>
        <w:t xml:space="preserve">Структурните фондове </w:t>
      </w:r>
      <w:r w:rsidRPr="00E41152">
        <w:rPr>
          <w:rFonts w:ascii="Times New Roman" w:hAnsi="Times New Roman" w:cs="Times New Roman"/>
        </w:rPr>
        <w:t>на ЕС (СКФ) се подобри значително през 2015 г. Общата стойност на публичните</w:t>
      </w:r>
      <w:r w:rsidRPr="00E41152">
        <w:rPr>
          <w:rFonts w:ascii="Times New Roman" w:hAnsi="Times New Roman" w:cs="Times New Roman"/>
          <w:vertAlign w:val="superscript"/>
        </w:rPr>
        <w:footnoteReference w:id="13"/>
      </w:r>
      <w:r w:rsidRPr="00E41152">
        <w:rPr>
          <w:rFonts w:ascii="Times New Roman" w:hAnsi="Times New Roman" w:cs="Times New Roman"/>
        </w:rPr>
        <w:t xml:space="preserve"> средства по оперативните програми, разплатени през 2015 г., възлиза на 1,3 млрд. евро, което представлява около 17 % от бюджета на програмите, съфинансирани със средства от СКФ. </w:t>
      </w:r>
    </w:p>
    <w:p w:rsidR="00E41152" w:rsidRPr="00E41152" w:rsidRDefault="00E41152" w:rsidP="00E41152">
      <w:pPr>
        <w:pStyle w:val="Default"/>
        <w:ind w:firstLine="709"/>
        <w:jc w:val="both"/>
        <w:rPr>
          <w:rFonts w:ascii="Times New Roman" w:hAnsi="Times New Roman" w:cs="Times New Roman"/>
        </w:rPr>
      </w:pPr>
      <w:r w:rsidRPr="00E41152">
        <w:rPr>
          <w:rFonts w:ascii="Times New Roman" w:hAnsi="Times New Roman" w:cs="Times New Roman"/>
        </w:rPr>
        <w:t xml:space="preserve">Размерът на усвoените публични средства за периода януари 2007-декември 2015 г. възлиза на 7,4 млрд. евро или 94 % от общия бюджет на програмите. Най-голям е процентът на усвоените средства по ОП „Човешки ресурси“ (99 %), а най-нисък по ОП „Транспорт“ (87 %), като средният процент на изпълнение на Oперативните програми е 94 </w:t>
      </w:r>
      <w:r>
        <w:rPr>
          <w:rFonts w:ascii="Times New Roman" w:hAnsi="Times New Roman" w:cs="Times New Roman"/>
        </w:rPr>
        <w:t>процента</w:t>
      </w:r>
      <w:r w:rsidRPr="00E41152">
        <w:rPr>
          <w:rFonts w:ascii="Times New Roman" w:hAnsi="Times New Roman" w:cs="Times New Roman"/>
        </w:rPr>
        <w:t>.</w:t>
      </w:r>
    </w:p>
    <w:p w:rsidR="00E41152" w:rsidRPr="00E41152" w:rsidRDefault="00E41152" w:rsidP="00E41152">
      <w:pPr>
        <w:pStyle w:val="Default"/>
        <w:jc w:val="both"/>
        <w:rPr>
          <w:rFonts w:ascii="Times New Roman" w:hAnsi="Times New Roman" w:cs="Times New Roman"/>
          <w:lang w:val="ru-RU"/>
        </w:rPr>
      </w:pPr>
    </w:p>
    <w:p w:rsidR="00E41152" w:rsidRDefault="00D37B0F" w:rsidP="00E41152">
      <w:pPr>
        <w:pStyle w:val="Default"/>
        <w:jc w:val="both"/>
      </w:pPr>
      <w:r>
        <w:rPr>
          <w:noProof/>
        </w:rPr>
        <w:lastRenderedPageBreak/>
        <w:drawing>
          <wp:inline distT="0" distB="0" distL="0" distR="0" wp14:anchorId="0F2D604F" wp14:editId="5AD46873">
            <wp:extent cx="5736590" cy="3398520"/>
            <wp:effectExtent l="0" t="0" r="0" b="0"/>
            <wp:docPr id="6"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41152" w:rsidRPr="00EC33FC" w:rsidRDefault="00E41152" w:rsidP="00EC33FC">
      <w:pPr>
        <w:ind w:left="6381" w:firstLine="709"/>
        <w:jc w:val="center"/>
        <w:rPr>
          <w:i/>
          <w:sz w:val="20"/>
          <w:szCs w:val="20"/>
        </w:rPr>
      </w:pPr>
      <w:r w:rsidRPr="0087255A">
        <w:rPr>
          <w:i/>
          <w:sz w:val="16"/>
          <w:szCs w:val="16"/>
        </w:rPr>
        <w:t>*Вкл.национално съфинансиране</w:t>
      </w:r>
      <w:r w:rsidRPr="00BC350C">
        <w:rPr>
          <w:i/>
          <w:sz w:val="20"/>
          <w:szCs w:val="20"/>
        </w:rPr>
        <w:t>Източник: :МФ</w:t>
      </w:r>
    </w:p>
    <w:p w:rsidR="00E41152" w:rsidRPr="0087255A" w:rsidRDefault="00E41152" w:rsidP="00E41152">
      <w:pPr>
        <w:pStyle w:val="Default"/>
        <w:jc w:val="both"/>
        <w:rPr>
          <w:sz w:val="16"/>
          <w:szCs w:val="16"/>
        </w:rPr>
      </w:pPr>
    </w:p>
    <w:p w:rsidR="004F7F77" w:rsidRPr="00832B6E" w:rsidRDefault="00D37B0F" w:rsidP="00EC33FC">
      <w:pPr>
        <w:pStyle w:val="Default"/>
        <w:jc w:val="both"/>
        <w:rPr>
          <w:sz w:val="20"/>
          <w:szCs w:val="20"/>
        </w:rPr>
      </w:pPr>
      <w:r>
        <w:rPr>
          <w:noProof/>
        </w:rPr>
        <w:drawing>
          <wp:inline distT="0" distB="0" distL="0" distR="0" wp14:anchorId="21B7F4FF" wp14:editId="293E9FB9">
            <wp:extent cx="5762625" cy="3441700"/>
            <wp:effectExtent l="0" t="0" r="0" b="0"/>
            <wp:docPr id="7"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4F7F77" w:rsidRPr="00EC33FC">
        <w:rPr>
          <w:rFonts w:ascii="Times New Roman" w:hAnsi="Times New Roman" w:cs="Times New Roman"/>
          <w:sz w:val="20"/>
          <w:szCs w:val="20"/>
        </w:rPr>
        <w:t>*Вкл.национално съфинансиране</w:t>
      </w:r>
      <w:r w:rsidR="004F7F77">
        <w:t xml:space="preserve">                                                                          </w:t>
      </w:r>
    </w:p>
    <w:p w:rsidR="004F7F77" w:rsidRPr="00832B6E" w:rsidRDefault="004F7F77" w:rsidP="004F7F77">
      <w:pPr>
        <w:ind w:left="6381" w:firstLine="709"/>
        <w:jc w:val="center"/>
        <w:rPr>
          <w:i/>
          <w:sz w:val="20"/>
          <w:szCs w:val="20"/>
        </w:rPr>
      </w:pPr>
      <w:r w:rsidRPr="00BC350C">
        <w:rPr>
          <w:i/>
          <w:sz w:val="20"/>
          <w:szCs w:val="20"/>
        </w:rPr>
        <w:t>Източник: :МФ</w:t>
      </w:r>
    </w:p>
    <w:p w:rsidR="00E41152" w:rsidRPr="00E41152" w:rsidRDefault="00E41152" w:rsidP="00E41152">
      <w:pPr>
        <w:pStyle w:val="Default"/>
        <w:ind w:firstLine="709"/>
        <w:jc w:val="both"/>
        <w:rPr>
          <w:rFonts w:ascii="Times New Roman" w:hAnsi="Times New Roman" w:cs="Times New Roman"/>
        </w:rPr>
      </w:pPr>
      <w:r w:rsidRPr="00E41152">
        <w:rPr>
          <w:rFonts w:ascii="Times New Roman" w:hAnsi="Times New Roman" w:cs="Times New Roman"/>
        </w:rPr>
        <w:t>По изчисления на Министерството на финансите с данни от консолидираната фискална програма на страната за периода 2008-2015 г., средствата от ЕС</w:t>
      </w:r>
      <w:r w:rsidRPr="00E41152">
        <w:rPr>
          <w:rStyle w:val="FootnoteReference"/>
          <w:rFonts w:ascii="Times New Roman" w:hAnsi="Times New Roman"/>
        </w:rPr>
        <w:footnoteReference w:id="14"/>
      </w:r>
      <w:r w:rsidRPr="00E41152">
        <w:rPr>
          <w:rFonts w:ascii="Times New Roman" w:hAnsi="Times New Roman" w:cs="Times New Roman"/>
        </w:rPr>
        <w:t xml:space="preserve"> са финансирали около 50 % от всички дългосрочни капиталови инвестиции. При това през последните години има ясно изразена тенденция на нарастване на техния принос – от </w:t>
      </w:r>
      <w:r w:rsidR="00907496" w:rsidRPr="0027234E">
        <w:rPr>
          <w:rFonts w:ascii="Times New Roman" w:hAnsi="Times New Roman" w:cs="Times New Roman"/>
        </w:rPr>
        <w:t>11,6</w:t>
      </w:r>
      <w:r w:rsidR="00907496">
        <w:rPr>
          <w:rFonts w:ascii="Times New Roman" w:hAnsi="Times New Roman" w:cs="Times New Roman"/>
        </w:rPr>
        <w:t> </w:t>
      </w:r>
      <w:r w:rsidR="00907496" w:rsidRPr="0027234E">
        <w:rPr>
          <w:rFonts w:ascii="Times New Roman" w:hAnsi="Times New Roman" w:cs="Times New Roman"/>
        </w:rPr>
        <w:t xml:space="preserve">% </w:t>
      </w:r>
      <w:r w:rsidRPr="00E41152">
        <w:rPr>
          <w:rFonts w:ascii="Times New Roman" w:hAnsi="Times New Roman" w:cs="Times New Roman"/>
        </w:rPr>
        <w:t xml:space="preserve">през 2008 г. до 77 % през 2015 г. Макроикономическият ефект върху българската </w:t>
      </w:r>
      <w:r w:rsidRPr="00E41152">
        <w:rPr>
          <w:rFonts w:ascii="Times New Roman" w:hAnsi="Times New Roman" w:cs="Times New Roman"/>
        </w:rPr>
        <w:lastRenderedPageBreak/>
        <w:t xml:space="preserve">икономика от средствата по линия на Кохезионната политика на ЕС е оценен чрез иконометричния модел СИБИЛА, версия 2.0. Изчисленията показват, че </w:t>
      </w:r>
      <w:r w:rsidRPr="00E41152">
        <w:rPr>
          <w:rFonts w:ascii="Times New Roman" w:hAnsi="Times New Roman" w:cs="Times New Roman"/>
          <w:lang w:val="ru-RU"/>
        </w:rPr>
        <w:t xml:space="preserve"> </w:t>
      </w:r>
      <w:r w:rsidRPr="00E41152">
        <w:rPr>
          <w:rFonts w:ascii="Times New Roman" w:hAnsi="Times New Roman" w:cs="Times New Roman"/>
        </w:rPr>
        <w:t>около 95</w:t>
      </w:r>
      <w:r w:rsidR="004F7F77">
        <w:rPr>
          <w:rFonts w:ascii="Times New Roman" w:hAnsi="Times New Roman" w:cs="Times New Roman"/>
        </w:rPr>
        <w:t xml:space="preserve"> </w:t>
      </w:r>
      <w:r w:rsidRPr="00E41152">
        <w:rPr>
          <w:rFonts w:ascii="Times New Roman" w:hAnsi="Times New Roman" w:cs="Times New Roman"/>
        </w:rPr>
        <w:t xml:space="preserve">% от генерирания растеж за периода 2007-2015 г. се дължи на изпълнението на оперативните програми. Така, към края на 2015 г. нивото на реалния БВП е по-високо с 8,9 % от сценария без средства от СКФ. Средствата от СКФ са стимулирали и частните инвестиции, които са с 36,5 % по-високи спрямо базисния сценарий. Данните само за </w:t>
      </w:r>
      <w:r w:rsidR="003556D1" w:rsidRPr="0027234E">
        <w:rPr>
          <w:rFonts w:ascii="Times New Roman" w:hAnsi="Times New Roman" w:cs="Times New Roman"/>
        </w:rPr>
        <w:t>2015</w:t>
      </w:r>
      <w:r w:rsidR="003556D1">
        <w:rPr>
          <w:rFonts w:ascii="Times New Roman" w:hAnsi="Times New Roman" w:cs="Times New Roman"/>
        </w:rPr>
        <w:t> </w:t>
      </w:r>
      <w:r w:rsidRPr="00E41152">
        <w:rPr>
          <w:rFonts w:ascii="Times New Roman" w:hAnsi="Times New Roman" w:cs="Times New Roman"/>
        </w:rPr>
        <w:t xml:space="preserve">г. показват 0,9 % ефект върху БВП. </w:t>
      </w:r>
    </w:p>
    <w:p w:rsidR="00E41152" w:rsidRPr="00E41152" w:rsidRDefault="00E41152" w:rsidP="00E41152">
      <w:pPr>
        <w:pStyle w:val="Default"/>
        <w:ind w:firstLine="709"/>
        <w:jc w:val="both"/>
        <w:rPr>
          <w:rFonts w:ascii="Times New Roman" w:hAnsi="Times New Roman" w:cs="Times New Roman"/>
          <w:lang w:eastAsia="en-US"/>
        </w:rPr>
      </w:pPr>
      <w:r w:rsidRPr="00E41152">
        <w:rPr>
          <w:rFonts w:ascii="Times New Roman" w:hAnsi="Times New Roman" w:cs="Times New Roman"/>
        </w:rPr>
        <w:t>Структурните инструменти имат положително въздействие и върху пазара на труда, като за периода 2008 – 2015 г. са допринесли за нарастване в броя на заетите и значително намаляване на безработните лица. Към края на разглеждания период, коефициентът на безработицата би бил с 5</w:t>
      </w:r>
      <w:r w:rsidR="004F7F77">
        <w:rPr>
          <w:rFonts w:ascii="Times New Roman" w:hAnsi="Times New Roman" w:cs="Times New Roman"/>
        </w:rPr>
        <w:t>,</w:t>
      </w:r>
      <w:r w:rsidRPr="00E41152">
        <w:rPr>
          <w:rFonts w:ascii="Times New Roman" w:hAnsi="Times New Roman" w:cs="Times New Roman"/>
        </w:rPr>
        <w:t>2 п.п. по-висок в отсъствието на средствата от СКФ. СКФ са допринесли и за подобряване на конкурентните позиции на българската икономика, като нетният ефект от интервенциите върху износа за периода 2007-2015 г. е възлязъл на 2,8 %.</w:t>
      </w:r>
    </w:p>
    <w:p w:rsidR="00E41152" w:rsidRDefault="00E41152" w:rsidP="00E41152">
      <w:pPr>
        <w:spacing w:before="120"/>
        <w:ind w:firstLine="708"/>
        <w:jc w:val="both"/>
        <w:rPr>
          <w:rFonts w:eastAsia="Calibri"/>
          <w:color w:val="000000"/>
          <w:lang w:eastAsia="en-US"/>
        </w:rPr>
      </w:pPr>
    </w:p>
    <w:p w:rsidR="00666D9F" w:rsidRPr="001F6421" w:rsidRDefault="00666D9F" w:rsidP="00B04159">
      <w:pPr>
        <w:ind w:firstLine="720"/>
        <w:jc w:val="both"/>
        <w:rPr>
          <w:color w:val="0070C0"/>
          <w:sz w:val="8"/>
          <w:szCs w:val="8"/>
          <w:lang w:eastAsia="en-US"/>
        </w:rPr>
      </w:pPr>
    </w:p>
    <w:p w:rsidR="00666D9F" w:rsidRDefault="00666D9F" w:rsidP="005E207C">
      <w:pPr>
        <w:pStyle w:val="Heading1"/>
        <w:pageBreakBefore/>
        <w:rPr>
          <w:lang w:val="en-US"/>
        </w:rPr>
      </w:pPr>
      <w:bookmarkStart w:id="63" w:name="_Toc261276558"/>
      <w:bookmarkStart w:id="64" w:name="_Toc324863391"/>
      <w:bookmarkStart w:id="65" w:name="_Toc462146098"/>
      <w:r w:rsidRPr="00272671">
        <w:lastRenderedPageBreak/>
        <w:t>ІІ. ФИСКАЛНА ПОЛИТИКА</w:t>
      </w:r>
      <w:bookmarkEnd w:id="57"/>
      <w:bookmarkEnd w:id="58"/>
      <w:bookmarkEnd w:id="59"/>
      <w:bookmarkEnd w:id="60"/>
      <w:bookmarkEnd w:id="61"/>
      <w:bookmarkEnd w:id="62"/>
      <w:bookmarkEnd w:id="63"/>
      <w:bookmarkEnd w:id="64"/>
      <w:bookmarkEnd w:id="65"/>
    </w:p>
    <w:p w:rsidR="005E207C" w:rsidRPr="005E207C" w:rsidRDefault="005E207C" w:rsidP="005E207C">
      <w:pPr>
        <w:rPr>
          <w:lang w:val="en-US" w:eastAsia="en-US"/>
        </w:rPr>
      </w:pPr>
    </w:p>
    <w:p w:rsidR="00666D9F" w:rsidRPr="00272671" w:rsidRDefault="00666D9F" w:rsidP="00964429">
      <w:pPr>
        <w:jc w:val="center"/>
        <w:rPr>
          <w:b/>
          <w:bCs/>
          <w:sz w:val="12"/>
          <w:szCs w:val="12"/>
        </w:rPr>
      </w:pPr>
    </w:p>
    <w:p w:rsidR="00666D9F" w:rsidRPr="005E207C" w:rsidRDefault="00666D9F" w:rsidP="00781B85">
      <w:pPr>
        <w:keepNext/>
        <w:numPr>
          <w:ilvl w:val="0"/>
          <w:numId w:val="9"/>
        </w:numPr>
        <w:spacing w:after="120"/>
        <w:outlineLvl w:val="0"/>
        <w:rPr>
          <w:b/>
          <w:bCs/>
          <w:lang w:eastAsia="en-US"/>
        </w:rPr>
      </w:pPr>
      <w:bookmarkStart w:id="66" w:name="_Toc136519947"/>
      <w:bookmarkStart w:id="67" w:name="_Toc136597715"/>
      <w:bookmarkStart w:id="68" w:name="_Toc136601618"/>
      <w:bookmarkStart w:id="69" w:name="_Toc166304015"/>
      <w:bookmarkStart w:id="70" w:name="_Toc166381575"/>
      <w:bookmarkStart w:id="71" w:name="_Toc167005090"/>
      <w:bookmarkStart w:id="72" w:name="_Toc261276559"/>
      <w:bookmarkStart w:id="73" w:name="_Toc324863392"/>
      <w:bookmarkStart w:id="74" w:name="_Toc357527067"/>
      <w:bookmarkStart w:id="75" w:name="_Toc462146099"/>
      <w:bookmarkStart w:id="76" w:name="_Toc230007041"/>
      <w:bookmarkStart w:id="77" w:name="_Toc324863393"/>
      <w:r w:rsidRPr="00272671">
        <w:rPr>
          <w:b/>
          <w:bCs/>
          <w:lang w:eastAsia="en-US"/>
        </w:rPr>
        <w:t>Основни акценти по отношение на бюджетното изпълнение през 201</w:t>
      </w:r>
      <w:r w:rsidR="00272671" w:rsidRPr="00272671">
        <w:rPr>
          <w:b/>
          <w:bCs/>
          <w:lang w:val="en-US" w:eastAsia="en-US"/>
        </w:rPr>
        <w:t>5</w:t>
      </w:r>
      <w:r w:rsidRPr="00272671">
        <w:rPr>
          <w:b/>
          <w:bCs/>
          <w:lang w:eastAsia="en-US"/>
        </w:rPr>
        <w:t xml:space="preserve"> г.</w:t>
      </w:r>
      <w:bookmarkEnd w:id="66"/>
      <w:bookmarkEnd w:id="67"/>
      <w:bookmarkEnd w:id="68"/>
      <w:bookmarkEnd w:id="69"/>
      <w:bookmarkEnd w:id="70"/>
      <w:bookmarkEnd w:id="71"/>
      <w:bookmarkEnd w:id="72"/>
      <w:bookmarkEnd w:id="73"/>
      <w:bookmarkEnd w:id="74"/>
      <w:bookmarkEnd w:id="75"/>
    </w:p>
    <w:p w:rsidR="00272671" w:rsidRPr="00272671" w:rsidRDefault="00272671" w:rsidP="00272671">
      <w:pPr>
        <w:spacing w:after="120"/>
        <w:jc w:val="both"/>
        <w:rPr>
          <w:rFonts w:eastAsia="Batang"/>
        </w:rPr>
      </w:pPr>
      <w:bookmarkStart w:id="78" w:name="_Toc326165882"/>
      <w:bookmarkStart w:id="79" w:name="_Toc326165985"/>
      <w:bookmarkStart w:id="80" w:name="_Toc326226584"/>
      <w:bookmarkStart w:id="81" w:name="_Toc326165884"/>
      <w:bookmarkStart w:id="82" w:name="_Toc326165987"/>
      <w:bookmarkStart w:id="83" w:name="_Toc326226586"/>
      <w:bookmarkStart w:id="84" w:name="_Toc326165886"/>
      <w:bookmarkStart w:id="85" w:name="_Toc326165989"/>
      <w:bookmarkStart w:id="86" w:name="_Toc326226588"/>
      <w:bookmarkStart w:id="87" w:name="_Toc326165888"/>
      <w:bookmarkStart w:id="88" w:name="_Toc326165991"/>
      <w:bookmarkStart w:id="89" w:name="_Toc326226590"/>
      <w:bookmarkStart w:id="90" w:name="_Toc326165889"/>
      <w:bookmarkStart w:id="91" w:name="_Toc326165992"/>
      <w:bookmarkStart w:id="92" w:name="_Toc326226591"/>
      <w:bookmarkStart w:id="93" w:name="_Toc326165890"/>
      <w:bookmarkStart w:id="94" w:name="_Toc326165993"/>
      <w:bookmarkStart w:id="95" w:name="_Toc326226592"/>
      <w:bookmarkStart w:id="96" w:name="_Toc262637565"/>
      <w:bookmarkStart w:id="97" w:name="_Toc324863396"/>
      <w:bookmarkStart w:id="98" w:name="_Toc136519952"/>
      <w:bookmarkStart w:id="99" w:name="_Toc136597720"/>
      <w:bookmarkStart w:id="100" w:name="_Toc136601623"/>
      <w:bookmarkStart w:id="101" w:name="_Toc166304018"/>
      <w:bookmarkStart w:id="102" w:name="_Toc166381578"/>
      <w:bookmarkStart w:id="103" w:name="_Toc167005093"/>
      <w:bookmarkStart w:id="104" w:name="_Toc261276563"/>
      <w:bookmarkStart w:id="105" w:name="_Toc357527069"/>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r w:rsidRPr="00272671">
        <w:rPr>
          <w:rFonts w:eastAsia="Batang"/>
        </w:rPr>
        <w:t xml:space="preserve">Годината премина под знака на значително подобрение в параметрите по изпълнението на приходите спрямо предходните години. Положителните тенденции в приходната част на бюджета се проявиха още от самото начало на годината, като през следващите месеци те бяха затвърдени и в годишен план постъпленията по консолидираната фискална програма (КФП) превишават плана за годината. </w:t>
      </w:r>
      <w:r w:rsidRPr="00272671">
        <w:rPr>
          <w:rFonts w:eastAsia="Calibri"/>
        </w:rPr>
        <w:t xml:space="preserve">Съпоставено с 2014 г. </w:t>
      </w:r>
      <w:r w:rsidRPr="00272671">
        <w:rPr>
          <w:rFonts w:eastAsia="Calibri"/>
          <w:b/>
        </w:rPr>
        <w:t>приходите и помощите по КФП нарастват с 2,8 млрд. лв. (9,5 %),</w:t>
      </w:r>
      <w:r w:rsidRPr="00272671">
        <w:rPr>
          <w:rFonts w:eastAsia="Calibri"/>
        </w:rPr>
        <w:t xml:space="preserve"> като данъчните приходи (вкл. приходите от социално и здравноосигурителни вноски) нарастват с 1,8 млрд. лв. (7,9 %), неданъчните приходи с 0,24 млрд. лв. (6,</w:t>
      </w:r>
      <w:r w:rsidR="001D761B">
        <w:rPr>
          <w:rFonts w:eastAsia="Calibri"/>
        </w:rPr>
        <w:t>8</w:t>
      </w:r>
      <w:r w:rsidRPr="00272671">
        <w:rPr>
          <w:rFonts w:eastAsia="Calibri"/>
        </w:rPr>
        <w:t xml:space="preserve"> %), а постъпленията от </w:t>
      </w:r>
      <w:r w:rsidRPr="00272671">
        <w:rPr>
          <w:rFonts w:eastAsia="Calibri"/>
          <w:b/>
        </w:rPr>
        <w:t>помощи</w:t>
      </w:r>
      <w:r w:rsidRPr="00272671">
        <w:rPr>
          <w:rFonts w:eastAsia="Calibri"/>
        </w:rPr>
        <w:t xml:space="preserve"> (основно постъпления от ЕС) – с 0,7 млрд. лв. (24,9 процента). </w:t>
      </w:r>
      <w:r w:rsidRPr="00272671">
        <w:t>Отнесено към БВП приходите и помощите по консолидираната фискална програма нарастват от 35,2 % от БВП за 2014 г. на 37,3 % от БВП за 2015 г., което представлява увеличение с 2,1 процентни пункта.</w:t>
      </w:r>
      <w:r w:rsidRPr="00272671">
        <w:rPr>
          <w:rFonts w:eastAsia="Batang"/>
        </w:rPr>
        <w:t xml:space="preserve"> Факторите, допринесли за подобрението в приходната част, са свързани основно с ускоряването на икономическия растеж през 2015 г., а също така и </w:t>
      </w:r>
      <w:r w:rsidR="004339BB">
        <w:rPr>
          <w:rFonts w:eastAsia="Batang"/>
        </w:rPr>
        <w:t xml:space="preserve">с </w:t>
      </w:r>
      <w:r w:rsidRPr="00272671">
        <w:rPr>
          <w:rFonts w:eastAsia="Batang"/>
        </w:rPr>
        <w:t xml:space="preserve">предприетите мерки от приходните администрации във връзка с повишаване събираемостта на приходите, борбата с контрабандата и избягване от данъчно облагане, включително и съвместните действия от страна на НАП и Агенция „Митници“ с Министерството на вътрешните работи, ДАНС и прокуратурата. Фискалните ефекти от подобрението при повечето макроикономически индикатори спрямо заложеното в макрорамката на ЗДБРБ за 2015 г. са свързани основно с по-благоприятната от очакваното външна среда и по-високото вътрешно търсене. Положителният нетен износ има основен принос за по-високия номинален БВП. </w:t>
      </w:r>
      <w:r w:rsidR="00D97AD5" w:rsidRPr="0027234E">
        <w:rPr>
          <w:rFonts w:eastAsia="Batang"/>
        </w:rPr>
        <w:t>По-високо</w:t>
      </w:r>
      <w:r w:rsidR="00D97AD5">
        <w:rPr>
          <w:rFonts w:eastAsia="Batang"/>
        </w:rPr>
        <w:t>то</w:t>
      </w:r>
      <w:r w:rsidR="00D97AD5" w:rsidRPr="0027234E">
        <w:rPr>
          <w:rFonts w:eastAsia="Batang"/>
        </w:rPr>
        <w:t xml:space="preserve"> нарастване както при износа, така и при вноса на стоки и услуги</w:t>
      </w:r>
      <w:r w:rsidR="00D97AD5">
        <w:rPr>
          <w:rFonts w:eastAsia="Batang"/>
        </w:rPr>
        <w:t xml:space="preserve"> оказа положителен ефект</w:t>
      </w:r>
      <w:r w:rsidR="00D97AD5" w:rsidRPr="0027234E">
        <w:rPr>
          <w:rFonts w:eastAsia="Batang"/>
        </w:rPr>
        <w:t>, като темпът на повишение на износа съществено изпреварва този на вноса</w:t>
      </w:r>
      <w:r w:rsidRPr="00272671">
        <w:rPr>
          <w:rFonts w:eastAsia="Batang"/>
        </w:rPr>
        <w:t>.</w:t>
      </w:r>
    </w:p>
    <w:p w:rsidR="00272671" w:rsidRPr="00272671" w:rsidRDefault="00272671" w:rsidP="00272671">
      <w:pPr>
        <w:spacing w:after="120"/>
        <w:jc w:val="both"/>
      </w:pPr>
      <w:r w:rsidRPr="00272671">
        <w:t xml:space="preserve">От страна на разходите основен приоритет бе </w:t>
      </w:r>
      <w:r w:rsidRPr="00272671">
        <w:rPr>
          <w:rFonts w:eastAsia="Batang"/>
        </w:rPr>
        <w:t>успешното приключване на проектите по оперативните програми, Програмата за развитие на селските райони, Програмата за развитие на сектор „Рибарство“ и други програми на Европейския съюз за програмния период 2007-2013 г. Управляващите органи и бенефициентите по отделните програми положиха огромни усилия за изпълнение в регламентираните срокове на договорените проекти и минимизиране на загубата на европейско финансиране. Предвид предприетите действия в хода на бюджетното изпълнение значително нараснаха очакванията за по-висок размер на изпълнение на проектите по програмите и фондовете на ЕС, като съответно очакваните разходи по европейските програми и фондове значително надвишаваха планираните в разчетите към ЗДБРБ за 2015 г. Ключовото значение на проектите, съфинансирани от ЕС</w:t>
      </w:r>
      <w:r w:rsidR="00FB5480">
        <w:rPr>
          <w:rFonts w:eastAsia="Batang"/>
        </w:rPr>
        <w:t>,</w:t>
      </w:r>
      <w:r w:rsidRPr="00272671">
        <w:rPr>
          <w:rFonts w:eastAsia="Batang"/>
        </w:rPr>
        <w:t xml:space="preserve"> ясно се откроява, когато разгледаме структурата на разходите по КФП за 2015 г. и съпоставим капиталовите разходи по сметките за средства от ЕС с отчетените за предходната година – инвестиционните разходи нарастват с близо 2 млрд. лв.</w:t>
      </w:r>
      <w:r w:rsidRPr="00272671">
        <w:t xml:space="preserve"> в номинално изражение, което означава, че почти целия</w:t>
      </w:r>
      <w:r w:rsidR="00AA30D2">
        <w:t>т</w:t>
      </w:r>
      <w:r w:rsidRPr="00272671">
        <w:t xml:space="preserve"> ръст в разходите по КФП спрямо предходната година се дължи на по-високите разходи по сметките за средства от ЕС.</w:t>
      </w:r>
    </w:p>
    <w:p w:rsidR="00272671" w:rsidRPr="00272671" w:rsidRDefault="00272671" w:rsidP="00272671">
      <w:pPr>
        <w:spacing w:after="120"/>
        <w:jc w:val="both"/>
        <w:rPr>
          <w:lang w:eastAsia="zh-CN"/>
        </w:rPr>
      </w:pPr>
      <w:r w:rsidRPr="00272671">
        <w:rPr>
          <w:color w:val="000000"/>
        </w:rPr>
        <w:t>Друго предизвикателство, което се очерта в хода на бюджетното изпълнение, бе свързано с</w:t>
      </w:r>
      <w:r w:rsidRPr="00272671">
        <w:rPr>
          <w:lang w:eastAsia="zh-CN"/>
        </w:rPr>
        <w:t xml:space="preserve"> невъзможността за реализиране на рязко свиване на разходите за персонал в някои сектори, в т.ч. и възникналите в резултат на оптимизацията на персонала непредвидени разходи за обезщетения и редуциране на неефективни разходи в секторите, предоставящи публични услуги. </w:t>
      </w:r>
      <w:r w:rsidRPr="00272671">
        <w:t>Бяха положени и усилия за разплащане на просрочените задължения по бюджетите на министерствата и ведомствата</w:t>
      </w:r>
      <w:r w:rsidR="008E228F">
        <w:t>,</w:t>
      </w:r>
      <w:r w:rsidRPr="00272671">
        <w:t xml:space="preserve"> в резултат на което просрочените </w:t>
      </w:r>
      <w:r w:rsidRPr="00272671">
        <w:lastRenderedPageBreak/>
        <w:t>задължения на централното правителство към края на 2015 г. са намалени с 30,7 млн. лв. (24,6 на сто) спрямо декември 2014 година.</w:t>
      </w:r>
    </w:p>
    <w:p w:rsidR="00272671" w:rsidRPr="00272671" w:rsidRDefault="00272671" w:rsidP="00272671">
      <w:pPr>
        <w:spacing w:before="120"/>
        <w:jc w:val="both"/>
        <w:rPr>
          <w:color w:val="000000"/>
          <w:sz w:val="12"/>
          <w:szCs w:val="12"/>
          <w:lang w:val="en-US" w:eastAsia="en-US"/>
        </w:rPr>
      </w:pPr>
      <w:r w:rsidRPr="00272671">
        <w:rPr>
          <w:lang w:eastAsia="en-US"/>
        </w:rPr>
        <w:t xml:space="preserve">Едновременно с усилията за успешно приключване на проектите по европейските програми и фондове приоритет в разходните политики бяха и социалните отговорности на държавата и очерталия се недостиг за финансиране на сектора на здравеопазването. През месеците април и декември на пенсионерите с най-ниски пенсии бяха изплатени </w:t>
      </w:r>
      <w:r w:rsidR="00AA30D2" w:rsidRPr="00272671">
        <w:rPr>
          <w:lang w:eastAsia="en-US"/>
        </w:rPr>
        <w:t>великденск</w:t>
      </w:r>
      <w:r w:rsidR="00AA30D2">
        <w:rPr>
          <w:lang w:eastAsia="en-US"/>
        </w:rPr>
        <w:t>а</w:t>
      </w:r>
      <w:r w:rsidR="00AA30D2" w:rsidRPr="00272671">
        <w:rPr>
          <w:lang w:eastAsia="en-US"/>
        </w:rPr>
        <w:t xml:space="preserve"> </w:t>
      </w:r>
      <w:r w:rsidRPr="00272671">
        <w:rPr>
          <w:lang w:eastAsia="en-US"/>
        </w:rPr>
        <w:t>и коледна добавка към пенсиите, като необходимия</w:t>
      </w:r>
      <w:r w:rsidR="00CF047C">
        <w:rPr>
          <w:lang w:eastAsia="en-US"/>
        </w:rPr>
        <w:t>т</w:t>
      </w:r>
      <w:r w:rsidRPr="00272671">
        <w:rPr>
          <w:lang w:eastAsia="en-US"/>
        </w:rPr>
        <w:t xml:space="preserve"> ресурс в </w:t>
      </w:r>
      <w:r w:rsidRPr="005B3C59">
        <w:rPr>
          <w:lang w:eastAsia="en-US"/>
        </w:rPr>
        <w:t xml:space="preserve">размер на </w:t>
      </w:r>
      <w:r w:rsidR="008362EE">
        <w:rPr>
          <w:lang w:eastAsia="en-US"/>
        </w:rPr>
        <w:t>99,8</w:t>
      </w:r>
      <w:r w:rsidR="00292E18">
        <w:rPr>
          <w:lang w:eastAsia="en-US"/>
        </w:rPr>
        <w:t xml:space="preserve"> </w:t>
      </w:r>
      <w:r w:rsidRPr="00BD718D">
        <w:rPr>
          <w:lang w:eastAsia="en-US"/>
        </w:rPr>
        <w:t>млн. лв.</w:t>
      </w:r>
      <w:r w:rsidRPr="00A0414E">
        <w:rPr>
          <w:lang w:eastAsia="en-US"/>
        </w:rPr>
        <w:t xml:space="preserve"> бе осигурен от държавния бюджет</w:t>
      </w:r>
      <w:r w:rsidR="00206DA9" w:rsidRPr="000C3DCC">
        <w:rPr>
          <w:lang w:val="en-US" w:eastAsia="en-US"/>
        </w:rPr>
        <w:t xml:space="preserve"> (</w:t>
      </w:r>
      <w:r w:rsidR="000C3DCC" w:rsidRPr="0017350C">
        <w:rPr>
          <w:iCs/>
        </w:rPr>
        <w:t>ПМС № 49 и ПМС № 310 от 2015 г.</w:t>
      </w:r>
      <w:r w:rsidR="00206DA9" w:rsidRPr="005B3C59">
        <w:rPr>
          <w:lang w:val="en-US" w:eastAsia="en-US"/>
        </w:rPr>
        <w:t>)</w:t>
      </w:r>
      <w:r w:rsidRPr="005B3C59">
        <w:rPr>
          <w:lang w:eastAsia="en-US"/>
        </w:rPr>
        <w:t>,</w:t>
      </w:r>
      <w:r w:rsidRPr="00272671">
        <w:rPr>
          <w:lang w:eastAsia="en-US"/>
        </w:rPr>
        <w:t xml:space="preserve"> без да се влошава одобрения бюджетен дефицит. По-високите приходи от здравноосигурителни вноски позволиха да бъде посрещнат недостига за финансиране по бюджета на НЗОК в края на годината. </w:t>
      </w:r>
    </w:p>
    <w:p w:rsidR="00272671" w:rsidRDefault="00272671" w:rsidP="00272671">
      <w:pPr>
        <w:spacing w:before="120"/>
        <w:jc w:val="both"/>
        <w:rPr>
          <w:color w:val="000000"/>
          <w:lang w:val="en-US"/>
        </w:rPr>
      </w:pPr>
      <w:r w:rsidRPr="00272671">
        <w:rPr>
          <w:color w:val="000000"/>
        </w:rPr>
        <w:t>За да отговори на очерталите се предизвикателства и на база на тенденциите в приходите и разходите към деветмесечието</w:t>
      </w:r>
      <w:r w:rsidR="00CF047C">
        <w:rPr>
          <w:color w:val="000000"/>
        </w:rPr>
        <w:t>,</w:t>
      </w:r>
      <w:r w:rsidRPr="00272671">
        <w:rPr>
          <w:color w:val="000000"/>
        </w:rPr>
        <w:t xml:space="preserve"> Министерството на финансите, заедно с проекта на ЗДБРБ за 2016 г. и Актуализираната средносрочна бюджетна прогноза за периода 2016-2018 г., предложи промени в рамката по държавния бюджет и по КФП за 2015 година. Отчетените параметри по изпълнението на бюджета към 31.12.2015 г. са близки до заложеното с актуализираната програма за годината, като бюджетната позиция на касова основа отчита по-голямо от планираното подобрение, свързано с преизпълнение на разчетите по приходите по КФП.</w:t>
      </w:r>
    </w:p>
    <w:p w:rsidR="00272671" w:rsidRDefault="00272671" w:rsidP="00272671">
      <w:pPr>
        <w:spacing w:after="120"/>
        <w:jc w:val="both"/>
        <w:rPr>
          <w:color w:val="4F81BD"/>
          <w:sz w:val="2"/>
          <w:szCs w:val="2"/>
          <w:lang w:val="en-US"/>
        </w:rPr>
      </w:pPr>
    </w:p>
    <w:p w:rsidR="005E207C" w:rsidRPr="005E207C" w:rsidRDefault="005E207C" w:rsidP="00272671">
      <w:pPr>
        <w:spacing w:after="120"/>
        <w:jc w:val="both"/>
        <w:rPr>
          <w:color w:val="4F81BD"/>
          <w:sz w:val="2"/>
          <w:szCs w:val="2"/>
          <w:lang w:val="en-US"/>
        </w:rPr>
      </w:pPr>
    </w:p>
    <w:p w:rsidR="00272671" w:rsidRPr="00272671" w:rsidRDefault="00272671" w:rsidP="00272671">
      <w:pPr>
        <w:spacing w:after="120"/>
        <w:ind w:firstLine="720"/>
        <w:jc w:val="both"/>
        <w:rPr>
          <w:b/>
          <w:bCs/>
          <w:i/>
          <w:iCs/>
          <w:color w:val="000000"/>
          <w:u w:val="single"/>
          <w:lang w:val="en-US"/>
        </w:rPr>
      </w:pPr>
      <w:r w:rsidRPr="00272671">
        <w:rPr>
          <w:b/>
          <w:bCs/>
          <w:i/>
          <w:iCs/>
          <w:color w:val="000000"/>
          <w:u w:val="single"/>
        </w:rPr>
        <w:t>Бюджетна позиция на страната за 2015 г.</w:t>
      </w:r>
    </w:p>
    <w:p w:rsidR="00272671" w:rsidRPr="00272671" w:rsidRDefault="00272671" w:rsidP="00272671">
      <w:pPr>
        <w:spacing w:after="120"/>
        <w:jc w:val="both"/>
        <w:rPr>
          <w:b/>
          <w:bCs/>
          <w:iCs/>
          <w:color w:val="000000"/>
        </w:rPr>
      </w:pPr>
      <w:r w:rsidRPr="00272671">
        <w:rPr>
          <w:b/>
          <w:bCs/>
          <w:iCs/>
          <w:color w:val="000000"/>
        </w:rPr>
        <w:t>Бюджетно салдо по държавния бюджет</w:t>
      </w:r>
    </w:p>
    <w:p w:rsidR="00272671" w:rsidRPr="00272671" w:rsidRDefault="00272671" w:rsidP="00272671">
      <w:pPr>
        <w:spacing w:after="120"/>
        <w:jc w:val="both"/>
        <w:rPr>
          <w:bCs/>
          <w:color w:val="000000"/>
        </w:rPr>
      </w:pPr>
      <w:r w:rsidRPr="00272671">
        <w:rPr>
          <w:bCs/>
          <w:iCs/>
          <w:color w:val="000000"/>
        </w:rPr>
        <w:t>На база на данните от годишните отчети за касово изпълнение на бюджета на първостепенните разпоредители с бюджет, салдото по държавния бюджет е отрицателно в размер на 2 </w:t>
      </w:r>
      <w:r w:rsidRPr="00272671">
        <w:rPr>
          <w:bCs/>
          <w:iCs/>
          <w:color w:val="000000"/>
          <w:lang w:val="en-US"/>
        </w:rPr>
        <w:t>024,4</w:t>
      </w:r>
      <w:r w:rsidRPr="00272671">
        <w:rPr>
          <w:bCs/>
          <w:iCs/>
          <w:color w:val="000000"/>
        </w:rPr>
        <w:t xml:space="preserve"> млн. лв. (</w:t>
      </w:r>
      <w:r w:rsidRPr="00272671">
        <w:rPr>
          <w:bCs/>
          <w:iCs/>
          <w:color w:val="000000"/>
          <w:lang w:val="en-US"/>
        </w:rPr>
        <w:t>2,3</w:t>
      </w:r>
      <w:r w:rsidRPr="00272671">
        <w:rPr>
          <w:bCs/>
          <w:iCs/>
          <w:color w:val="000000"/>
        </w:rPr>
        <w:t xml:space="preserve"> % от БВП</w:t>
      </w:r>
      <w:r w:rsidRPr="00272671">
        <w:rPr>
          <w:bCs/>
          <w:color w:val="000000"/>
          <w:vertAlign w:val="superscript"/>
        </w:rPr>
        <w:footnoteReference w:id="15"/>
      </w:r>
      <w:r w:rsidRPr="00272671">
        <w:rPr>
          <w:bCs/>
          <w:iCs/>
          <w:color w:val="000000"/>
        </w:rPr>
        <w:t>), което съпоставено със заложения размер за дефицита по държавния бюджет с актуализираните разчети по ЗДБРБ за 201</w:t>
      </w:r>
      <w:r w:rsidRPr="00272671">
        <w:rPr>
          <w:bCs/>
          <w:iCs/>
          <w:color w:val="000000"/>
          <w:lang w:val="en-US"/>
        </w:rPr>
        <w:t>5</w:t>
      </w:r>
      <w:r w:rsidRPr="00272671">
        <w:rPr>
          <w:bCs/>
          <w:iCs/>
          <w:color w:val="000000"/>
        </w:rPr>
        <w:t xml:space="preserve"> г. (2 </w:t>
      </w:r>
      <w:r w:rsidRPr="00272671">
        <w:rPr>
          <w:bCs/>
          <w:iCs/>
          <w:color w:val="000000"/>
          <w:lang w:val="en-US"/>
        </w:rPr>
        <w:t>275,4</w:t>
      </w:r>
      <w:r w:rsidRPr="00272671">
        <w:rPr>
          <w:bCs/>
          <w:iCs/>
          <w:color w:val="000000"/>
        </w:rPr>
        <w:t xml:space="preserve"> млн. лв.) представлява подобрение с </w:t>
      </w:r>
      <w:r w:rsidRPr="00272671">
        <w:rPr>
          <w:bCs/>
          <w:iCs/>
          <w:color w:val="000000"/>
          <w:lang w:val="en-US"/>
        </w:rPr>
        <w:t>251</w:t>
      </w:r>
      <w:r w:rsidRPr="00272671">
        <w:rPr>
          <w:bCs/>
          <w:iCs/>
          <w:color w:val="000000"/>
        </w:rPr>
        <w:t xml:space="preserve"> млн. лева.</w:t>
      </w:r>
    </w:p>
    <w:p w:rsidR="00272671" w:rsidRPr="00272671" w:rsidRDefault="00272671" w:rsidP="00272671">
      <w:pPr>
        <w:spacing w:after="120"/>
        <w:jc w:val="both"/>
        <w:rPr>
          <w:b/>
          <w:bCs/>
          <w:color w:val="000000"/>
        </w:rPr>
      </w:pPr>
      <w:r w:rsidRPr="00272671">
        <w:rPr>
          <w:b/>
          <w:bCs/>
          <w:color w:val="000000"/>
        </w:rPr>
        <w:t>Бюджетно салдо по консолидираната фискална програма</w:t>
      </w:r>
    </w:p>
    <w:p w:rsidR="00272671" w:rsidRPr="00272671" w:rsidRDefault="00272671" w:rsidP="00272671">
      <w:pPr>
        <w:spacing w:after="120"/>
        <w:jc w:val="both"/>
        <w:rPr>
          <w:bCs/>
          <w:color w:val="000000"/>
        </w:rPr>
      </w:pPr>
      <w:r w:rsidRPr="00272671">
        <w:rPr>
          <w:bCs/>
          <w:color w:val="000000"/>
        </w:rPr>
        <w:t>Салдото по консолидираната фискална програма на касова основа за 201</w:t>
      </w:r>
      <w:r w:rsidRPr="00272671">
        <w:rPr>
          <w:bCs/>
          <w:color w:val="000000"/>
          <w:lang w:val="en-US"/>
        </w:rPr>
        <w:t>5</w:t>
      </w:r>
      <w:r w:rsidRPr="00272671">
        <w:rPr>
          <w:bCs/>
          <w:color w:val="000000"/>
        </w:rPr>
        <w:t xml:space="preserve"> г. представлява дефицит в размер на </w:t>
      </w:r>
      <w:r w:rsidRPr="00272671">
        <w:rPr>
          <w:bCs/>
          <w:color w:val="000000"/>
          <w:lang w:val="en-US"/>
        </w:rPr>
        <w:t>2 48</w:t>
      </w:r>
      <w:r w:rsidR="001D761B">
        <w:rPr>
          <w:bCs/>
          <w:color w:val="000000"/>
        </w:rPr>
        <w:t>5</w:t>
      </w:r>
      <w:r w:rsidRPr="00272671">
        <w:rPr>
          <w:bCs/>
          <w:color w:val="000000"/>
          <w:lang w:val="en-US"/>
        </w:rPr>
        <w:t>,2</w:t>
      </w:r>
      <w:r w:rsidRPr="00272671">
        <w:rPr>
          <w:bCs/>
          <w:color w:val="000000"/>
        </w:rPr>
        <w:t xml:space="preserve"> млн. лева. Отнесен към БВП</w:t>
      </w:r>
      <w:r w:rsidR="00CF047C">
        <w:rPr>
          <w:bCs/>
          <w:color w:val="000000"/>
        </w:rPr>
        <w:t>,</w:t>
      </w:r>
      <w:r w:rsidRPr="00272671">
        <w:rPr>
          <w:bCs/>
          <w:color w:val="000000"/>
        </w:rPr>
        <w:t xml:space="preserve"> дефицитът по КФП за 2015 г. представлява </w:t>
      </w:r>
      <w:r w:rsidRPr="00272671">
        <w:rPr>
          <w:bCs/>
          <w:color w:val="000000"/>
          <w:lang w:val="en-US"/>
        </w:rPr>
        <w:t>2,9</w:t>
      </w:r>
      <w:r w:rsidRPr="00272671">
        <w:rPr>
          <w:bCs/>
          <w:color w:val="000000"/>
        </w:rPr>
        <w:t xml:space="preserve"> % от БВП, което съответства на фискалната цел за годината</w:t>
      </w:r>
      <w:r w:rsidR="00CF047C">
        <w:rPr>
          <w:bCs/>
          <w:color w:val="000000"/>
        </w:rPr>
        <w:t xml:space="preserve"> -</w:t>
      </w:r>
      <w:r w:rsidRPr="00272671">
        <w:rPr>
          <w:bCs/>
          <w:color w:val="000000"/>
        </w:rPr>
        <w:t xml:space="preserve"> дефицитът по КФП да не надвиши 3,3 на сто от БВП. </w:t>
      </w:r>
    </w:p>
    <w:p w:rsidR="00272671" w:rsidRPr="00272671" w:rsidRDefault="00272671" w:rsidP="00272671">
      <w:pPr>
        <w:spacing w:after="120"/>
        <w:jc w:val="both"/>
        <w:rPr>
          <w:bCs/>
          <w:iCs/>
          <w:color w:val="000000"/>
        </w:rPr>
      </w:pPr>
      <w:r w:rsidRPr="00272671">
        <w:rPr>
          <w:color w:val="000000"/>
        </w:rPr>
        <w:t>По пътя на изпълнението бяха реализирани икономии в разходите, трансферите и вноската за бюджета на ЕС по държавния бюджет в размер на 410 млн. лв., но поради неизпълнение на разчетите за приходите, подобрението на дефицита по държавния бюджет бе</w:t>
      </w:r>
      <w:r w:rsidRPr="00272671">
        <w:rPr>
          <w:bCs/>
          <w:iCs/>
          <w:color w:val="000000"/>
        </w:rPr>
        <w:t xml:space="preserve"> 251 млн. лева. </w:t>
      </w:r>
    </w:p>
    <w:p w:rsidR="00272671" w:rsidRPr="00272671" w:rsidRDefault="00272671" w:rsidP="00272671">
      <w:pPr>
        <w:spacing w:after="120"/>
        <w:jc w:val="both"/>
        <w:rPr>
          <w:bCs/>
          <w:color w:val="000000"/>
        </w:rPr>
      </w:pPr>
      <w:r w:rsidRPr="00272671">
        <w:rPr>
          <w:bCs/>
          <w:iCs/>
          <w:color w:val="000000"/>
        </w:rPr>
        <w:t>В същото време, както се очакваше, се реализира по-голям от планирания дефицит по</w:t>
      </w:r>
      <w:r w:rsidRPr="00272671">
        <w:rPr>
          <w:bCs/>
          <w:color w:val="000000"/>
        </w:rPr>
        <w:t xml:space="preserve"> сметките за средства от Европейския съюз – основно на бенефициенти-бюджетни организации, което влоши дефицита по КФП за 2015 г. Така при дефицит по КФП по актуализираните разчети за годината в размер на 2 874,3 млн. лв. (3,3 % от прогнозния БВП) по отчет бе постигнат дефицит в размер на 2 48</w:t>
      </w:r>
      <w:r w:rsidR="00427B1A">
        <w:rPr>
          <w:bCs/>
          <w:color w:val="000000"/>
        </w:rPr>
        <w:t>5</w:t>
      </w:r>
      <w:r w:rsidRPr="00272671">
        <w:rPr>
          <w:bCs/>
          <w:color w:val="000000"/>
        </w:rPr>
        <w:t>,2 млн. лв. (2,9 % от БВП).</w:t>
      </w:r>
    </w:p>
    <w:p w:rsidR="00272671" w:rsidRPr="00272671" w:rsidRDefault="00272671" w:rsidP="00272671">
      <w:pPr>
        <w:jc w:val="both"/>
        <w:rPr>
          <w:b/>
          <w:color w:val="000000"/>
        </w:rPr>
      </w:pPr>
      <w:r w:rsidRPr="00272671">
        <w:rPr>
          <w:b/>
          <w:color w:val="000000"/>
        </w:rPr>
        <w:t>Салдо на сектор „Държавно управление” въз основа на методологията на Европейската система от национални и регионални сметки (</w:t>
      </w:r>
      <w:r w:rsidRPr="00272671">
        <w:rPr>
          <w:b/>
          <w:color w:val="000000"/>
          <w:lang w:val="en-US"/>
        </w:rPr>
        <w:t>ESA</w:t>
      </w:r>
      <w:r w:rsidRPr="00272671">
        <w:rPr>
          <w:b/>
          <w:color w:val="000000"/>
        </w:rPr>
        <w:t>2010)</w:t>
      </w:r>
    </w:p>
    <w:p w:rsidR="00272671" w:rsidRPr="00272671" w:rsidRDefault="00272671" w:rsidP="00272671">
      <w:pPr>
        <w:jc w:val="both"/>
        <w:rPr>
          <w:color w:val="4F81BD"/>
          <w:sz w:val="12"/>
          <w:szCs w:val="12"/>
        </w:rPr>
      </w:pPr>
    </w:p>
    <w:p w:rsidR="00272671" w:rsidRPr="00272671" w:rsidRDefault="00272671" w:rsidP="00272671">
      <w:pPr>
        <w:spacing w:before="120"/>
        <w:jc w:val="both"/>
        <w:rPr>
          <w:b/>
          <w:bCs/>
          <w:color w:val="000000"/>
        </w:rPr>
      </w:pPr>
      <w:r w:rsidRPr="00272671">
        <w:rPr>
          <w:color w:val="000000"/>
        </w:rPr>
        <w:lastRenderedPageBreak/>
        <w:t>Съгласно априлските Нотификационни таблици за дефицита и дълга на България дефицитът на консолидираното правителство за 2015 г. е 2,1 % от БВП. В средносрочен план се планира постепенна консолидация до постигане на близко до балансирано бюджетно салдо на сектор „Държавно управление“ през 2019 година. При съпоставка с останалите държави-членки на ЕС България е на четиринадесето място, заедно с Дания, по показателя дефицит на сектор „Държавно управление“ за 2015 г. По отношение на държавния дълг България е трета - след Естония и Люксембург, с най-нисък държавен дълг в ЕС за 2015 г. (26,7 % от БВП). Осреднената стойност на дефицита за държавите-членки на ЕС за 2015 г. се равнява на 2,4 % от БВП, а за страните от еврозоната – 2,1 % от БВП. Седем държави-членки отчитат дефицит на сектор „Държавно управление“ за 2015 г. по-голям от референтната стойност от 3 % от БВП в Пакта за стабилност и растеж.</w:t>
      </w:r>
    </w:p>
    <w:p w:rsidR="00272671" w:rsidRPr="00272671" w:rsidRDefault="00272671" w:rsidP="00272671">
      <w:pPr>
        <w:spacing w:after="120"/>
        <w:jc w:val="both"/>
        <w:rPr>
          <w:bCs/>
          <w:color w:val="4F81BD"/>
          <w:sz w:val="2"/>
          <w:szCs w:val="2"/>
        </w:rPr>
      </w:pPr>
    </w:p>
    <w:p w:rsidR="00272671" w:rsidRPr="00272671" w:rsidRDefault="00272671" w:rsidP="00272671">
      <w:pPr>
        <w:spacing w:after="120"/>
        <w:jc w:val="both"/>
        <w:rPr>
          <w:b/>
          <w:bCs/>
          <w:color w:val="000000"/>
        </w:rPr>
      </w:pPr>
      <w:r w:rsidRPr="00272671">
        <w:rPr>
          <w:b/>
          <w:bCs/>
          <w:color w:val="000000"/>
        </w:rPr>
        <w:t>Фискален резерв</w:t>
      </w:r>
    </w:p>
    <w:p w:rsidR="00272671" w:rsidRPr="00272671" w:rsidRDefault="00272671" w:rsidP="00272671">
      <w:pPr>
        <w:spacing w:after="120"/>
        <w:jc w:val="both"/>
        <w:rPr>
          <w:bCs/>
          <w:color w:val="000000"/>
        </w:rPr>
      </w:pPr>
      <w:r w:rsidRPr="00272671">
        <w:rPr>
          <w:bCs/>
          <w:color w:val="000000"/>
        </w:rPr>
        <w:t>Фискалният резерв</w:t>
      </w:r>
      <w:r w:rsidRPr="00272671">
        <w:rPr>
          <w:bCs/>
          <w:color w:val="000000"/>
          <w:vertAlign w:val="superscript"/>
        </w:rPr>
        <w:footnoteReference w:id="16"/>
      </w:r>
      <w:r w:rsidRPr="00272671">
        <w:rPr>
          <w:bCs/>
          <w:color w:val="000000"/>
        </w:rPr>
        <w:t xml:space="preserve"> към 31.12.2015 г. е </w:t>
      </w:r>
      <w:r w:rsidRPr="00272671">
        <w:rPr>
          <w:b/>
          <w:bCs/>
          <w:color w:val="000000"/>
        </w:rPr>
        <w:t>7,9 млрд. лв</w:t>
      </w:r>
      <w:r w:rsidRPr="00272671">
        <w:rPr>
          <w:bCs/>
          <w:color w:val="000000"/>
        </w:rPr>
        <w:t xml:space="preserve">., в т.ч. 6,8 млрд. лв. депозити на фискалния резерв в БНБ и банки и 1,1 млрд. лв. вземания от фондовете на Европейския съюз за сертифицирани разходи, аванси и други. Фискалният резерв към края на годината е над определения в чл. 65 на ЗДБРБ за 2015 г. минимален размер от 4,5 млрд. лева. </w:t>
      </w:r>
    </w:p>
    <w:p w:rsidR="00272671" w:rsidRPr="00272671" w:rsidRDefault="00272671" w:rsidP="00272671">
      <w:pPr>
        <w:spacing w:after="120"/>
        <w:jc w:val="both"/>
        <w:rPr>
          <w:b/>
          <w:color w:val="000000"/>
        </w:rPr>
      </w:pPr>
      <w:r w:rsidRPr="00272671">
        <w:rPr>
          <w:b/>
          <w:color w:val="000000"/>
        </w:rPr>
        <w:t>Размер на държавния дълг</w:t>
      </w:r>
    </w:p>
    <w:p w:rsidR="00272671" w:rsidRDefault="00272671" w:rsidP="00272671">
      <w:pPr>
        <w:spacing w:after="120"/>
        <w:jc w:val="both"/>
        <w:rPr>
          <w:color w:val="000000"/>
        </w:rPr>
      </w:pPr>
      <w:r w:rsidRPr="00272671">
        <w:rPr>
          <w:color w:val="000000"/>
        </w:rPr>
        <w:t xml:space="preserve">По отношение на държавния дълг предвидените законови ограничители са спазени, като размерът на държавния дълг към 31.12.2015 г. е </w:t>
      </w:r>
      <w:r w:rsidRPr="005E207C">
        <w:rPr>
          <w:color w:val="000000"/>
        </w:rPr>
        <w:t>22,7 млрд. лв.</w:t>
      </w:r>
      <w:r w:rsidR="00F73C6C" w:rsidRPr="00F73C6C">
        <w:rPr>
          <w:color w:val="000000"/>
        </w:rPr>
        <w:t xml:space="preserve">, което </w:t>
      </w:r>
      <w:r w:rsidR="00F73C6C">
        <w:rPr>
          <w:rFonts w:eastAsia="MS Mincho"/>
        </w:rPr>
        <w:t>представлява 92,7</w:t>
      </w:r>
      <w:r w:rsidR="00F73C6C">
        <w:rPr>
          <w:rFonts w:eastAsia="MS Mincho"/>
          <w:lang w:val="en-US"/>
        </w:rPr>
        <w:t xml:space="preserve"> </w:t>
      </w:r>
      <w:r w:rsidR="00F73C6C">
        <w:rPr>
          <w:rFonts w:eastAsia="MS Mincho"/>
        </w:rPr>
        <w:t>%</w:t>
      </w:r>
      <w:r w:rsidR="00F73C6C" w:rsidRPr="00F73C6C">
        <w:rPr>
          <w:color w:val="000000"/>
        </w:rPr>
        <w:t xml:space="preserve"> </w:t>
      </w:r>
      <w:r w:rsidR="000359D8">
        <w:rPr>
          <w:color w:val="000000"/>
        </w:rPr>
        <w:t>от</w:t>
      </w:r>
      <w:r w:rsidR="000359D8" w:rsidRPr="00F73C6C">
        <w:rPr>
          <w:color w:val="000000"/>
        </w:rPr>
        <w:t xml:space="preserve"> </w:t>
      </w:r>
      <w:r w:rsidR="00F73C6C" w:rsidRPr="00F73C6C">
        <w:rPr>
          <w:color w:val="000000"/>
        </w:rPr>
        <w:t>заложения</w:t>
      </w:r>
      <w:r w:rsidRPr="00272671">
        <w:rPr>
          <w:color w:val="000000"/>
        </w:rPr>
        <w:t xml:space="preserve"> лимит за максималния размер на държавния дълг към края на 2015 г. в ЗДБРБ за 2015 г. в размер на 24,5 млрд. лева.</w:t>
      </w:r>
    </w:p>
    <w:p w:rsidR="00F73C6C" w:rsidRPr="00F73C6C" w:rsidRDefault="00F73C6C" w:rsidP="00F73C6C">
      <w:pPr>
        <w:spacing w:after="120"/>
        <w:jc w:val="both"/>
        <w:rPr>
          <w:rFonts w:eastAsia="MS Mincho"/>
        </w:rPr>
      </w:pPr>
      <w:r w:rsidRPr="00F73C6C">
        <w:rPr>
          <w:rFonts w:eastAsia="MS Mincho"/>
        </w:rPr>
        <w:t xml:space="preserve">Реализираното през годината брутно финансиране на стойност от 7,3 млрд. лв. е в рамките </w:t>
      </w:r>
      <w:r>
        <w:rPr>
          <w:rFonts w:eastAsia="MS Mincho"/>
        </w:rPr>
        <w:t xml:space="preserve">на </w:t>
      </w:r>
      <w:r w:rsidRPr="00F73C6C">
        <w:rPr>
          <w:rFonts w:eastAsia="MS Mincho"/>
        </w:rPr>
        <w:t>предвидения в чл. 67 от ЗДБРБ за 2015 г. максимален размер от 8,1 млрд. лв. нов държавен дълг, който може да бъде поет през 2015 г. или 89,9</w:t>
      </w:r>
      <w:r>
        <w:rPr>
          <w:rFonts w:eastAsia="MS Mincho"/>
        </w:rPr>
        <w:t xml:space="preserve"> </w:t>
      </w:r>
      <w:r w:rsidRPr="00F73C6C">
        <w:rPr>
          <w:rFonts w:eastAsia="MS Mincho"/>
        </w:rPr>
        <w:t>% от него.</w:t>
      </w:r>
      <w:r w:rsidRPr="00F73C6C">
        <w:rPr>
          <w:color w:val="000000"/>
        </w:rPr>
        <w:t xml:space="preserve"> Спазен е също така и о</w:t>
      </w:r>
      <w:r w:rsidRPr="00F73C6C">
        <w:rPr>
          <w:rFonts w:eastAsia="MS Mincho"/>
        </w:rPr>
        <w:t>пределеният в ЗДБРБ за 2015 г. ограничител за максималния размер на новите държавни гаранции</w:t>
      </w:r>
      <w:r w:rsidR="00AA30D2" w:rsidRPr="00AA30D2">
        <w:rPr>
          <w:rFonts w:eastAsia="MS Mincho"/>
        </w:rPr>
        <w:t xml:space="preserve"> </w:t>
      </w:r>
      <w:r w:rsidR="00AA30D2" w:rsidRPr="00F73C6C">
        <w:rPr>
          <w:rFonts w:eastAsia="MS Mincho"/>
        </w:rPr>
        <w:t xml:space="preserve">по Закона за кредитиране на студенти и докторанти във връзка с </w:t>
      </w:r>
      <w:r w:rsidR="00AA30D2" w:rsidRPr="00946C93">
        <w:rPr>
          <w:rFonts w:eastAsia="MS Mincho"/>
        </w:rPr>
        <w:t>прилагане на програмата за студентско кредитиране</w:t>
      </w:r>
      <w:r w:rsidR="00AA30D2" w:rsidRPr="00EC33FC">
        <w:rPr>
          <w:rFonts w:eastAsia="MS Mincho"/>
        </w:rPr>
        <w:t xml:space="preserve"> (50 млн. лв.)</w:t>
      </w:r>
      <w:r w:rsidR="00AA30D2" w:rsidRPr="00946C93">
        <w:rPr>
          <w:rFonts w:eastAsia="MS Mincho"/>
        </w:rPr>
        <w:t>, които могат да бъдат</w:t>
      </w:r>
      <w:r w:rsidR="00AA30D2" w:rsidRPr="00F73C6C">
        <w:rPr>
          <w:rFonts w:eastAsia="MS Mincho"/>
        </w:rPr>
        <w:t xml:space="preserve"> издадени през 2015 г., като издадените през годината нови държавни гаранции са в размер на 41</w:t>
      </w:r>
      <w:r w:rsidR="00AA30D2">
        <w:rPr>
          <w:rFonts w:eastAsia="MS Mincho"/>
        </w:rPr>
        <w:t>,0</w:t>
      </w:r>
      <w:r w:rsidR="00AA30D2" w:rsidRPr="00F73C6C">
        <w:rPr>
          <w:rFonts w:eastAsia="MS Mincho"/>
        </w:rPr>
        <w:t xml:space="preserve"> млн.</w:t>
      </w:r>
      <w:r w:rsidR="00AA30D2">
        <w:rPr>
          <w:rFonts w:eastAsia="MS Mincho"/>
        </w:rPr>
        <w:t xml:space="preserve"> </w:t>
      </w:r>
      <w:r w:rsidR="00AA30D2" w:rsidRPr="00F73C6C">
        <w:rPr>
          <w:rFonts w:eastAsia="MS Mincho"/>
        </w:rPr>
        <w:t>лв.</w:t>
      </w:r>
      <w:r w:rsidRPr="00F73C6C">
        <w:rPr>
          <w:rFonts w:eastAsia="MS Mincho"/>
        </w:rPr>
        <w:t xml:space="preserve">. </w:t>
      </w:r>
    </w:p>
    <w:p w:rsidR="00F73C6C" w:rsidRPr="00F73C6C" w:rsidRDefault="00F73C6C" w:rsidP="00F73C6C">
      <w:pPr>
        <w:spacing w:after="200" w:line="264" w:lineRule="auto"/>
        <w:jc w:val="both"/>
        <w:rPr>
          <w:rFonts w:eastAsia="MS Mincho"/>
        </w:rPr>
      </w:pPr>
      <w:r w:rsidRPr="00F73C6C">
        <w:rPr>
          <w:rFonts w:eastAsia="MS Mincho"/>
        </w:rPr>
        <w:t>Доминантен източник на дългово финансиране през 2015 г. (95</w:t>
      </w:r>
      <w:r>
        <w:rPr>
          <w:rFonts w:eastAsia="MS Mincho"/>
        </w:rPr>
        <w:t xml:space="preserve"> </w:t>
      </w:r>
      <w:r w:rsidRPr="00F73C6C">
        <w:rPr>
          <w:rFonts w:eastAsia="MS Mincho"/>
        </w:rPr>
        <w:t>%) бяха емисиите на ДЦК, по-голямата част от които пласирани на международните капиталови пазари. Останалите  5</w:t>
      </w:r>
      <w:r>
        <w:rPr>
          <w:rFonts w:eastAsia="MS Mincho"/>
        </w:rPr>
        <w:t xml:space="preserve"> </w:t>
      </w:r>
      <w:r w:rsidRPr="00F73C6C">
        <w:rPr>
          <w:rFonts w:eastAsia="MS Mincho"/>
        </w:rPr>
        <w:t xml:space="preserve">% представляват усвоявания по заеми от международни финансови институции, в т.ч. за финансиране на инвестиционни проекти и по линия на </w:t>
      </w:r>
      <w:r w:rsidR="000A33B1">
        <w:rPr>
          <w:rFonts w:eastAsia="MS Mincho"/>
        </w:rPr>
        <w:t>ф</w:t>
      </w:r>
      <w:r w:rsidRPr="00F73C6C">
        <w:rPr>
          <w:rFonts w:eastAsia="MS Mincho"/>
        </w:rPr>
        <w:t>инансов договор между Република България и Европейската инвестиционна банка за финансиране на проект „България - съфинансиране по Фондовете на ЕС 2014-2020 г. (СПЗ)“, в размер до 500 млн. евро. Делът на външното финансиране през 2015 г. възлиза на 83</w:t>
      </w:r>
      <w:r>
        <w:rPr>
          <w:rFonts w:eastAsia="MS Mincho"/>
        </w:rPr>
        <w:t xml:space="preserve"> </w:t>
      </w:r>
      <w:r w:rsidRPr="00F73C6C">
        <w:rPr>
          <w:rFonts w:eastAsia="MS Mincho"/>
        </w:rPr>
        <w:t>% от общия размер на реализираното ново заемане</w:t>
      </w:r>
      <w:r w:rsidR="000A33B1">
        <w:rPr>
          <w:rFonts w:eastAsia="MS Mincho"/>
        </w:rPr>
        <w:t>.</w:t>
      </w:r>
      <w:r w:rsidRPr="00F73C6C">
        <w:rPr>
          <w:rFonts w:eastAsia="MS Mincho"/>
        </w:rPr>
        <w:t xml:space="preserve"> </w:t>
      </w:r>
    </w:p>
    <w:p w:rsidR="00272671" w:rsidRDefault="00272671" w:rsidP="00272671">
      <w:pPr>
        <w:spacing w:after="120"/>
        <w:ind w:left="720"/>
        <w:jc w:val="both"/>
        <w:rPr>
          <w:b/>
          <w:bCs/>
          <w:i/>
          <w:iCs/>
          <w:color w:val="000000"/>
          <w:u w:val="single"/>
        </w:rPr>
      </w:pPr>
      <w:r w:rsidRPr="00272671">
        <w:rPr>
          <w:b/>
          <w:bCs/>
          <w:i/>
          <w:iCs/>
          <w:color w:val="000000"/>
          <w:u w:val="single"/>
        </w:rPr>
        <w:t>Съответствие на основните фискални параметри по КФП за 2015 г. с изискванията на фискалните правила в Закона за публичните финанси</w:t>
      </w:r>
    </w:p>
    <w:p w:rsidR="00F73C6C" w:rsidRPr="00F73C6C" w:rsidRDefault="00675ACD" w:rsidP="00F73C6C">
      <w:pPr>
        <w:spacing w:after="120"/>
        <w:ind w:left="720"/>
        <w:jc w:val="both"/>
        <w:rPr>
          <w:b/>
          <w:bCs/>
          <w:i/>
          <w:iCs/>
          <w:color w:val="000000"/>
          <w:u w:val="single"/>
        </w:rPr>
      </w:pPr>
      <w:r>
        <w:rPr>
          <w:b/>
          <w:bCs/>
          <w:i/>
          <w:iCs/>
          <w:color w:val="000000"/>
          <w:u w:val="single"/>
        </w:rPr>
        <w:t>Фискални правила по отношение на структурния дефицит на сектор „Държавно управление</w:t>
      </w:r>
    </w:p>
    <w:p w:rsidR="00F73C6C" w:rsidRPr="00F73C6C" w:rsidRDefault="00F73C6C" w:rsidP="00EC33FC">
      <w:pPr>
        <w:spacing w:after="120"/>
        <w:jc w:val="both"/>
      </w:pPr>
      <w:r w:rsidRPr="00F73C6C">
        <w:t>Средносрочната бюджетна цел за структурния дефицит на сектор „Държавно управление“, залегнала в Конвергентната програма на страната, е в размер на 1</w:t>
      </w:r>
      <w:r w:rsidR="00060407">
        <w:t>,</w:t>
      </w:r>
      <w:r w:rsidRPr="00F73C6C">
        <w:t>0</w:t>
      </w:r>
      <w:r w:rsidR="00060407">
        <w:t xml:space="preserve"> </w:t>
      </w:r>
      <w:r w:rsidRPr="00F73C6C">
        <w:t>% от БВП. Т</w:t>
      </w:r>
      <w:r w:rsidR="00060407">
        <w:t>а</w:t>
      </w:r>
      <w:r w:rsidRPr="00F73C6C">
        <w:t xml:space="preserve">зи цел е в пълно съответствие с изискванията на чл. 23, ал. 2 от ЗПФ, като отчита текущото ниво </w:t>
      </w:r>
      <w:r w:rsidRPr="00F73C6C">
        <w:lastRenderedPageBreak/>
        <w:t xml:space="preserve">през 2015 г. на консолидирания дълг на сектор </w:t>
      </w:r>
      <w:r w:rsidRPr="00F73C6C">
        <w:rPr>
          <w:lang w:val="en-US"/>
        </w:rPr>
        <w:t>“</w:t>
      </w:r>
      <w:r w:rsidRPr="00F73C6C">
        <w:t>Държавно управление</w:t>
      </w:r>
      <w:r w:rsidRPr="00F73C6C">
        <w:rPr>
          <w:lang w:val="en-US"/>
        </w:rPr>
        <w:t>”</w:t>
      </w:r>
      <w:r w:rsidRPr="00F73C6C">
        <w:t xml:space="preserve">, както и ниските рискове пред дългосрочната устойчивост на публичните финанси към настоящия момент. </w:t>
      </w:r>
    </w:p>
    <w:p w:rsidR="00F73C6C" w:rsidRPr="00F73C6C" w:rsidRDefault="00F73C6C" w:rsidP="00EC33FC">
      <w:pPr>
        <w:spacing w:after="120"/>
        <w:jc w:val="both"/>
      </w:pPr>
      <w:r w:rsidRPr="00F73C6C">
        <w:t xml:space="preserve">С подадените през пролетта на 2015 г. Нотификационни таблици за дълга и салдото на сектор </w:t>
      </w:r>
      <w:r w:rsidR="00AF1AD6">
        <w:t>„</w:t>
      </w:r>
      <w:r w:rsidRPr="00F73C6C">
        <w:t>Държавно управление” бе потвърдено увеличението на държавния дефицит над</w:t>
      </w:r>
      <w:r w:rsidR="00AF1AD6">
        <w:t xml:space="preserve"> </w:t>
      </w:r>
      <w:r w:rsidRPr="00F73C6C">
        <w:t>3% от БВП през 2014 г., и съответно е констатирано значително влошаване на структурното бюджетно салдо. В следствие на предприетите в рамките на 2015 г. консолидационни мерки, структурният дефицит в края на 2015 г. е намален с 0</w:t>
      </w:r>
      <w:r w:rsidR="00AF1AD6">
        <w:t>,</w:t>
      </w:r>
      <w:r w:rsidRPr="00F73C6C">
        <w:t xml:space="preserve">2 п.п. до нивото от </w:t>
      </w:r>
      <w:r w:rsidR="00F54A32">
        <w:t>-</w:t>
      </w:r>
      <w:r w:rsidRPr="00F73C6C">
        <w:t>1</w:t>
      </w:r>
      <w:r w:rsidR="002511A3">
        <w:t>,</w:t>
      </w:r>
      <w:r w:rsidRPr="00F73C6C">
        <w:t>9</w:t>
      </w:r>
      <w:r w:rsidR="00AF1AD6">
        <w:t xml:space="preserve"> </w:t>
      </w:r>
      <w:r w:rsidRPr="00F73C6C">
        <w:t xml:space="preserve">% от БВП. В съответствие с разпоредбите на Закона за Фискален съвет и автоматични корективни механизми, установеното значително отклонение от средносрочната бюджетна цел за структурния дефицит е планирано да бъде коригирано в рамките на двугодишен период, като се очаква структурният дефицит да спадне под </w:t>
      </w:r>
      <w:r w:rsidR="00F54A32">
        <w:t>-</w:t>
      </w:r>
      <w:r w:rsidRPr="00F73C6C">
        <w:t>1</w:t>
      </w:r>
      <w:r w:rsidR="00AF1AD6">
        <w:t xml:space="preserve"> </w:t>
      </w:r>
      <w:r w:rsidRPr="00F73C6C">
        <w:t>% от БВП в края на 2017 г</w:t>
      </w:r>
      <w:r w:rsidR="002511A3">
        <w:t>одина</w:t>
      </w:r>
      <w:r w:rsidRPr="00F73C6C">
        <w:t>.</w:t>
      </w:r>
    </w:p>
    <w:p w:rsidR="00272671" w:rsidRPr="00272671" w:rsidRDefault="00272671" w:rsidP="00272671">
      <w:pPr>
        <w:spacing w:after="120"/>
        <w:ind w:left="720"/>
        <w:jc w:val="both"/>
        <w:rPr>
          <w:b/>
          <w:bCs/>
          <w:i/>
          <w:iCs/>
          <w:color w:val="000000"/>
          <w:sz w:val="2"/>
          <w:szCs w:val="2"/>
          <w:u w:val="single"/>
        </w:rPr>
      </w:pPr>
    </w:p>
    <w:p w:rsidR="00272671" w:rsidRPr="00272671" w:rsidRDefault="00BE4DB1" w:rsidP="00272671">
      <w:pPr>
        <w:spacing w:after="120"/>
        <w:ind w:left="720"/>
        <w:jc w:val="both"/>
        <w:rPr>
          <w:b/>
          <w:bCs/>
          <w:i/>
          <w:iCs/>
          <w:color w:val="000000"/>
          <w:u w:val="single"/>
        </w:rPr>
      </w:pPr>
      <w:r w:rsidRPr="00BE4DB1">
        <w:rPr>
          <w:b/>
          <w:bCs/>
          <w:i/>
          <w:iCs/>
          <w:color w:val="000000"/>
          <w:u w:val="single"/>
        </w:rPr>
        <w:t>Фискално правило по отношение на дефицита на сектор „Държавно управление“</w:t>
      </w:r>
    </w:p>
    <w:p w:rsidR="00272671" w:rsidRDefault="00272671" w:rsidP="00272671">
      <w:pPr>
        <w:spacing w:after="120"/>
        <w:jc w:val="both"/>
        <w:rPr>
          <w:bCs/>
          <w:iCs/>
          <w:color w:val="000000"/>
        </w:rPr>
      </w:pPr>
      <w:r w:rsidRPr="00272671">
        <w:rPr>
          <w:bCs/>
          <w:iCs/>
          <w:color w:val="000000"/>
        </w:rPr>
        <w:t>Дефицитът на сектор „Държавно управление” за 2015 г. съгласно априлските Нотификационни таблици за дефицита и дълга възлиза на 2,1 на сто от БВП, което е в рамките на допустимия размер</w:t>
      </w:r>
      <w:r w:rsidR="003A5506">
        <w:rPr>
          <w:bCs/>
          <w:iCs/>
          <w:color w:val="000000"/>
        </w:rPr>
        <w:t xml:space="preserve"> на 3 на сто</w:t>
      </w:r>
      <w:r w:rsidRPr="00272671">
        <w:rPr>
          <w:bCs/>
          <w:iCs/>
          <w:color w:val="000000"/>
        </w:rPr>
        <w:t xml:space="preserve">, заложен в разпоредбата на чл. 25, ал. 2 от Закона за публичните финанси. В средносрочната бюджетна прогноза 2017-2019 г. и в Конвергентната програма на Република България 2016-2019 г. </w:t>
      </w:r>
      <w:r w:rsidR="009C768E">
        <w:rPr>
          <w:bCs/>
          <w:iCs/>
          <w:color w:val="000000"/>
        </w:rPr>
        <w:t>са</w:t>
      </w:r>
      <w:r w:rsidR="009C768E" w:rsidRPr="00272671">
        <w:rPr>
          <w:bCs/>
          <w:iCs/>
          <w:color w:val="000000"/>
        </w:rPr>
        <w:t xml:space="preserve"> </w:t>
      </w:r>
      <w:r w:rsidRPr="00272671">
        <w:rPr>
          <w:bCs/>
          <w:iCs/>
          <w:color w:val="000000"/>
        </w:rPr>
        <w:t>предвидени стъпки за постепенна фискална консолидация до достигане на близка до балансирана бюджетна позиция към 2019 година.</w:t>
      </w:r>
    </w:p>
    <w:p w:rsidR="006F1AEC" w:rsidRPr="006F1AEC" w:rsidRDefault="003325BB" w:rsidP="006F1AEC">
      <w:pPr>
        <w:spacing w:after="120"/>
        <w:ind w:left="720"/>
        <w:jc w:val="both"/>
        <w:rPr>
          <w:b/>
          <w:bCs/>
          <w:i/>
          <w:iCs/>
          <w:color w:val="000000"/>
          <w:u w:val="single"/>
        </w:rPr>
      </w:pPr>
      <w:r w:rsidRPr="003325BB">
        <w:rPr>
          <w:b/>
          <w:bCs/>
          <w:i/>
          <w:iCs/>
          <w:color w:val="000000"/>
          <w:u w:val="single"/>
        </w:rPr>
        <w:t>Фискално правило по отношение на ръста на бюджетните разходи</w:t>
      </w:r>
    </w:p>
    <w:p w:rsidR="006F1AEC" w:rsidRPr="006F1AEC" w:rsidRDefault="006F1AEC" w:rsidP="006F1AEC">
      <w:pPr>
        <w:spacing w:after="120"/>
        <w:jc w:val="both"/>
      </w:pPr>
      <w:r w:rsidRPr="006F1AEC">
        <w:t xml:space="preserve">По отношение </w:t>
      </w:r>
      <w:r w:rsidR="00260283">
        <w:t>н</w:t>
      </w:r>
      <w:r w:rsidRPr="006F1AEC">
        <w:t>а заложеното в чл. 26 от ЗПФ ограничение за годишния ръст на бюджетните разходи се прилага референтен растеж на потенциалния БВП от 1</w:t>
      </w:r>
      <w:r w:rsidR="00260283">
        <w:t>,</w:t>
      </w:r>
      <w:r w:rsidRPr="006F1AEC">
        <w:t>9</w:t>
      </w:r>
      <w:r w:rsidR="00260283">
        <w:t xml:space="preserve"> </w:t>
      </w:r>
      <w:r w:rsidRPr="006F1AEC">
        <w:t>%, намален с</w:t>
      </w:r>
      <w:r w:rsidRPr="006F1AEC">
        <w:rPr>
          <w:lang w:val="en-US"/>
        </w:rPr>
        <w:t xml:space="preserve"> </w:t>
      </w:r>
      <w:r w:rsidRPr="006F1AEC">
        <w:t>т. нар. марж за конвергенция (</w:t>
      </w:r>
      <w:r w:rsidRPr="006F1AEC">
        <w:rPr>
          <w:lang w:val="en-US"/>
        </w:rPr>
        <w:t>convergence margin)</w:t>
      </w:r>
      <w:r w:rsidRPr="006F1AEC">
        <w:t>, осигуряващ годишна корекция от 0</w:t>
      </w:r>
      <w:r w:rsidR="00260283">
        <w:t>,</w:t>
      </w:r>
      <w:r w:rsidRPr="006F1AEC">
        <w:t>5</w:t>
      </w:r>
      <w:r w:rsidR="00260283">
        <w:t xml:space="preserve"> </w:t>
      </w:r>
      <w:r w:rsidRPr="006F1AEC">
        <w:t>% от БВП за достигане на средносрочната бюджетна цел. Според оценките на МФ стойността на този марж е</w:t>
      </w:r>
      <w:r w:rsidRPr="006F1AEC">
        <w:rPr>
          <w:lang w:val="en-US"/>
        </w:rPr>
        <w:t xml:space="preserve"> </w:t>
      </w:r>
      <w:r w:rsidRPr="006F1AEC">
        <w:t>1</w:t>
      </w:r>
      <w:r w:rsidR="00260283">
        <w:t>,</w:t>
      </w:r>
      <w:r w:rsidRPr="006F1AEC">
        <w:t>4</w:t>
      </w:r>
      <w:r w:rsidR="00260283">
        <w:t xml:space="preserve"> </w:t>
      </w:r>
      <w:r w:rsidRPr="006F1AEC">
        <w:t>% от БВП. На база на посочените стойности може да се заключи, че реалният растеж на бюджетните разходи, коригирани с ефектите от приложените през годината приходни дискреционни мерки, остава под референтното ниво за растежа на БВП, с което се спазва регламентираното по чл. 26 от ЗПФ ограничение.</w:t>
      </w:r>
    </w:p>
    <w:p w:rsidR="00272671" w:rsidRPr="00272671" w:rsidRDefault="003325BB" w:rsidP="00272671">
      <w:pPr>
        <w:spacing w:after="120"/>
        <w:ind w:left="720"/>
        <w:jc w:val="both"/>
        <w:rPr>
          <w:b/>
          <w:bCs/>
          <w:i/>
          <w:iCs/>
          <w:color w:val="000000"/>
          <w:u w:val="single"/>
        </w:rPr>
      </w:pPr>
      <w:r w:rsidRPr="003325BB">
        <w:rPr>
          <w:b/>
          <w:bCs/>
          <w:i/>
          <w:iCs/>
          <w:color w:val="000000"/>
          <w:u w:val="single"/>
        </w:rPr>
        <w:t>Фискално правило по отношение на салдото по консолидираната фискална програма</w:t>
      </w:r>
    </w:p>
    <w:p w:rsidR="00272671" w:rsidRPr="00272671" w:rsidRDefault="00272671" w:rsidP="00272671">
      <w:pPr>
        <w:spacing w:after="120"/>
        <w:jc w:val="both"/>
        <w:rPr>
          <w:color w:val="000000"/>
        </w:rPr>
      </w:pPr>
      <w:r w:rsidRPr="00450695">
        <w:rPr>
          <w:color w:val="000000"/>
        </w:rPr>
        <w:t xml:space="preserve">Съгласно разпоредбите на чл. 27, ал. 4 на Закона за публичните финанси дефицитът по КФП на касова основа не може да надвишава 2,0 на сто от БВП. </w:t>
      </w:r>
      <w:r w:rsidR="00F26E33" w:rsidRPr="00450695">
        <w:rPr>
          <w:color w:val="000000"/>
        </w:rPr>
        <w:t xml:space="preserve">Първоначално </w:t>
      </w:r>
      <w:r w:rsidRPr="00450695">
        <w:rPr>
          <w:color w:val="000000"/>
        </w:rPr>
        <w:t xml:space="preserve">планираният </w:t>
      </w:r>
      <w:r w:rsidR="00F26E33" w:rsidRPr="00450695">
        <w:rPr>
          <w:color w:val="000000"/>
        </w:rPr>
        <w:t>дефицит по КФП (</w:t>
      </w:r>
      <w:r w:rsidR="003A5506">
        <w:rPr>
          <w:color w:val="000000"/>
        </w:rPr>
        <w:t xml:space="preserve">3 % от БВП </w:t>
      </w:r>
      <w:r w:rsidR="00F26E33" w:rsidRPr="00450695">
        <w:rPr>
          <w:color w:val="000000"/>
        </w:rPr>
        <w:t xml:space="preserve">заложен в </w:t>
      </w:r>
      <w:r w:rsidRPr="00450695">
        <w:rPr>
          <w:color w:val="000000"/>
        </w:rPr>
        <w:t>разчети</w:t>
      </w:r>
      <w:r w:rsidR="00F26E33" w:rsidRPr="00EC33FC">
        <w:rPr>
          <w:color w:val="000000"/>
        </w:rPr>
        <w:t>те</w:t>
      </w:r>
      <w:r w:rsidRPr="00450695">
        <w:rPr>
          <w:color w:val="000000"/>
        </w:rPr>
        <w:t xml:space="preserve"> към </w:t>
      </w:r>
      <w:r w:rsidR="00F26E33" w:rsidRPr="00450695">
        <w:rPr>
          <w:color w:val="000000"/>
        </w:rPr>
        <w:t xml:space="preserve">законопроекта за </w:t>
      </w:r>
      <w:r w:rsidRPr="00450695">
        <w:rPr>
          <w:color w:val="000000"/>
        </w:rPr>
        <w:t>ДБРБ за 2015 г. от есента на 2014 г.</w:t>
      </w:r>
      <w:r w:rsidR="00F26E33" w:rsidRPr="00450695">
        <w:rPr>
          <w:color w:val="000000"/>
        </w:rPr>
        <w:t>)</w:t>
      </w:r>
      <w:r w:rsidRPr="00450695">
        <w:rPr>
          <w:color w:val="000000"/>
        </w:rPr>
        <w:t xml:space="preserve">, актуализираните разчети </w:t>
      </w:r>
      <w:r w:rsidR="00F26E33" w:rsidRPr="00450695">
        <w:rPr>
          <w:color w:val="000000"/>
        </w:rPr>
        <w:t xml:space="preserve">за неговия размер, заложени в актуализацията на </w:t>
      </w:r>
      <w:r w:rsidRPr="00450695">
        <w:rPr>
          <w:color w:val="000000"/>
        </w:rPr>
        <w:t xml:space="preserve">ЗДБРБ за 2015 г. от есента на 2015 г., както и постигнатият на база отчетни данни дефицит по КФП </w:t>
      </w:r>
      <w:r w:rsidR="00C23C4F">
        <w:rPr>
          <w:color w:val="000000"/>
        </w:rPr>
        <w:t xml:space="preserve">(2.9 % от БВП) </w:t>
      </w:r>
      <w:r w:rsidRPr="00450695">
        <w:rPr>
          <w:color w:val="000000"/>
        </w:rPr>
        <w:t xml:space="preserve">не </w:t>
      </w:r>
      <w:r w:rsidR="00F26E33" w:rsidRPr="00450695">
        <w:rPr>
          <w:color w:val="000000"/>
        </w:rPr>
        <w:t xml:space="preserve">успяха да се вместят в рамките на това ограничение. </w:t>
      </w:r>
      <w:r w:rsidRPr="00450695">
        <w:rPr>
          <w:color w:val="000000"/>
        </w:rPr>
        <w:t xml:space="preserve">Следва обаче да се има предвид, че </w:t>
      </w:r>
      <w:r w:rsidR="00F26E33" w:rsidRPr="00450695">
        <w:rPr>
          <w:color w:val="000000"/>
        </w:rPr>
        <w:t xml:space="preserve">реализираното </w:t>
      </w:r>
      <w:r w:rsidRPr="00450695">
        <w:rPr>
          <w:color w:val="000000"/>
        </w:rPr>
        <w:t xml:space="preserve">значително отклонение през 2014 г. по отношение на дефицита по КФП спрямо изискванията на националните фискални правила не </w:t>
      </w:r>
      <w:r w:rsidR="00F26E33" w:rsidRPr="00EC33FC">
        <w:rPr>
          <w:color w:val="000000"/>
        </w:rPr>
        <w:t>б</w:t>
      </w:r>
      <w:r w:rsidRPr="00450695">
        <w:rPr>
          <w:color w:val="000000"/>
        </w:rPr>
        <w:t>е</w:t>
      </w:r>
      <w:r w:rsidR="00F26E33" w:rsidRPr="00EC33FC">
        <w:rPr>
          <w:color w:val="000000"/>
        </w:rPr>
        <w:t>ше</w:t>
      </w:r>
      <w:r w:rsidRPr="00450695">
        <w:rPr>
          <w:color w:val="000000"/>
        </w:rPr>
        <w:t xml:space="preserve"> възможно да бъде коригирано в краткосрочен хоризонт. Поради тази причина Актуализираната средносрочна бюджетна прогноза за периода 2016-</w:t>
      </w:r>
      <w:r w:rsidRPr="00272671">
        <w:rPr>
          <w:color w:val="000000"/>
        </w:rPr>
        <w:t xml:space="preserve">2018 </w:t>
      </w:r>
      <w:r w:rsidR="009C768E">
        <w:rPr>
          <w:color w:val="000000"/>
        </w:rPr>
        <w:t xml:space="preserve">г. </w:t>
      </w:r>
      <w:r w:rsidRPr="00272671">
        <w:rPr>
          <w:color w:val="000000"/>
        </w:rPr>
        <w:t>предвижда последователна фискална консолидация и постигане на свиване на дефицита по КФП под референтната стойност съгласно чл. 27, ал. 4 на Закона за публичните финанси през 2016 г. На тази база в ЗДБРБ за 2016 г. е заложена фискална цел дефицитът по КФП да не надвиши 2 на сто от БВП.</w:t>
      </w:r>
    </w:p>
    <w:p w:rsidR="00272671" w:rsidRPr="00272671" w:rsidRDefault="00EE12F9" w:rsidP="00272671">
      <w:pPr>
        <w:spacing w:after="120"/>
        <w:ind w:left="720"/>
        <w:jc w:val="both"/>
        <w:rPr>
          <w:b/>
          <w:bCs/>
          <w:i/>
          <w:iCs/>
          <w:color w:val="000000"/>
          <w:u w:val="single"/>
        </w:rPr>
      </w:pPr>
      <w:r w:rsidRPr="00EE12F9">
        <w:rPr>
          <w:b/>
          <w:bCs/>
          <w:i/>
          <w:iCs/>
          <w:color w:val="000000"/>
          <w:u w:val="single"/>
        </w:rPr>
        <w:lastRenderedPageBreak/>
        <w:t>Фискално правило по отношение на максималния размер на разходите по консолидираната фискална програма</w:t>
      </w:r>
    </w:p>
    <w:p w:rsidR="00272671" w:rsidRDefault="00272671" w:rsidP="00272671">
      <w:pPr>
        <w:spacing w:after="120"/>
        <w:jc w:val="both"/>
        <w:rPr>
          <w:bCs/>
          <w:iCs/>
          <w:color w:val="000000"/>
        </w:rPr>
      </w:pPr>
      <w:r w:rsidRPr="00272671">
        <w:rPr>
          <w:bCs/>
          <w:iCs/>
          <w:color w:val="000000"/>
        </w:rPr>
        <w:t>Крайният срок за финализиране на проектите по Оперативните програми и фондовете на ЕС за програмния период 2007-2013 доведе до конце</w:t>
      </w:r>
      <w:r w:rsidR="00260283">
        <w:rPr>
          <w:bCs/>
          <w:iCs/>
          <w:color w:val="000000"/>
        </w:rPr>
        <w:t>нт</w:t>
      </w:r>
      <w:r w:rsidRPr="00272671">
        <w:rPr>
          <w:bCs/>
          <w:iCs/>
          <w:color w:val="000000"/>
        </w:rPr>
        <w:t>риране на значителни по размер разходи в 2015 година. Това особено ясно личи при значителния ръст спрямо предходната година на капиталовите разходи и капиталовите трансфери по сметките за средства от ЕС, които нарастват номинално с над 60 на сто (около 2 млрд. лв.). Поради силно изразена цикличност при усвояването на средствата от ЕС, свързана със сроковете за приключване на проектите за програмния период 2007-201</w:t>
      </w:r>
      <w:r w:rsidR="005F1FA2">
        <w:rPr>
          <w:bCs/>
          <w:iCs/>
          <w:color w:val="000000"/>
        </w:rPr>
        <w:t>3</w:t>
      </w:r>
      <w:r w:rsidRPr="00272671">
        <w:rPr>
          <w:bCs/>
          <w:iCs/>
          <w:color w:val="000000"/>
        </w:rPr>
        <w:t xml:space="preserve"> г. през 2015 г. се отчита минимално превишение на максималния размер на разходите и вноската в общия бюджет на ЕС спрямо референтната стойност за разходите по КФП, заложени в Закона за публичните финанси. Общо разходите и вноската на Република България в общия бюджет на ЕС по КФП за 2015 г. представляват 40,2 % от БВП, което представлява минимално отклонение от референтната стойност от 40 на сто от БВП съгласно чл. 28 от Закона за публичните финанси.</w:t>
      </w:r>
    </w:p>
    <w:p w:rsidR="00D8431C" w:rsidRPr="00D8431C" w:rsidRDefault="00022148" w:rsidP="00D8431C">
      <w:pPr>
        <w:spacing w:after="120"/>
        <w:ind w:left="720"/>
        <w:jc w:val="both"/>
        <w:rPr>
          <w:b/>
          <w:bCs/>
          <w:i/>
          <w:iCs/>
          <w:color w:val="000000"/>
          <w:u w:val="single"/>
        </w:rPr>
      </w:pPr>
      <w:r w:rsidRPr="00022148">
        <w:rPr>
          <w:b/>
          <w:bCs/>
          <w:i/>
          <w:iCs/>
          <w:color w:val="000000"/>
          <w:u w:val="single"/>
        </w:rPr>
        <w:t>Фискално правило по отношение на номиналния размер на консолидирания дълг на сектор „Държавно управление“</w:t>
      </w:r>
    </w:p>
    <w:p w:rsidR="00D8431C" w:rsidRPr="00D8431C" w:rsidRDefault="00D8431C" w:rsidP="00D8431C">
      <w:pPr>
        <w:spacing w:after="200" w:line="264" w:lineRule="auto"/>
        <w:jc w:val="both"/>
        <w:rPr>
          <w:rFonts w:eastAsia="MS Mincho"/>
        </w:rPr>
      </w:pPr>
      <w:r w:rsidRPr="00D8431C">
        <w:rPr>
          <w:rFonts w:eastAsia="MS Mincho"/>
        </w:rPr>
        <w:t>През 2015 г. изискванията на разпоредбите по чл.</w:t>
      </w:r>
      <w:r w:rsidR="001653CA">
        <w:rPr>
          <w:rFonts w:eastAsia="MS Mincho"/>
        </w:rPr>
        <w:t xml:space="preserve"> </w:t>
      </w:r>
      <w:r w:rsidRPr="00D8431C">
        <w:rPr>
          <w:rFonts w:eastAsia="MS Mincho"/>
        </w:rPr>
        <w:t>29 от ЗПФ, касаещи фискалното правило за номиналния размер на консолидирания дълг на сектор „Държавно управление“, който към края на всяка година не може да надвишава 60 на сто от брутния вътрешен продукт</w:t>
      </w:r>
      <w:r w:rsidR="00556DDC">
        <w:rPr>
          <w:rFonts w:eastAsia="MS Mincho"/>
        </w:rPr>
        <w:t>,</w:t>
      </w:r>
      <w:r w:rsidRPr="00D8431C">
        <w:rPr>
          <w:rFonts w:eastAsia="MS Mincho"/>
        </w:rPr>
        <w:t xml:space="preserve"> са изпълнени. Съгласно предварителните годишни данни, публикувани от Евростат през месец април 2016 г., стойността на показателя консолидиран дълг на сектор „Държавно управление”/БВП възлиза на 26,7</w:t>
      </w:r>
      <w:r w:rsidR="00783CBE">
        <w:rPr>
          <w:rFonts w:eastAsia="MS Mincho"/>
        </w:rPr>
        <w:t xml:space="preserve"> </w:t>
      </w:r>
      <w:r w:rsidRPr="00D8431C">
        <w:rPr>
          <w:rFonts w:eastAsia="MS Mincho"/>
        </w:rPr>
        <w:t>% (при 27,0</w:t>
      </w:r>
      <w:r w:rsidR="00783CBE">
        <w:rPr>
          <w:rFonts w:eastAsia="MS Mincho"/>
        </w:rPr>
        <w:t xml:space="preserve"> </w:t>
      </w:r>
      <w:r w:rsidRPr="00D8431C">
        <w:rPr>
          <w:rFonts w:eastAsia="MS Mincho"/>
        </w:rPr>
        <w:t>% за 2014 г.</w:t>
      </w:r>
      <w:r w:rsidRPr="00D8431C">
        <w:rPr>
          <w:rFonts w:eastAsia="MS Mincho"/>
          <w:lang w:val="en-US"/>
        </w:rPr>
        <w:t>)</w:t>
      </w:r>
      <w:r>
        <w:rPr>
          <w:rFonts w:eastAsia="MS Mincho"/>
        </w:rPr>
        <w:t>.</w:t>
      </w:r>
    </w:p>
    <w:p w:rsidR="00272671" w:rsidRPr="00272671" w:rsidRDefault="00272671" w:rsidP="00272671">
      <w:pPr>
        <w:spacing w:after="120"/>
        <w:ind w:firstLine="720"/>
        <w:jc w:val="both"/>
        <w:rPr>
          <w:b/>
          <w:bCs/>
          <w:i/>
          <w:iCs/>
          <w:color w:val="000000"/>
          <w:u w:val="single"/>
        </w:rPr>
      </w:pPr>
      <w:r w:rsidRPr="00272671">
        <w:rPr>
          <w:b/>
          <w:bCs/>
          <w:i/>
          <w:iCs/>
          <w:color w:val="000000"/>
          <w:u w:val="single"/>
        </w:rPr>
        <w:t>Основни параметри по консолидираната фискална програма за 2015 г.</w:t>
      </w:r>
    </w:p>
    <w:p w:rsidR="00272671" w:rsidRPr="00272671" w:rsidRDefault="00272671" w:rsidP="00272671">
      <w:pPr>
        <w:spacing w:after="120"/>
        <w:jc w:val="both"/>
        <w:rPr>
          <w:bCs/>
          <w:color w:val="000000"/>
        </w:rPr>
      </w:pPr>
      <w:r w:rsidRPr="00272671">
        <w:rPr>
          <w:bCs/>
          <w:color w:val="000000"/>
        </w:rPr>
        <w:t>Приходите и помощите през 2015 г. достигат 37,3 % от БВП, като това е увеличение от 2,</w:t>
      </w:r>
      <w:r w:rsidR="005F1FA2">
        <w:rPr>
          <w:bCs/>
          <w:color w:val="000000"/>
        </w:rPr>
        <w:t>1</w:t>
      </w:r>
      <w:r w:rsidRPr="00272671">
        <w:rPr>
          <w:bCs/>
          <w:color w:val="000000"/>
        </w:rPr>
        <w:t xml:space="preserve"> п.</w:t>
      </w:r>
      <w:r w:rsidR="003030F6">
        <w:rPr>
          <w:bCs/>
          <w:color w:val="000000"/>
        </w:rPr>
        <w:t xml:space="preserve"> </w:t>
      </w:r>
      <w:r w:rsidRPr="00272671">
        <w:rPr>
          <w:bCs/>
          <w:color w:val="000000"/>
        </w:rPr>
        <w:t xml:space="preserve">п. спрямо 2014 г. В номинално изражение </w:t>
      </w:r>
      <w:r w:rsidRPr="00272671">
        <w:t>постъпленията по консолидираната фискална програма бележат ръст от 9,5 % (2 79</w:t>
      </w:r>
      <w:r w:rsidR="00B50E3D">
        <w:t>0</w:t>
      </w:r>
      <w:r w:rsidRPr="00272671">
        <w:t>,</w:t>
      </w:r>
      <w:r w:rsidR="00B50E3D">
        <w:t>4</w:t>
      </w:r>
      <w:r w:rsidRPr="00272671">
        <w:t xml:space="preserve"> млн. лева), като основен принос </w:t>
      </w:r>
      <w:r w:rsidR="00906204">
        <w:t>има</w:t>
      </w:r>
      <w:r w:rsidR="00C51F2F">
        <w:t>т</w:t>
      </w:r>
      <w:r w:rsidR="00906204">
        <w:t xml:space="preserve"> данъчните приходи и постъпленията в частта на помощите.</w:t>
      </w:r>
    </w:p>
    <w:p w:rsidR="00272671" w:rsidRPr="00272671" w:rsidRDefault="00272671" w:rsidP="00272671">
      <w:pPr>
        <w:spacing w:after="120"/>
        <w:jc w:val="both"/>
        <w:rPr>
          <w:bCs/>
          <w:color w:val="000000"/>
        </w:rPr>
      </w:pPr>
      <w:r w:rsidRPr="00272671">
        <w:rPr>
          <w:bCs/>
          <w:color w:val="000000"/>
        </w:rPr>
        <w:t xml:space="preserve">Данъчните приходи като относителен дял в БВП нарастват спрямо 2014 г. с 1,3 п.п., като ръст се наблюдава при почти всички групи данъчни приходоизточници с изключение на другите данъци, които запазват дела си. Продължават да се изпълняват набелязаните мерки за повишаване на събираемостта на приходите, борба с контрабандата и данъчните нарушения. Освен това се изпълняват и редица мерки за подобряване на комуникацията и улесняване на работата на бизнеса с приходните администрации, както и за намаляване на административната тежест. </w:t>
      </w:r>
      <w:r w:rsidR="00E16C7F">
        <w:rPr>
          <w:bCs/>
          <w:color w:val="000000"/>
        </w:rPr>
        <w:t>Е</w:t>
      </w:r>
      <w:r w:rsidR="00E16C7F" w:rsidRPr="00272671">
        <w:rPr>
          <w:bCs/>
          <w:color w:val="000000"/>
        </w:rPr>
        <w:t>фекти</w:t>
      </w:r>
      <w:r w:rsidR="00E16C7F">
        <w:rPr>
          <w:bCs/>
          <w:color w:val="000000"/>
        </w:rPr>
        <w:t>те</w:t>
      </w:r>
      <w:r w:rsidR="00E16C7F" w:rsidRPr="00272671">
        <w:rPr>
          <w:bCs/>
          <w:color w:val="000000"/>
        </w:rPr>
        <w:t xml:space="preserve"> </w:t>
      </w:r>
      <w:r w:rsidRPr="00272671">
        <w:rPr>
          <w:bCs/>
          <w:color w:val="000000"/>
        </w:rPr>
        <w:t xml:space="preserve">от тези мерки </w:t>
      </w:r>
      <w:r w:rsidR="00E16C7F">
        <w:rPr>
          <w:bCs/>
          <w:color w:val="000000"/>
        </w:rPr>
        <w:t>вече</w:t>
      </w:r>
      <w:r w:rsidRPr="00272671">
        <w:rPr>
          <w:bCs/>
          <w:color w:val="000000"/>
        </w:rPr>
        <w:t xml:space="preserve"> се проявяват, което наред с позитивното развитие на икономическата среда през годината допринесе за постигнатите положителни параметри в приходите от данъци.</w:t>
      </w:r>
    </w:p>
    <w:p w:rsidR="00272671" w:rsidRPr="00272671" w:rsidRDefault="00272671" w:rsidP="00272671">
      <w:pPr>
        <w:spacing w:after="120"/>
        <w:jc w:val="both"/>
        <w:rPr>
          <w:bCs/>
          <w:color w:val="000000"/>
        </w:rPr>
      </w:pPr>
      <w:r w:rsidRPr="00272671">
        <w:rPr>
          <w:bCs/>
          <w:color w:val="000000"/>
        </w:rPr>
        <w:t xml:space="preserve">С най-голям принос за ръста в частта на данъчните приходи са косвените данъци, които като относителен дял в БВП нарастват с 0,7 п.п. (в т.ч.  ръст от 0,4 п. п. при акцизите и 0,3 п.п. при ДДС). Увеличението на тези данъци е израз на нарастващото вътрешно потребление в страната и увеличената активност на икономическите агенти. Влияние за добрите резултати оказват и продължаващите действия от страна на приходните администрации за борба с укриването на данъци, мерките за изсветляване на икономиката, пресичането </w:t>
      </w:r>
      <w:r w:rsidR="002A7670">
        <w:rPr>
          <w:bCs/>
          <w:color w:val="000000"/>
        </w:rPr>
        <w:t xml:space="preserve">на </w:t>
      </w:r>
      <w:r w:rsidRPr="00272671">
        <w:rPr>
          <w:bCs/>
          <w:color w:val="000000"/>
        </w:rPr>
        <w:t xml:space="preserve">контрабандните канали и цялостното взаимодействие между приходните агенции и другите правоприлагащи органи за предотвратяване на икономически престъпления. През 2015 г. няма задържане на данъчен кредит и нивото му е близо до нивото в края на 2014 г., което е свързано с предприетите мерки за ускорено </w:t>
      </w:r>
      <w:r w:rsidRPr="00272671">
        <w:rPr>
          <w:bCs/>
          <w:color w:val="000000"/>
        </w:rPr>
        <w:lastRenderedPageBreak/>
        <w:t xml:space="preserve">възстановяване на ДДС към фирмите и с усилията за коректни взаимоотношения с бизнеса. </w:t>
      </w:r>
    </w:p>
    <w:p w:rsidR="00272671" w:rsidRPr="00272671" w:rsidRDefault="00272671" w:rsidP="00272671">
      <w:pPr>
        <w:spacing w:after="120"/>
        <w:jc w:val="both"/>
        <w:rPr>
          <w:bCs/>
          <w:color w:val="000000"/>
        </w:rPr>
      </w:pPr>
      <w:r w:rsidRPr="00272671">
        <w:rPr>
          <w:bCs/>
          <w:color w:val="000000"/>
        </w:rPr>
        <w:t>При относителния дял в БВП на преките данъци и приходите от социалноосигурителни вноски се наблюдава нарастване спрямо предходната година –</w:t>
      </w:r>
      <w:r w:rsidR="00B26199">
        <w:rPr>
          <w:bCs/>
          <w:color w:val="000000"/>
        </w:rPr>
        <w:t xml:space="preserve"> съответно с</w:t>
      </w:r>
      <w:r w:rsidRPr="00272671">
        <w:rPr>
          <w:bCs/>
          <w:color w:val="000000"/>
        </w:rPr>
        <w:t xml:space="preserve"> 0,2 п.п.</w:t>
      </w:r>
      <w:r w:rsidR="00B26199">
        <w:rPr>
          <w:bCs/>
          <w:color w:val="000000"/>
        </w:rPr>
        <w:t xml:space="preserve"> и 0.3 п. п.</w:t>
      </w:r>
      <w:r w:rsidRPr="00272671">
        <w:rPr>
          <w:bCs/>
          <w:color w:val="000000"/>
        </w:rPr>
        <w:t xml:space="preserve"> Основните фактори за по-високите постъпления през 2015 г. спрямо 2014 г. при данъка върху доходите на физическите лица и социалноосигурителните и здравноосигурителните вноски са тенденцията на нарастване на заетостта</w:t>
      </w:r>
      <w:r w:rsidR="00CB657C">
        <w:rPr>
          <w:bCs/>
          <w:color w:val="000000"/>
        </w:rPr>
        <w:t xml:space="preserve"> и на размера на компенсациите на наетите лица</w:t>
      </w:r>
      <w:r w:rsidRPr="00272671">
        <w:rPr>
          <w:bCs/>
          <w:color w:val="000000"/>
        </w:rPr>
        <w:t>. За увеличението на приходите от здравноосигурителните вноски влияние оказват и постъпленията от лицата, които през 2015 г. са се възползвали от възможността да възстановят здравноосигурителните си права. Нарастването на постъпленията при корпоративните данъци е резултат от увеличения положителен финансов резултат при фирмите, к</w:t>
      </w:r>
      <w:r w:rsidR="00CB657C">
        <w:rPr>
          <w:bCs/>
          <w:color w:val="000000"/>
        </w:rPr>
        <w:t>ое</w:t>
      </w:r>
      <w:r w:rsidRPr="00272671">
        <w:rPr>
          <w:bCs/>
          <w:color w:val="000000"/>
        </w:rPr>
        <w:t xml:space="preserve">то от своя страна е израз на настъпилото оживление в икономиката. </w:t>
      </w:r>
    </w:p>
    <w:p w:rsidR="00272671" w:rsidRPr="00272671" w:rsidRDefault="00272671" w:rsidP="00272671">
      <w:pPr>
        <w:spacing w:after="120"/>
        <w:jc w:val="both"/>
        <w:rPr>
          <w:bCs/>
          <w:color w:val="000000"/>
        </w:rPr>
      </w:pPr>
      <w:r w:rsidRPr="00272671">
        <w:rPr>
          <w:bCs/>
          <w:color w:val="000000"/>
        </w:rPr>
        <w:t>При неданъчните приходи като относителен дял в БВП се отбелязва нарастване в сравнение с предходната година в размер на 0,2 п.п., което се дължи основно на по-високи приходи от постъпления от емисии на квоти за парникови газове, приходи от общински такси, глоби, санкции и наказателни лихви и други неданъчни приходи.</w:t>
      </w:r>
    </w:p>
    <w:p w:rsidR="00272671" w:rsidRPr="00272671" w:rsidRDefault="00272671" w:rsidP="00272671">
      <w:pPr>
        <w:spacing w:after="120"/>
        <w:jc w:val="both"/>
        <w:rPr>
          <w:bCs/>
          <w:color w:val="000000"/>
        </w:rPr>
      </w:pPr>
      <w:r w:rsidRPr="00272671">
        <w:rPr>
          <w:bCs/>
          <w:color w:val="000000"/>
        </w:rPr>
        <w:t>Относителният дял в БВП на приходите от помощи нараства спрямо предходната година с 0,7 п.п. Ръстът при постъпленията от помощи през 2015 г. се дължи на изпратените към ЕК значително по-високи по размер декларирани за възстановяване сертификати за извършени разходи по Оперативните програми и фондовете на ЕС, което от своя страна е</w:t>
      </w:r>
      <w:r w:rsidRPr="00272671">
        <w:rPr>
          <w:bCs/>
          <w:iCs/>
          <w:color w:val="000000"/>
        </w:rPr>
        <w:t xml:space="preserve"> свързано със сроковете за приключване на проектите за програмния период 2007-2013 г.</w:t>
      </w:r>
      <w:r w:rsidRPr="00272671">
        <w:rPr>
          <w:bCs/>
          <w:color w:val="000000"/>
        </w:rPr>
        <w:t xml:space="preserve"> Поради посочената по-горе цикличност при усвояването на средствата от ЕС и концентрирането на значителни по размер разходи в последната допустима година за разплащане по проектите от предишния програмен период</w:t>
      </w:r>
      <w:r w:rsidR="00B26199">
        <w:rPr>
          <w:bCs/>
          <w:color w:val="000000"/>
        </w:rPr>
        <w:t>,</w:t>
      </w:r>
      <w:r w:rsidRPr="00272671">
        <w:rPr>
          <w:bCs/>
          <w:color w:val="000000"/>
        </w:rPr>
        <w:t xml:space="preserve"> възстановените към България суми, които постъпват в частта на помощите</w:t>
      </w:r>
      <w:r w:rsidR="00B26199">
        <w:rPr>
          <w:bCs/>
          <w:color w:val="000000"/>
        </w:rPr>
        <w:t>,</w:t>
      </w:r>
      <w:r w:rsidRPr="00272671">
        <w:rPr>
          <w:bCs/>
          <w:color w:val="000000"/>
        </w:rPr>
        <w:t xml:space="preserve"> също отчитат значителен ръст. Постъпленията са основно по програми, </w:t>
      </w:r>
      <w:r w:rsidRPr="00272671">
        <w:rPr>
          <w:bCs/>
        </w:rPr>
        <w:t xml:space="preserve">съфинансирани от </w:t>
      </w:r>
      <w:r w:rsidRPr="00272671">
        <w:t xml:space="preserve">Структурните и Кохезионния фондове на Европейския съюз </w:t>
      </w:r>
      <w:r w:rsidRPr="00272671">
        <w:rPr>
          <w:bCs/>
        </w:rPr>
        <w:t>(ЕС)</w:t>
      </w:r>
      <w:r w:rsidRPr="00272671">
        <w:t xml:space="preserve">, програмите, финансирани от Европейския фонд за регионално развитие, Европейския социален фонд (включително Инициативата за младежка заетост), </w:t>
      </w:r>
      <w:r w:rsidR="004526B9">
        <w:t xml:space="preserve">Европейския фонд за развитие на селските райони, </w:t>
      </w:r>
      <w:r w:rsidRPr="00272671">
        <w:t xml:space="preserve">Кохезионния фонд и </w:t>
      </w:r>
      <w:r w:rsidRPr="00272671">
        <w:rPr>
          <w:bCs/>
        </w:rPr>
        <w:t>Фонда за европейско подпомагане на най-нуждаещите се</w:t>
      </w:r>
      <w:r w:rsidRPr="00272671">
        <w:t xml:space="preserve"> (ФЕПН) на ЕС за финансовата рамка 2014 – 2020 г., </w:t>
      </w:r>
      <w:r w:rsidRPr="00272671">
        <w:rPr>
          <w:bCs/>
        </w:rPr>
        <w:t>ФМ на ЕИП и НФМ, двустранните програми за трансгранично сътрудничество по външните граници на EС за периода 2007 – 2013 г., както и за 2014 – 2020 г., Българо-швейцарската програма за сътрудничество</w:t>
      </w:r>
      <w:r w:rsidRPr="00272671">
        <w:rPr>
          <w:bCs/>
          <w:lang w:val="en-US"/>
        </w:rPr>
        <w:t xml:space="preserve"> </w:t>
      </w:r>
      <w:r w:rsidRPr="00272671">
        <w:rPr>
          <w:bCs/>
        </w:rPr>
        <w:t>и предприсъединителните програми</w:t>
      </w:r>
      <w:r w:rsidR="004526B9">
        <w:rPr>
          <w:bCs/>
        </w:rPr>
        <w:t xml:space="preserve"> и други.</w:t>
      </w:r>
    </w:p>
    <w:p w:rsidR="00272671" w:rsidRPr="00272671" w:rsidRDefault="00272671" w:rsidP="00272671">
      <w:pPr>
        <w:spacing w:after="120"/>
        <w:jc w:val="both"/>
        <w:rPr>
          <w:bCs/>
          <w:color w:val="000000"/>
        </w:rPr>
      </w:pPr>
      <w:r w:rsidRPr="00272671">
        <w:rPr>
          <w:bCs/>
          <w:color w:val="000000"/>
        </w:rPr>
        <w:t>Общите разходи и вноска</w:t>
      </w:r>
      <w:r w:rsidR="00623C2F">
        <w:rPr>
          <w:bCs/>
          <w:color w:val="000000"/>
        </w:rPr>
        <w:t>та</w:t>
      </w:r>
      <w:r w:rsidRPr="00272671">
        <w:rPr>
          <w:bCs/>
          <w:color w:val="000000"/>
        </w:rPr>
        <w:t xml:space="preserve"> на Република България в общия бюджет на ЕС през 2015 г. по КФП са в размер на 40,2 % от БВП, което представлява нарастване с 1,4 п.п. спрямо предходната година</w:t>
      </w:r>
      <w:r w:rsidR="00623C2F">
        <w:rPr>
          <w:bCs/>
          <w:color w:val="000000"/>
        </w:rPr>
        <w:t>.</w:t>
      </w:r>
      <w:r w:rsidRPr="00272671">
        <w:rPr>
          <w:bCs/>
          <w:color w:val="000000"/>
        </w:rPr>
        <w:t xml:space="preserve"> Разходните политики през годината бяха ориентирани към ускоряване реализацията на публични инвестиции, запазване на социалната ангажираност на държавата към най-уязвимите групи от населението и осигуряване на средства за нормалното функциониране на бюджетните системи. </w:t>
      </w:r>
      <w:r w:rsidR="00623C2F">
        <w:rPr>
          <w:bCs/>
          <w:color w:val="000000"/>
        </w:rPr>
        <w:t>Основната</w:t>
      </w:r>
      <w:r w:rsidRPr="00272671">
        <w:rPr>
          <w:bCs/>
          <w:color w:val="000000"/>
        </w:rPr>
        <w:t xml:space="preserve"> причина за отчетения ръст при разходите и вноската на </w:t>
      </w:r>
      <w:r w:rsidR="00623C2F">
        <w:rPr>
          <w:bCs/>
          <w:color w:val="000000"/>
        </w:rPr>
        <w:t>Р</w:t>
      </w:r>
      <w:r w:rsidRPr="00272671">
        <w:rPr>
          <w:bCs/>
          <w:color w:val="000000"/>
        </w:rPr>
        <w:t xml:space="preserve">епублика България в общия бюджет на ЕС спрямо предходната година е ръста на капиталовите разходи и капиталовите трансфери с 2,1 п.п., като това нарастване се дължи основно на по-високите инвестиционни разходи по сметките за средства от ЕС. Основен приоритет през годината бе успешното приключване на проектите по оперативните програми, Програмата за развитие на селските райони, Програмата за развитие на сектор „Рибарство“ и други програми на Европейския съюз за програмния период 2007-2013 г. Управляващите органи и бенефициентите по отделните програми положиха огромни усилия за изпълнение в регламентираните срокове на договорените проекти и минимизиране на загубата на европейско финансиране. </w:t>
      </w:r>
      <w:r w:rsidRPr="00272671">
        <w:rPr>
          <w:bCs/>
          <w:color w:val="000000"/>
        </w:rPr>
        <w:lastRenderedPageBreak/>
        <w:t xml:space="preserve">Преобладаващата част от увеличението на капиталовите разходи се дължи </w:t>
      </w:r>
      <w:r w:rsidR="00E05995">
        <w:rPr>
          <w:bCs/>
          <w:color w:val="000000"/>
        </w:rPr>
        <w:t xml:space="preserve">на </w:t>
      </w:r>
      <w:r w:rsidRPr="00272671">
        <w:rPr>
          <w:bCs/>
          <w:color w:val="000000"/>
        </w:rPr>
        <w:t>част</w:t>
      </w:r>
      <w:r w:rsidR="00E05995">
        <w:rPr>
          <w:bCs/>
          <w:color w:val="000000"/>
        </w:rPr>
        <w:t>та</w:t>
      </w:r>
      <w:r w:rsidRPr="00272671">
        <w:rPr>
          <w:bCs/>
          <w:color w:val="000000"/>
        </w:rPr>
        <w:t xml:space="preserve"> от тях, осъществявана с европейски средства. Най-голям дял по линия на европейските фондове заемат обектите от транспортната инфраструктура, инфраструктурата за опазването на околната среда и други аспекти на регионалното развитие. През 2015 г. е значителен и размерът на разплатените средства по проектите, подпомагащи конкурентоспособността на икономиката и развитието на човешките ресурси. </w:t>
      </w:r>
    </w:p>
    <w:p w:rsidR="00272671" w:rsidRPr="00272671" w:rsidRDefault="00503355" w:rsidP="00272671">
      <w:pPr>
        <w:spacing w:after="120"/>
        <w:jc w:val="both"/>
        <w:rPr>
          <w:bCs/>
          <w:color w:val="000000"/>
        </w:rPr>
      </w:pPr>
      <w:r>
        <w:rPr>
          <w:bCs/>
          <w:color w:val="000000"/>
        </w:rPr>
        <w:t xml:space="preserve">Относителният дял в БВП на </w:t>
      </w:r>
      <w:r w:rsidR="00272671" w:rsidRPr="00272671">
        <w:rPr>
          <w:bCs/>
          <w:color w:val="000000"/>
        </w:rPr>
        <w:t xml:space="preserve">разходите за </w:t>
      </w:r>
      <w:r w:rsidR="00E34D1B">
        <w:rPr>
          <w:bCs/>
          <w:color w:val="000000"/>
        </w:rPr>
        <w:t xml:space="preserve">заплати и осигурителни вноски </w:t>
      </w:r>
      <w:r w:rsidR="00272671" w:rsidRPr="00272671">
        <w:rPr>
          <w:bCs/>
          <w:color w:val="000000"/>
        </w:rPr>
        <w:t xml:space="preserve"> отчита намаление от 0,2 п.п. в сравнение с </w:t>
      </w:r>
      <w:r w:rsidR="009A51A5">
        <w:rPr>
          <w:bCs/>
          <w:color w:val="000000"/>
        </w:rPr>
        <w:t xml:space="preserve">предходната </w:t>
      </w:r>
      <w:r w:rsidR="00272671" w:rsidRPr="00272671">
        <w:rPr>
          <w:bCs/>
          <w:color w:val="000000"/>
        </w:rPr>
        <w:t xml:space="preserve"> година, като това е свързано с извърш</w:t>
      </w:r>
      <w:r w:rsidR="005A05C8">
        <w:rPr>
          <w:bCs/>
          <w:color w:val="000000"/>
        </w:rPr>
        <w:t>ената</w:t>
      </w:r>
      <w:r w:rsidR="00272671" w:rsidRPr="00272671">
        <w:rPr>
          <w:bCs/>
          <w:color w:val="000000"/>
        </w:rPr>
        <w:t xml:space="preserve"> оптимизация на персонала в различни административни структури. Друга група разходи, при които има по-чувствително намаление – с 0,</w:t>
      </w:r>
      <w:r w:rsidR="00B07588">
        <w:rPr>
          <w:bCs/>
          <w:color w:val="000000"/>
        </w:rPr>
        <w:t>5</w:t>
      </w:r>
      <w:r w:rsidR="00B07588" w:rsidRPr="00272671">
        <w:rPr>
          <w:bCs/>
          <w:color w:val="000000"/>
        </w:rPr>
        <w:t xml:space="preserve"> </w:t>
      </w:r>
      <w:r w:rsidR="00272671" w:rsidRPr="00272671">
        <w:rPr>
          <w:bCs/>
          <w:color w:val="000000"/>
        </w:rPr>
        <w:t xml:space="preserve">п.п. спрямо 2014 г., са разходите за издръжка, което е израз </w:t>
      </w:r>
      <w:r w:rsidR="00272671" w:rsidRPr="00AD7472">
        <w:rPr>
          <w:bCs/>
          <w:color w:val="000000"/>
        </w:rPr>
        <w:t>на предприетите стъпки за оптимизиране и свиване на неефективните публични разходи. Разходите за субсидии запазват размера си като процент от БВП спрямо предходната</w:t>
      </w:r>
      <w:r w:rsidR="00272671" w:rsidRPr="00272671">
        <w:rPr>
          <w:bCs/>
          <w:color w:val="000000"/>
        </w:rPr>
        <w:t xml:space="preserve"> година. Нивото на социално и здравноосигурителните плащания намалява минимално – с 0,2 п.п. спрямо 2014 г. Трябва обаче да се направи разграничение между отделните видове социални плащания. Средствата за пенсии нарастват главно от осъвременяването на пенсиите с 1,9 % по силата на „швейцарското правило“ и увеличаването на размера на максималната пенсия от юли 2015 г. При социалните помощи също има запазване на изразходваните средства на равнището от предходната година. Намалението на социалните разходи се дължи основно на намалението на здравноосигурителните плащания – с 0,2 п.п. През 2015 г. бяха затегнати контролните механизми при изразходването на обществените средства в системата на здравеопазването.</w:t>
      </w:r>
    </w:p>
    <w:p w:rsidR="00272671" w:rsidRPr="00272671" w:rsidRDefault="00272671" w:rsidP="00272671">
      <w:pPr>
        <w:jc w:val="both"/>
        <w:rPr>
          <w:color w:val="0070C0"/>
        </w:rPr>
      </w:pPr>
      <w:r w:rsidRPr="00272671">
        <w:rPr>
          <w:bCs/>
          <w:color w:val="000000"/>
        </w:rPr>
        <w:t>Нивото на лихвените разходи през 2015 г. бележи леко увеличение (с 0,1 п.п.) в сравнение с предходната година.</w:t>
      </w:r>
      <w:r w:rsidRPr="00272671">
        <w:rPr>
          <w:color w:val="0070C0"/>
        </w:rPr>
        <w:t xml:space="preserve"> </w:t>
      </w:r>
    </w:p>
    <w:p w:rsidR="00272671" w:rsidRPr="0029530C" w:rsidRDefault="00272671" w:rsidP="00781B85">
      <w:pPr>
        <w:pStyle w:val="Heading3"/>
        <w:numPr>
          <w:ilvl w:val="1"/>
          <w:numId w:val="62"/>
        </w:numPr>
        <w:rPr>
          <w:rFonts w:ascii="Times New Roman" w:hAnsi="Times New Roman"/>
          <w:color w:val="000000" w:themeColor="text1"/>
          <w:sz w:val="24"/>
          <w:lang w:val="bg-BG"/>
        </w:rPr>
      </w:pPr>
      <w:bookmarkStart w:id="106" w:name="_Toc393728051"/>
      <w:bookmarkStart w:id="107" w:name="_Toc462146100"/>
      <w:r w:rsidRPr="0029530C">
        <w:rPr>
          <w:rFonts w:ascii="Times New Roman" w:hAnsi="Times New Roman"/>
          <w:color w:val="000000" w:themeColor="text1"/>
          <w:sz w:val="24"/>
          <w:lang w:val="bg-BG"/>
        </w:rPr>
        <w:t>Промени в данъчното облагане през 2015 г.</w:t>
      </w:r>
      <w:bookmarkEnd w:id="106"/>
      <w:bookmarkEnd w:id="107"/>
    </w:p>
    <w:p w:rsidR="00272671" w:rsidRPr="00272671" w:rsidRDefault="00272671" w:rsidP="00272671">
      <w:pPr>
        <w:widowControl w:val="0"/>
        <w:suppressAutoHyphens/>
        <w:ind w:firstLine="567"/>
        <w:jc w:val="both"/>
        <w:rPr>
          <w:color w:val="000000"/>
        </w:rPr>
      </w:pPr>
      <w:r w:rsidRPr="00272671">
        <w:rPr>
          <w:color w:val="000000"/>
        </w:rPr>
        <w:t>Промените в данъчното законодателство за 2015 г. са свързани с реализирането на законодателни мерки по приоритетите на данъчната политика, а именно: мерки за намаляване на административната тежест и разходите за бизнеса и гражданите, мерки за стимулиране на икономическото развитие, инвестициите и заетостта и мерки за повишаване на бюджетните приходи. Приети са и промени, свързани с усъвършенстване на законодателството за улесняване на практическото му прилагане, както и за привеждане в съответствие на националното законодателство с правото на Европейския съюз – директиви, регламенти и практиката на Съда на Европейския съюз.</w:t>
      </w:r>
    </w:p>
    <w:p w:rsidR="00272671" w:rsidRPr="00272671" w:rsidRDefault="00272671" w:rsidP="00272671">
      <w:pPr>
        <w:widowControl w:val="0"/>
        <w:suppressAutoHyphens/>
        <w:ind w:firstLine="567"/>
        <w:jc w:val="both"/>
        <w:rPr>
          <w:rFonts w:eastAsia="DejaVu Sans"/>
          <w:bCs/>
          <w:color w:val="FF0000"/>
          <w:kern w:val="2"/>
          <w:sz w:val="12"/>
          <w:szCs w:val="12"/>
          <w:lang w:eastAsia="hi-IN" w:bidi="hi-IN"/>
        </w:rPr>
      </w:pPr>
    </w:p>
    <w:p w:rsidR="00272671" w:rsidRPr="00272671" w:rsidRDefault="00272671" w:rsidP="00272671">
      <w:pPr>
        <w:widowControl w:val="0"/>
        <w:suppressAutoHyphens/>
        <w:ind w:right="-284" w:firstLine="567"/>
        <w:jc w:val="both"/>
        <w:rPr>
          <w:rFonts w:eastAsia="DejaVu Sans"/>
          <w:bCs/>
          <w:kern w:val="2"/>
          <w:lang w:eastAsia="hi-IN" w:bidi="hi-IN"/>
        </w:rPr>
      </w:pPr>
      <w:r w:rsidRPr="00272671">
        <w:rPr>
          <w:b/>
          <w:u w:val="single"/>
        </w:rPr>
        <w:t>Промени в Закона за данък върху добавената стойност</w:t>
      </w:r>
    </w:p>
    <w:p w:rsidR="00272671" w:rsidRPr="00272671" w:rsidRDefault="00272671" w:rsidP="00307E17">
      <w:pPr>
        <w:widowControl w:val="0"/>
        <w:suppressAutoHyphens/>
        <w:spacing w:before="120" w:after="120"/>
        <w:ind w:firstLine="567"/>
        <w:jc w:val="both"/>
        <w:rPr>
          <w:b/>
          <w:bCs/>
          <w:i/>
          <w:color w:val="000000"/>
        </w:rPr>
      </w:pPr>
      <w:r w:rsidRPr="00272671">
        <w:rPr>
          <w:b/>
          <w:bCs/>
          <w:i/>
        </w:rPr>
        <w:t>Привеждане в съответствие на националното законодателство</w:t>
      </w:r>
      <w:r w:rsidRPr="00272671">
        <w:rPr>
          <w:b/>
          <w:bCs/>
          <w:i/>
          <w:color w:val="000000"/>
        </w:rPr>
        <w:t xml:space="preserve"> с изискванията на Директива 2008/8/ЕО на Съвета от 12 февруари 2008 година за изменение на Директива 2006/112/ЕО по отношение на мястото на доставка на услуги (Директива 2008/8/ЕО).</w:t>
      </w:r>
    </w:p>
    <w:p w:rsidR="00272671" w:rsidRPr="00272671" w:rsidRDefault="00272671" w:rsidP="00272671">
      <w:pPr>
        <w:autoSpaceDE w:val="0"/>
        <w:autoSpaceDN w:val="0"/>
        <w:adjustRightInd w:val="0"/>
        <w:ind w:firstLine="567"/>
        <w:jc w:val="both"/>
        <w:rPr>
          <w:color w:val="000000"/>
        </w:rPr>
      </w:pPr>
      <w:r w:rsidRPr="00272671">
        <w:rPr>
          <w:rFonts w:ascii="Calibri" w:hAnsi="Calibri" w:cs="Calibri"/>
          <w:color w:val="000000"/>
        </w:rPr>
        <w:t xml:space="preserve"> </w:t>
      </w:r>
      <w:r w:rsidRPr="00272671">
        <w:rPr>
          <w:color w:val="000000"/>
        </w:rPr>
        <w:t xml:space="preserve">Съгласно изискванията на Директива 2008/8/ЕО, считано от 1 януари 2015 г., доставките на далекосъобщителни услуги, услуги за радио- и телевизионно излъчване и услуги, извършвани по електронен път, предоставяни от данъчно задължени лица на данъчно незадължени лица, установени в Европейския съюз, ще се облагат в държавата, където получателят им е установен, има постоянен адрес или обичайно пребиваване, наричана държава - членка по потребление. </w:t>
      </w:r>
    </w:p>
    <w:p w:rsidR="00272671" w:rsidRPr="00272671" w:rsidRDefault="00272671" w:rsidP="00272671">
      <w:pPr>
        <w:widowControl w:val="0"/>
        <w:suppressAutoHyphens/>
        <w:ind w:firstLine="567"/>
        <w:jc w:val="both"/>
        <w:rPr>
          <w:color w:val="000000"/>
        </w:rPr>
      </w:pPr>
      <w:r w:rsidRPr="00272671">
        <w:rPr>
          <w:color w:val="000000"/>
        </w:rPr>
        <w:t xml:space="preserve">Приетите промени регламентират за доставчиците на тези услуги два режима за обслужване от типа „мини едно гише“ с цел облекчаване на данъчно задължените лица при изпълнение на техните задължения по ДДС. Режимите предоставят възможност на </w:t>
      </w:r>
      <w:r w:rsidRPr="00272671">
        <w:rPr>
          <w:color w:val="000000"/>
        </w:rPr>
        <w:lastRenderedPageBreak/>
        <w:t>лицата сами да определят една държава-членка, наричана държава-членка по идентификация, чрез която да изпълняват по електронен път всичките си задължения за регистрация, деклариране и внасяне на данък върху добавената стойност за извършените от тях доставки.</w:t>
      </w:r>
    </w:p>
    <w:p w:rsidR="00272671" w:rsidRPr="00272671" w:rsidRDefault="00272671" w:rsidP="00307E17">
      <w:pPr>
        <w:widowControl w:val="0"/>
        <w:suppressAutoHyphens/>
        <w:spacing w:before="120" w:after="120"/>
        <w:ind w:firstLine="567"/>
        <w:jc w:val="both"/>
        <w:rPr>
          <w:b/>
          <w:i/>
        </w:rPr>
      </w:pPr>
      <w:r w:rsidRPr="00272671">
        <w:rPr>
          <w:b/>
          <w:i/>
        </w:rPr>
        <w:t xml:space="preserve">Привеждане в съответствие на националното законодателство с изискванията на Регламент (ЕС) № 1407/2013 на Комисията от 18 декември 2013 г. относно прилагането на членове 107 и 108 от Договора за функционирането на Европейския съюз към помощта de minimis (Регламент (ЕС) № 1407/2013). </w:t>
      </w:r>
    </w:p>
    <w:p w:rsidR="00272671" w:rsidRPr="00272671" w:rsidRDefault="00272671" w:rsidP="00272671">
      <w:pPr>
        <w:autoSpaceDE w:val="0"/>
        <w:autoSpaceDN w:val="0"/>
        <w:adjustRightInd w:val="0"/>
        <w:ind w:firstLine="567"/>
        <w:jc w:val="both"/>
        <w:rPr>
          <w:color w:val="000000"/>
        </w:rPr>
      </w:pPr>
      <w:r w:rsidRPr="00272671">
        <w:rPr>
          <w:color w:val="000000"/>
        </w:rPr>
        <w:t xml:space="preserve">Новият регламент въвежда съществени изменения в условията, в сравнение с Регламент (ЕО) № 1998/2006 на Комисията от 15 декември 2006 година относно прилагането на членове 87 и 88 от Договора към минималната помощ (Регламент (ЕО) № 1998/2006), а именно: </w:t>
      </w:r>
    </w:p>
    <w:p w:rsidR="00272671" w:rsidRPr="00272671" w:rsidRDefault="00272671" w:rsidP="00781B85">
      <w:pPr>
        <w:numPr>
          <w:ilvl w:val="0"/>
          <w:numId w:val="49"/>
        </w:numPr>
        <w:tabs>
          <w:tab w:val="num" w:pos="0"/>
          <w:tab w:val="left" w:pos="851"/>
        </w:tabs>
        <w:autoSpaceDE w:val="0"/>
        <w:autoSpaceDN w:val="0"/>
        <w:adjustRightInd w:val="0"/>
        <w:ind w:left="0" w:firstLine="709"/>
        <w:jc w:val="both"/>
        <w:rPr>
          <w:color w:val="000000"/>
        </w:rPr>
      </w:pPr>
      <w:r w:rsidRPr="00272671">
        <w:rPr>
          <w:color w:val="000000"/>
        </w:rPr>
        <w:t>въведено е понятието „едно и също предприятие“;</w:t>
      </w:r>
    </w:p>
    <w:p w:rsidR="00272671" w:rsidRPr="00272671" w:rsidRDefault="00272671" w:rsidP="00781B85">
      <w:pPr>
        <w:numPr>
          <w:ilvl w:val="0"/>
          <w:numId w:val="49"/>
        </w:numPr>
        <w:tabs>
          <w:tab w:val="num" w:pos="0"/>
          <w:tab w:val="left" w:pos="851"/>
        </w:tabs>
        <w:autoSpaceDE w:val="0"/>
        <w:autoSpaceDN w:val="0"/>
        <w:adjustRightInd w:val="0"/>
        <w:ind w:left="0" w:firstLine="709"/>
        <w:jc w:val="both"/>
      </w:pPr>
      <w:r w:rsidRPr="00272671">
        <w:rPr>
          <w:color w:val="000000"/>
        </w:rPr>
        <w:t>н</w:t>
      </w:r>
      <w:r w:rsidRPr="00272671">
        <w:t>аправена е промяна в същността на помощ de minimis, съгласно която общият размер на помощта de minimis, предоставяна на „едно и също предприятие“, не трябва да надхвърля праг от левовата равностойност на 200 000 евро, а за осъществяване на автомобилни товарни превози за чужда сметка или срещу възнаграждение – праг от левовата равностойност на 100 000 евро, за период от три бюджетни години;</w:t>
      </w:r>
    </w:p>
    <w:p w:rsidR="00272671" w:rsidRPr="00272671" w:rsidRDefault="00272671" w:rsidP="00781B85">
      <w:pPr>
        <w:numPr>
          <w:ilvl w:val="0"/>
          <w:numId w:val="49"/>
        </w:numPr>
        <w:tabs>
          <w:tab w:val="num" w:pos="0"/>
          <w:tab w:val="left" w:pos="851"/>
        </w:tabs>
        <w:autoSpaceDE w:val="0"/>
        <w:autoSpaceDN w:val="0"/>
        <w:adjustRightInd w:val="0"/>
        <w:ind w:left="0" w:firstLine="709"/>
        <w:jc w:val="both"/>
      </w:pPr>
      <w:r w:rsidRPr="00272671">
        <w:t>кумулиране на помощ de minimis, предоставена съгласно Регламент (ЕС) № 1407/2013 с минимална помощ, предоставена съгласно Регламент (ЕС) № 360/2012 на Комисията относно прилагането на членове 107 и 108 от Договора за функционирането на Европейския съюз към минималната помощ (de minimis) за предприятия, предоставящи услуги от общ икономически интерес, както и с помощ de minimis, предоставяна съгласно други регламенти за помощ de minimis;</w:t>
      </w:r>
    </w:p>
    <w:p w:rsidR="00272671" w:rsidRPr="00272671" w:rsidRDefault="00272671" w:rsidP="00781B85">
      <w:pPr>
        <w:numPr>
          <w:ilvl w:val="0"/>
          <w:numId w:val="49"/>
        </w:numPr>
        <w:tabs>
          <w:tab w:val="num" w:pos="0"/>
          <w:tab w:val="left" w:pos="851"/>
        </w:tabs>
        <w:autoSpaceDE w:val="0"/>
        <w:autoSpaceDN w:val="0"/>
        <w:adjustRightInd w:val="0"/>
        <w:ind w:left="0" w:firstLine="709"/>
        <w:jc w:val="both"/>
      </w:pPr>
      <w:r w:rsidRPr="00272671">
        <w:t xml:space="preserve">помощта de minimis включва всички предходни помощи на преобразуващите се предприятия, в случаите на преобразуване или прехвърляне на предприятия. </w:t>
      </w:r>
    </w:p>
    <w:p w:rsidR="00272671" w:rsidRPr="00272671" w:rsidRDefault="00272671" w:rsidP="00307E17">
      <w:pPr>
        <w:autoSpaceDE w:val="0"/>
        <w:autoSpaceDN w:val="0"/>
        <w:adjustRightInd w:val="0"/>
        <w:spacing w:before="120" w:after="120"/>
        <w:ind w:firstLine="567"/>
        <w:jc w:val="both"/>
        <w:rPr>
          <w:i/>
        </w:rPr>
      </w:pPr>
      <w:r w:rsidRPr="00272671">
        <w:rPr>
          <w:b/>
          <w:bCs/>
          <w:i/>
        </w:rPr>
        <w:t xml:space="preserve">Привеждане в съответствие на националното законодателство с изискванията на Директива 2013/61/ЕС на съвета от 17 декември 2013 година за изменение на Директиви 2006/112/ЕО и 2008/118/ЕО по отношение на френските „най-отдалечени региони“, и по-специално на Майот. </w:t>
      </w:r>
      <w:r w:rsidRPr="00272671">
        <w:rPr>
          <w:i/>
        </w:rPr>
        <w:t xml:space="preserve">  </w:t>
      </w:r>
      <w:r w:rsidRPr="00272671">
        <w:rPr>
          <w:i/>
          <w:color w:val="000000"/>
        </w:rPr>
        <w:t xml:space="preserve"> </w:t>
      </w:r>
    </w:p>
    <w:p w:rsidR="00272671" w:rsidRPr="00272671" w:rsidRDefault="00272671" w:rsidP="00272671">
      <w:pPr>
        <w:autoSpaceDE w:val="0"/>
        <w:autoSpaceDN w:val="0"/>
        <w:adjustRightInd w:val="0"/>
        <w:ind w:firstLine="567"/>
        <w:jc w:val="both"/>
      </w:pPr>
      <w:r w:rsidRPr="00272671">
        <w:rPr>
          <w:color w:val="000000"/>
        </w:rPr>
        <w:t>Считано от 1 януари 2014 г., на Майот е даден статут на най-отдалечен регион по смисъла на член 349 от Договора за функционирането на Европейския съюз (ДФЕС), вместо на отвъдморска страна или територия по смисъла на член 355, параграф 2 от същия. По отношение на облагането с ДДС Майот придобива статут като на останалите френски най-</w:t>
      </w:r>
      <w:r w:rsidRPr="00272671">
        <w:t>отдалечени региони: Гваделупа, френска Гвиана, Мартиника, Реюнион и Сен Мартен, които са изключени от териториалния обхват на Директива 2006/112/ЕО на Съвета.</w:t>
      </w:r>
    </w:p>
    <w:p w:rsidR="00272671" w:rsidRPr="00272671" w:rsidRDefault="00272671" w:rsidP="00307E17">
      <w:pPr>
        <w:widowControl w:val="0"/>
        <w:suppressAutoHyphens/>
        <w:spacing w:before="120" w:after="120"/>
        <w:ind w:firstLine="567"/>
        <w:jc w:val="both"/>
        <w:rPr>
          <w:i/>
        </w:rPr>
      </w:pPr>
      <w:r w:rsidRPr="00272671">
        <w:rPr>
          <w:b/>
          <w:bCs/>
          <w:i/>
        </w:rPr>
        <w:t>Усъвършенстване на контрола върху доставките и движението на течни горива</w:t>
      </w:r>
    </w:p>
    <w:p w:rsidR="00272671" w:rsidRPr="00272671" w:rsidRDefault="00272671" w:rsidP="00272671">
      <w:pPr>
        <w:widowControl w:val="0"/>
        <w:suppressAutoHyphens/>
        <w:ind w:firstLine="567"/>
        <w:jc w:val="both"/>
      </w:pPr>
      <w:r w:rsidRPr="00272671">
        <w:t xml:space="preserve">Приети са промени в чл. 118 с цел осъществяването на ефективен контрол от приходните агенции върху целия процес свързан с доставките и движението на течни горива от производител и вносител до краен потребител и за предотвратяване укриването и невнасянето на данъци и недопускане появата на течни горива с неясен произход и качество в бензиностанциите и другите обекти за съхранение на горива. Съгласно промяната в ал. 8 всички данъчно задължени лица, които извършват зареждане на течни горива за собствени нужди са длъжни да регистрират и отчитат зареждането по реда на Наредба № Н-18 от 13.12.2006 г. за регистриране и отчитане на продажби в търговските обекти чрез фискални устройства, чрез използване на електронни системи с фискална </w:t>
      </w:r>
      <w:r w:rsidRPr="00272671">
        <w:lastRenderedPageBreak/>
        <w:t>памет, както и да предават по дистанционна връзка на Националната агенция за приходите и данните, които дават възможност за определяне на наличните количества горива в резервоарите за съхранение в обекта. Редът не се отнася за лице – получател на доставка на течни горива, което е бюджетна организация по смисъла на Закона за публичните финанси или общинско предприятие и не извършва продажби на течни горива.</w:t>
      </w:r>
    </w:p>
    <w:p w:rsidR="00272671" w:rsidRPr="00272671" w:rsidRDefault="00272671" w:rsidP="00272671">
      <w:pPr>
        <w:widowControl w:val="0"/>
        <w:suppressAutoHyphens/>
        <w:ind w:firstLine="567"/>
        <w:jc w:val="both"/>
        <w:rPr>
          <w:sz w:val="12"/>
          <w:szCs w:val="12"/>
        </w:rPr>
      </w:pPr>
    </w:p>
    <w:p w:rsidR="00272671" w:rsidRPr="00272671" w:rsidRDefault="00272671" w:rsidP="00272671">
      <w:pPr>
        <w:widowControl w:val="0"/>
        <w:suppressAutoHyphens/>
        <w:ind w:right="-284" w:firstLine="567"/>
        <w:jc w:val="both"/>
        <w:rPr>
          <w:rFonts w:eastAsia="DejaVu Sans"/>
          <w:b/>
          <w:bCs/>
          <w:kern w:val="2"/>
          <w:u w:val="single"/>
          <w:lang w:eastAsia="hi-IN" w:bidi="hi-IN"/>
        </w:rPr>
      </w:pPr>
      <w:r w:rsidRPr="00272671">
        <w:rPr>
          <w:rFonts w:eastAsia="DejaVu Sans"/>
          <w:b/>
          <w:bCs/>
          <w:kern w:val="2"/>
          <w:u w:val="single"/>
          <w:lang w:eastAsia="hi-IN" w:bidi="hi-IN"/>
        </w:rPr>
        <w:t>Промени в Закона за акцизите и данъчните складове</w:t>
      </w:r>
    </w:p>
    <w:p w:rsidR="00272671" w:rsidRPr="00272671" w:rsidRDefault="00272671" w:rsidP="00307E17">
      <w:pPr>
        <w:widowControl w:val="0"/>
        <w:suppressAutoHyphens/>
        <w:spacing w:before="120" w:after="120"/>
        <w:ind w:right="-284" w:firstLine="567"/>
        <w:jc w:val="both"/>
        <w:rPr>
          <w:b/>
          <w:bCs/>
          <w:i/>
        </w:rPr>
      </w:pPr>
      <w:r w:rsidRPr="00272671">
        <w:rPr>
          <w:b/>
          <w:bCs/>
          <w:i/>
        </w:rPr>
        <w:t>Прецизиране на определението за „частни развлекателни полети и плаване”</w:t>
      </w:r>
    </w:p>
    <w:p w:rsidR="00272671" w:rsidRPr="00272671" w:rsidRDefault="00272671" w:rsidP="00272671">
      <w:pPr>
        <w:widowControl w:val="0"/>
        <w:suppressAutoHyphens/>
        <w:ind w:firstLine="567"/>
        <w:jc w:val="both"/>
        <w:rPr>
          <w:sz w:val="23"/>
          <w:szCs w:val="23"/>
        </w:rPr>
      </w:pPr>
      <w:r w:rsidRPr="00272671">
        <w:t>Във връзка с получено запитване от ЕК за предоставяне на допълнителна информация по прилагане в националното законодателство на разпоредбите на член 14, параграф 1, букви „б“ и „в" от Директива 2003/96/ЕО на Съвета от 27 октомври 2003 година относно преструктурирането на правната рамка на Общността за данъчно облагане на енергийните продукти и електроенергията (Енергийната директива) относно освобождаването от акциз на енергийни продукти, използвани за целите на въздухоплаването и на корабоплаването, Република България е поела ангажимент да бъде прецизирано определението за „частни развлекателни полети и плаване" в чл. 4, т.15 от ЗАДС</w:t>
      </w:r>
      <w:r w:rsidRPr="00272671">
        <w:rPr>
          <w:sz w:val="23"/>
          <w:szCs w:val="23"/>
        </w:rPr>
        <w:t>.</w:t>
      </w:r>
    </w:p>
    <w:p w:rsidR="00272671" w:rsidRPr="00272671" w:rsidRDefault="00272671" w:rsidP="00307E17">
      <w:pPr>
        <w:autoSpaceDE w:val="0"/>
        <w:autoSpaceDN w:val="0"/>
        <w:adjustRightInd w:val="0"/>
        <w:spacing w:before="120" w:after="120"/>
        <w:ind w:firstLine="567"/>
        <w:jc w:val="both"/>
        <w:rPr>
          <w:i/>
          <w:color w:val="000000"/>
        </w:rPr>
      </w:pPr>
      <w:r w:rsidRPr="00272671">
        <w:rPr>
          <w:b/>
          <w:bCs/>
          <w:i/>
          <w:color w:val="000000"/>
        </w:rPr>
        <w:t xml:space="preserve">Прецизиране на правилата за отпадъците от тютюн </w:t>
      </w:r>
    </w:p>
    <w:p w:rsidR="00272671" w:rsidRPr="00272671" w:rsidRDefault="00272671" w:rsidP="00272671">
      <w:pPr>
        <w:widowControl w:val="0"/>
        <w:suppressAutoHyphens/>
        <w:ind w:firstLine="567"/>
        <w:jc w:val="both"/>
        <w:rPr>
          <w:color w:val="000000"/>
        </w:rPr>
      </w:pPr>
      <w:r w:rsidRPr="00272671">
        <w:rPr>
          <w:color w:val="000000"/>
        </w:rPr>
        <w:t>С приетите изменения и допълнения в чл. 12 се създава по-ясна процедура за предаване на отпадъците от тютюн за унищожаване, тъй като действащите до 31.12.2014 г. разпоредби затрудняват контрола на митническите органи по правилното проследяване на отпадъците от тютюн.</w:t>
      </w:r>
    </w:p>
    <w:p w:rsidR="00272671" w:rsidRPr="00272671" w:rsidRDefault="00272671" w:rsidP="00307E17">
      <w:pPr>
        <w:autoSpaceDE w:val="0"/>
        <w:autoSpaceDN w:val="0"/>
        <w:adjustRightInd w:val="0"/>
        <w:spacing w:before="120" w:after="120"/>
        <w:ind w:firstLine="567"/>
        <w:jc w:val="both"/>
        <w:rPr>
          <w:b/>
          <w:i/>
          <w:color w:val="000000"/>
        </w:rPr>
      </w:pPr>
      <w:r w:rsidRPr="00272671">
        <w:rPr>
          <w:b/>
          <w:bCs/>
          <w:i/>
          <w:color w:val="000000"/>
        </w:rPr>
        <w:t xml:space="preserve">Поетапно увеличаване на акцизната ставка на цигарите и времеви график </w:t>
      </w:r>
    </w:p>
    <w:p w:rsidR="00272671" w:rsidRPr="00272671" w:rsidRDefault="00272671" w:rsidP="00272671">
      <w:pPr>
        <w:autoSpaceDE w:val="0"/>
        <w:autoSpaceDN w:val="0"/>
        <w:adjustRightInd w:val="0"/>
        <w:ind w:firstLine="567"/>
        <w:jc w:val="both"/>
        <w:rPr>
          <w:color w:val="000000"/>
        </w:rPr>
      </w:pPr>
      <w:r w:rsidRPr="00272671">
        <w:rPr>
          <w:color w:val="000000"/>
        </w:rPr>
        <w:t>Прието е поетапно увеличаване на акцизната ставка на цигарите и времеви график за достигане на минималните нива на облагане от 90 евро за 1000 къса до 31 декември 2017 г., както следва:</w:t>
      </w:r>
    </w:p>
    <w:p w:rsidR="00272671" w:rsidRPr="00272671" w:rsidRDefault="00272671" w:rsidP="00272671">
      <w:pPr>
        <w:autoSpaceDE w:val="0"/>
        <w:autoSpaceDN w:val="0"/>
        <w:adjustRightInd w:val="0"/>
        <w:ind w:firstLine="709"/>
        <w:jc w:val="both"/>
        <w:rPr>
          <w:color w:val="000000"/>
        </w:rPr>
      </w:pPr>
      <w:r w:rsidRPr="00272671">
        <w:rPr>
          <w:color w:val="000000"/>
        </w:rPr>
        <w:t xml:space="preserve">Акцизната ставка за цигарите е: </w:t>
      </w:r>
    </w:p>
    <w:p w:rsidR="00272671" w:rsidRPr="00272671" w:rsidRDefault="00272671" w:rsidP="00272671">
      <w:pPr>
        <w:autoSpaceDE w:val="0"/>
        <w:autoSpaceDN w:val="0"/>
        <w:adjustRightInd w:val="0"/>
        <w:ind w:firstLine="709"/>
        <w:jc w:val="both"/>
        <w:rPr>
          <w:color w:val="000000"/>
        </w:rPr>
      </w:pPr>
      <w:r w:rsidRPr="00272671">
        <w:rPr>
          <w:color w:val="000000"/>
        </w:rPr>
        <w:t xml:space="preserve">1. на специфичния акциз – 101 лв. на 1000 къса; </w:t>
      </w:r>
    </w:p>
    <w:p w:rsidR="00272671" w:rsidRPr="00272671" w:rsidRDefault="00272671" w:rsidP="00272671">
      <w:pPr>
        <w:autoSpaceDE w:val="0"/>
        <w:autoSpaceDN w:val="0"/>
        <w:adjustRightInd w:val="0"/>
        <w:ind w:firstLine="709"/>
        <w:jc w:val="both"/>
        <w:rPr>
          <w:color w:val="000000"/>
        </w:rPr>
      </w:pPr>
      <w:r w:rsidRPr="00272671">
        <w:rPr>
          <w:color w:val="000000"/>
        </w:rPr>
        <w:t xml:space="preserve">2. на пропорционалния акциз: </w:t>
      </w:r>
    </w:p>
    <w:p w:rsidR="00272671" w:rsidRPr="00272671" w:rsidRDefault="00272671" w:rsidP="00272671">
      <w:pPr>
        <w:autoSpaceDE w:val="0"/>
        <w:autoSpaceDN w:val="0"/>
        <w:adjustRightInd w:val="0"/>
        <w:ind w:firstLine="709"/>
        <w:jc w:val="both"/>
        <w:rPr>
          <w:color w:val="000000"/>
        </w:rPr>
      </w:pPr>
      <w:r w:rsidRPr="00272671">
        <w:rPr>
          <w:color w:val="000000"/>
        </w:rPr>
        <w:t xml:space="preserve">а) 25 на сто от 1 януари 2016 година; </w:t>
      </w:r>
    </w:p>
    <w:p w:rsidR="00272671" w:rsidRPr="00272671" w:rsidRDefault="00272671" w:rsidP="00272671">
      <w:pPr>
        <w:autoSpaceDE w:val="0"/>
        <w:autoSpaceDN w:val="0"/>
        <w:adjustRightInd w:val="0"/>
        <w:ind w:firstLine="709"/>
        <w:jc w:val="both"/>
        <w:rPr>
          <w:color w:val="000000"/>
        </w:rPr>
      </w:pPr>
      <w:r w:rsidRPr="00272671">
        <w:rPr>
          <w:color w:val="000000"/>
        </w:rPr>
        <w:t xml:space="preserve">б) 27 на сто от 1 януари 2017 година; </w:t>
      </w:r>
    </w:p>
    <w:p w:rsidR="00272671" w:rsidRPr="00272671" w:rsidRDefault="00272671" w:rsidP="00272671">
      <w:pPr>
        <w:autoSpaceDE w:val="0"/>
        <w:autoSpaceDN w:val="0"/>
        <w:adjustRightInd w:val="0"/>
        <w:ind w:firstLine="709"/>
        <w:jc w:val="both"/>
        <w:rPr>
          <w:color w:val="000000"/>
        </w:rPr>
      </w:pPr>
      <w:r w:rsidRPr="00272671">
        <w:rPr>
          <w:color w:val="000000"/>
        </w:rPr>
        <w:t xml:space="preserve">в) 28 на сто от 1 януари 2018 година. </w:t>
      </w:r>
    </w:p>
    <w:p w:rsidR="00272671" w:rsidRPr="00272671" w:rsidRDefault="00272671" w:rsidP="00272671">
      <w:pPr>
        <w:autoSpaceDE w:val="0"/>
        <w:autoSpaceDN w:val="0"/>
        <w:adjustRightInd w:val="0"/>
        <w:ind w:firstLine="709"/>
        <w:jc w:val="both"/>
        <w:rPr>
          <w:color w:val="000000"/>
        </w:rPr>
      </w:pPr>
      <w:r w:rsidRPr="00272671">
        <w:rPr>
          <w:color w:val="000000"/>
        </w:rPr>
        <w:t xml:space="preserve">Размерът на акциза по ал.1 не трябва да е по-малък от: </w:t>
      </w:r>
    </w:p>
    <w:p w:rsidR="00272671" w:rsidRPr="00272671" w:rsidRDefault="00272671" w:rsidP="00272671">
      <w:pPr>
        <w:autoSpaceDE w:val="0"/>
        <w:autoSpaceDN w:val="0"/>
        <w:adjustRightInd w:val="0"/>
        <w:ind w:firstLine="709"/>
        <w:jc w:val="both"/>
        <w:rPr>
          <w:color w:val="000000"/>
        </w:rPr>
      </w:pPr>
      <w:r w:rsidRPr="00272671">
        <w:rPr>
          <w:color w:val="000000"/>
        </w:rPr>
        <w:t xml:space="preserve">1. 161 лв. за 1000 къса от 1 януари 2016 г.; </w:t>
      </w:r>
    </w:p>
    <w:p w:rsidR="00272671" w:rsidRPr="00272671" w:rsidRDefault="00272671" w:rsidP="00272671">
      <w:pPr>
        <w:autoSpaceDE w:val="0"/>
        <w:autoSpaceDN w:val="0"/>
        <w:adjustRightInd w:val="0"/>
        <w:ind w:firstLine="709"/>
        <w:jc w:val="both"/>
        <w:rPr>
          <w:color w:val="000000"/>
        </w:rPr>
      </w:pPr>
      <w:r w:rsidRPr="00272671">
        <w:rPr>
          <w:color w:val="000000"/>
        </w:rPr>
        <w:t xml:space="preserve">2. 168 лв. за 1000 къса от 1 януари 2017 г.; </w:t>
      </w:r>
    </w:p>
    <w:p w:rsidR="00272671" w:rsidRPr="00272671" w:rsidRDefault="00272671" w:rsidP="00272671">
      <w:pPr>
        <w:widowControl w:val="0"/>
        <w:suppressAutoHyphens/>
        <w:ind w:firstLine="709"/>
        <w:jc w:val="both"/>
        <w:rPr>
          <w:color w:val="000000"/>
        </w:rPr>
      </w:pPr>
      <w:r w:rsidRPr="00272671">
        <w:rPr>
          <w:color w:val="000000"/>
        </w:rPr>
        <w:t>3. 177 лв. за 1000 къса от 1 януари 2018 г.</w:t>
      </w:r>
    </w:p>
    <w:p w:rsidR="00272671" w:rsidRPr="00272671" w:rsidRDefault="00272671" w:rsidP="00307E17">
      <w:pPr>
        <w:widowControl w:val="0"/>
        <w:suppressAutoHyphens/>
        <w:spacing w:before="120" w:after="120"/>
        <w:ind w:firstLine="567"/>
        <w:jc w:val="both"/>
        <w:rPr>
          <w:b/>
          <w:bCs/>
          <w:i/>
        </w:rPr>
      </w:pPr>
      <w:r w:rsidRPr="00272671">
        <w:rPr>
          <w:b/>
          <w:bCs/>
          <w:i/>
        </w:rPr>
        <w:t>Намаляване на административната тежест при издаване на лиценз за управление на данъчен склад</w:t>
      </w:r>
    </w:p>
    <w:p w:rsidR="00272671" w:rsidRPr="00272671" w:rsidRDefault="00272671" w:rsidP="00272671">
      <w:pPr>
        <w:widowControl w:val="0"/>
        <w:suppressAutoHyphens/>
        <w:ind w:firstLine="567"/>
        <w:jc w:val="both"/>
        <w:rPr>
          <w:b/>
          <w:bCs/>
          <w:i/>
        </w:rPr>
      </w:pPr>
      <w:r w:rsidRPr="00272671">
        <w:t>При издаване на лиценз за управление на данъчен склад е отменено изискването да се прилагат годишните финансови отчети за предходните три години, тъй като информацията съдържаща се в отчетите не е от значение при издаването на лиценз за управление на данъчен склад.</w:t>
      </w:r>
    </w:p>
    <w:p w:rsidR="00272671" w:rsidRPr="00272671" w:rsidRDefault="00272671" w:rsidP="00307E17">
      <w:pPr>
        <w:widowControl w:val="0"/>
        <w:suppressAutoHyphens/>
        <w:spacing w:before="120" w:after="120"/>
        <w:ind w:firstLine="567"/>
        <w:jc w:val="both"/>
      </w:pPr>
      <w:r w:rsidRPr="00272671">
        <w:rPr>
          <w:b/>
          <w:bCs/>
          <w:i/>
          <w:color w:val="000000"/>
        </w:rPr>
        <w:t>Отмяна на изискването за поставяне на акцизен бандерол за малки опаковки</w:t>
      </w:r>
    </w:p>
    <w:p w:rsidR="00272671" w:rsidRPr="00272671" w:rsidRDefault="00272671" w:rsidP="00272671">
      <w:pPr>
        <w:widowControl w:val="0"/>
        <w:suppressAutoHyphens/>
        <w:ind w:firstLine="567"/>
        <w:jc w:val="both"/>
      </w:pPr>
      <w:r w:rsidRPr="00272671">
        <w:t>Приета е промяна в чл. 64</w:t>
      </w:r>
      <w:r w:rsidR="008408CA">
        <w:t xml:space="preserve"> </w:t>
      </w:r>
      <w:r w:rsidR="0024217A">
        <w:t>от</w:t>
      </w:r>
      <w:r w:rsidR="008408CA">
        <w:t xml:space="preserve"> ЗАДС</w:t>
      </w:r>
      <w:r w:rsidRPr="00272671">
        <w:t xml:space="preserve">, съгласно която се предоставя възможност за хранителни добавки, съдържащи етилов алкохол за който е платен акциза, опаковани в малки опаковки (до 50 мл), да не се поставя акцизен бандерол. Практиката на митническите органи показва, че в много от случаите върху потребителската опаковка на </w:t>
      </w:r>
      <w:r w:rsidRPr="00272671">
        <w:lastRenderedPageBreak/>
        <w:t>тези стоки не може да бъде поставен бандерол.</w:t>
      </w:r>
    </w:p>
    <w:p w:rsidR="00272671" w:rsidRPr="00272671" w:rsidRDefault="00272671" w:rsidP="00307E17">
      <w:pPr>
        <w:autoSpaceDE w:val="0"/>
        <w:autoSpaceDN w:val="0"/>
        <w:adjustRightInd w:val="0"/>
        <w:spacing w:before="120" w:after="120"/>
        <w:ind w:firstLine="567"/>
        <w:jc w:val="both"/>
        <w:rPr>
          <w:b/>
          <w:i/>
          <w:color w:val="000000"/>
        </w:rPr>
      </w:pPr>
      <w:r w:rsidRPr="00272671">
        <w:rPr>
          <w:b/>
          <w:bCs/>
          <w:i/>
          <w:color w:val="000000"/>
        </w:rPr>
        <w:t xml:space="preserve">Ограничаване на възможността за неправомерно използване на тежки и маркирани горива </w:t>
      </w:r>
    </w:p>
    <w:p w:rsidR="00272671" w:rsidRPr="00272671" w:rsidRDefault="00272671" w:rsidP="00272671">
      <w:pPr>
        <w:autoSpaceDE w:val="0"/>
        <w:autoSpaceDN w:val="0"/>
        <w:adjustRightInd w:val="0"/>
        <w:ind w:firstLine="567"/>
        <w:jc w:val="both"/>
      </w:pPr>
      <w:r w:rsidRPr="00272671">
        <w:rPr>
          <w:color w:val="000000"/>
        </w:rPr>
        <w:t>Приета е промяна в чл. 94</w:t>
      </w:r>
      <w:r w:rsidR="0014583E">
        <w:rPr>
          <w:color w:val="000000"/>
        </w:rPr>
        <w:t xml:space="preserve"> </w:t>
      </w:r>
      <w:r w:rsidR="0014583E">
        <w:t>от ЗАДС</w:t>
      </w:r>
      <w:r w:rsidRPr="00272671">
        <w:rPr>
          <w:color w:val="000000"/>
        </w:rPr>
        <w:t xml:space="preserve">, съгласно която се ограничава възможността за неправомерно използване на тежки и маркирани горива не по предназначение като гориво за отопление, а като моторно гориво, за което акцизната ставка е в по-висок размер и горивото се съдържа в резервоарите на моторни превозни средства, самоходни машини и всякакъв друг вид превозни средства. В тази връзка е приет нов чл. 94а по отношение </w:t>
      </w:r>
      <w:r w:rsidRPr="00272671">
        <w:t>налагането на административно наказателна санкция на лицата, получили или разпоредили се неправомерно с маркирано гориво за отопление.</w:t>
      </w:r>
    </w:p>
    <w:p w:rsidR="00272671" w:rsidRPr="00272671" w:rsidRDefault="00272671" w:rsidP="00307E17">
      <w:pPr>
        <w:autoSpaceDE w:val="0"/>
        <w:autoSpaceDN w:val="0"/>
        <w:adjustRightInd w:val="0"/>
        <w:spacing w:before="120" w:after="120"/>
        <w:ind w:firstLine="567"/>
        <w:jc w:val="both"/>
        <w:rPr>
          <w:i/>
          <w:color w:val="000000"/>
        </w:rPr>
      </w:pPr>
      <w:r w:rsidRPr="00272671">
        <w:rPr>
          <w:b/>
          <w:bCs/>
          <w:i/>
          <w:color w:val="000000"/>
        </w:rPr>
        <w:t xml:space="preserve">Безвъзмездно предоставяне на енергийни продукти отнети в полза на държавата </w:t>
      </w:r>
    </w:p>
    <w:p w:rsidR="00272671" w:rsidRPr="00272671" w:rsidRDefault="00272671" w:rsidP="00272671">
      <w:pPr>
        <w:autoSpaceDE w:val="0"/>
        <w:autoSpaceDN w:val="0"/>
        <w:adjustRightInd w:val="0"/>
        <w:ind w:firstLine="567"/>
        <w:jc w:val="both"/>
        <w:rPr>
          <w:color w:val="000000"/>
        </w:rPr>
      </w:pPr>
      <w:r w:rsidRPr="00272671">
        <w:rPr>
          <w:color w:val="000000"/>
        </w:rPr>
        <w:t xml:space="preserve">Предоставена е възможност отнетите в полза на държавата енергийни продукти, които са годни за употреба и не представляват опасност за живота и здравето на хората или за околната среда, да могат да се предоставят безвъзмездно на лечебни заведения, училища и социални заведения, както и на хора с увреждания или на крайно нуждаещи се лица, по ред определен с наредбата по чл. 124, ал. 4 </w:t>
      </w:r>
      <w:r w:rsidR="0014583E">
        <w:t>от ЗАДС</w:t>
      </w:r>
      <w:r w:rsidRPr="00272671">
        <w:rPr>
          <w:color w:val="000000"/>
        </w:rPr>
        <w:t>, издадена от министъра на финансите.</w:t>
      </w:r>
    </w:p>
    <w:p w:rsidR="00272671" w:rsidRPr="00272671" w:rsidRDefault="00272671" w:rsidP="00307E17">
      <w:pPr>
        <w:autoSpaceDE w:val="0"/>
        <w:autoSpaceDN w:val="0"/>
        <w:adjustRightInd w:val="0"/>
        <w:spacing w:before="120" w:after="120"/>
        <w:ind w:firstLine="567"/>
        <w:jc w:val="both"/>
        <w:rPr>
          <w:b/>
          <w:bCs/>
          <w:i/>
          <w:sz w:val="23"/>
          <w:szCs w:val="23"/>
        </w:rPr>
      </w:pPr>
      <w:r w:rsidRPr="00272671">
        <w:rPr>
          <w:b/>
          <w:bCs/>
          <w:i/>
          <w:sz w:val="23"/>
          <w:szCs w:val="23"/>
        </w:rPr>
        <w:t>Усъвършенстване на контрола върху акцизните стоки със средства за измерване и контрол</w:t>
      </w:r>
    </w:p>
    <w:p w:rsidR="00272671" w:rsidRPr="00272671" w:rsidRDefault="00272671" w:rsidP="00272671">
      <w:pPr>
        <w:autoSpaceDE w:val="0"/>
        <w:autoSpaceDN w:val="0"/>
        <w:adjustRightInd w:val="0"/>
        <w:ind w:firstLine="567"/>
        <w:jc w:val="both"/>
      </w:pPr>
      <w:r w:rsidRPr="00272671">
        <w:t>Въведено е задължение за данъчно задължените лица по ЗАДС, да използват средства за измерване и контрол, които да отговарят на изискванията на закона и нормативните актове по прилагането му, а средствата за измерване и контрол, които са средства за измерване по смисъла на Закона за измерванията, трябва да отговарят на изискванията на Закона за измерванията и нормативните актове по прилагането му. Всички данни от средствата за измерване и контрол ще се отразяват в отчетността на лицата, а данните от средствата за измерване и контрол, които имат техническа възможност за електронно предаване на данни ще се предават по електронен път в автоматизираната система за отчетност на лицата. До Централно митническо управление ще се изпращат данни от средствата за измерване и контрол, информацията от които е от съществено значение за осъществяване на ефективен контрол и за определяне на задължения за акциз.</w:t>
      </w:r>
    </w:p>
    <w:p w:rsidR="00272671" w:rsidRPr="00272671" w:rsidRDefault="00272671" w:rsidP="00272671">
      <w:pPr>
        <w:autoSpaceDE w:val="0"/>
        <w:autoSpaceDN w:val="0"/>
        <w:adjustRightInd w:val="0"/>
        <w:ind w:firstLine="567"/>
        <w:jc w:val="both"/>
      </w:pPr>
      <w:r w:rsidRPr="00272671">
        <w:t>Предоставена е законова възможност на митническите органи да използват данните от средствата за измерване и контрол за определяне на данъчната основа за облагане с акциз и за определяне на публични държавни вземания.</w:t>
      </w:r>
    </w:p>
    <w:p w:rsidR="00272671" w:rsidRPr="00272671" w:rsidRDefault="00272671" w:rsidP="00307E17">
      <w:pPr>
        <w:autoSpaceDE w:val="0"/>
        <w:autoSpaceDN w:val="0"/>
        <w:adjustRightInd w:val="0"/>
        <w:spacing w:before="120" w:after="120"/>
        <w:ind w:firstLine="567"/>
        <w:jc w:val="both"/>
        <w:rPr>
          <w:b/>
          <w:bCs/>
        </w:rPr>
      </w:pPr>
      <w:r w:rsidRPr="00272671">
        <w:rPr>
          <w:b/>
          <w:bCs/>
          <w:i/>
        </w:rPr>
        <w:t>Предоставяне на информация на НАП за издадените ревизионни актове от митническите органи</w:t>
      </w:r>
    </w:p>
    <w:p w:rsidR="00272671" w:rsidRPr="00272671" w:rsidRDefault="00272671" w:rsidP="00272671">
      <w:pPr>
        <w:autoSpaceDE w:val="0"/>
        <w:autoSpaceDN w:val="0"/>
        <w:adjustRightInd w:val="0"/>
        <w:ind w:firstLine="567"/>
        <w:jc w:val="both"/>
        <w:rPr>
          <w:color w:val="000000"/>
        </w:rPr>
      </w:pPr>
      <w:r w:rsidRPr="00272671">
        <w:rPr>
          <w:color w:val="000000"/>
        </w:rPr>
        <w:t>Получената информация може да се използва от органите по приходите на НАП за анализ и оценка на риска, както и за предприемане на действия по извършване на данъчни проверки и ревизии на рискови икономически оператори за определяне на задължения по други видове данъци – данък върху добавената стойност, корпоративен данък, данъци върху доходите на физическите лица.</w:t>
      </w:r>
    </w:p>
    <w:p w:rsidR="00272671" w:rsidRPr="00272671" w:rsidRDefault="00272671" w:rsidP="00272671">
      <w:pPr>
        <w:autoSpaceDE w:val="0"/>
        <w:autoSpaceDN w:val="0"/>
        <w:adjustRightInd w:val="0"/>
        <w:ind w:firstLine="567"/>
        <w:jc w:val="both"/>
        <w:rPr>
          <w:sz w:val="12"/>
          <w:szCs w:val="12"/>
        </w:rPr>
      </w:pPr>
    </w:p>
    <w:p w:rsidR="00272671" w:rsidRPr="00272671" w:rsidRDefault="00272671" w:rsidP="00272671">
      <w:pPr>
        <w:widowControl w:val="0"/>
        <w:suppressAutoHyphens/>
        <w:ind w:right="-284" w:firstLine="567"/>
        <w:jc w:val="both"/>
        <w:rPr>
          <w:rFonts w:eastAsia="DejaVu Sans"/>
          <w:b/>
          <w:bCs/>
          <w:kern w:val="2"/>
          <w:u w:val="single"/>
          <w:lang w:eastAsia="hi-IN" w:bidi="hi-IN"/>
        </w:rPr>
      </w:pPr>
      <w:r w:rsidRPr="00272671">
        <w:rPr>
          <w:rFonts w:eastAsia="DejaVu Sans"/>
          <w:b/>
          <w:bCs/>
          <w:kern w:val="2"/>
          <w:u w:val="single"/>
          <w:lang w:eastAsia="hi-IN" w:bidi="hi-IN"/>
        </w:rPr>
        <w:t>Промени в Закона за корпоративното подоходно облагане</w:t>
      </w:r>
    </w:p>
    <w:p w:rsidR="00272671" w:rsidRPr="00272671" w:rsidRDefault="00272671" w:rsidP="00307E17">
      <w:pPr>
        <w:widowControl w:val="0"/>
        <w:suppressAutoHyphens/>
        <w:spacing w:before="120" w:after="120"/>
        <w:ind w:firstLine="567"/>
        <w:jc w:val="both"/>
        <w:rPr>
          <w:b/>
          <w:bCs/>
          <w:i/>
        </w:rPr>
      </w:pPr>
      <w:r w:rsidRPr="00272671">
        <w:rPr>
          <w:b/>
          <w:bCs/>
          <w:i/>
        </w:rPr>
        <w:t>Нов данък върху допълнителните разходи на народните представители</w:t>
      </w:r>
    </w:p>
    <w:p w:rsidR="00272671" w:rsidRPr="00272671" w:rsidRDefault="00272671" w:rsidP="00272671">
      <w:pPr>
        <w:widowControl w:val="0"/>
        <w:suppressAutoHyphens/>
        <w:ind w:firstLine="567"/>
        <w:jc w:val="both"/>
      </w:pPr>
      <w:r w:rsidRPr="00272671">
        <w:t xml:space="preserve">От 1 януари 2015 г. е въведен данък върху допълнителните разходи на народните представители. Допълнителните разходи на народните представители, регламентирани в </w:t>
      </w:r>
      <w:r w:rsidRPr="00272671">
        <w:lastRenderedPageBreak/>
        <w:t>чл. 12 от приложение „Финансови правила по бюджета на Народното събрание” на Правилника за организацията и дейността на Народното събрание ще се облагат с данък в размер 10 на сто.</w:t>
      </w:r>
    </w:p>
    <w:p w:rsidR="00272671" w:rsidRPr="00272671" w:rsidRDefault="00272671" w:rsidP="00307E17">
      <w:pPr>
        <w:autoSpaceDE w:val="0"/>
        <w:autoSpaceDN w:val="0"/>
        <w:adjustRightInd w:val="0"/>
        <w:spacing w:before="120" w:after="120"/>
        <w:ind w:firstLine="567"/>
        <w:jc w:val="both"/>
        <w:rPr>
          <w:i/>
          <w:color w:val="000000"/>
        </w:rPr>
      </w:pPr>
      <w:r w:rsidRPr="00272671">
        <w:rPr>
          <w:b/>
          <w:bCs/>
          <w:i/>
          <w:color w:val="000000"/>
        </w:rPr>
        <w:t>Автоматичен обмен на информация</w:t>
      </w:r>
    </w:p>
    <w:p w:rsidR="00272671" w:rsidRPr="00272671" w:rsidRDefault="00272671" w:rsidP="00272671">
      <w:pPr>
        <w:widowControl w:val="0"/>
        <w:suppressAutoHyphens/>
        <w:ind w:firstLine="567"/>
        <w:jc w:val="both"/>
        <w:rPr>
          <w:color w:val="000000"/>
        </w:rPr>
      </w:pPr>
      <w:r w:rsidRPr="00272671">
        <w:rPr>
          <w:color w:val="000000"/>
        </w:rPr>
        <w:t>Въведен е срок за подаване на информация за доходите, за които се извършва автоматичен обмен на информация, в случаите на прекратяване на данъчно задълженото лице, което е задължено да подава информация. По този начин се уеднаквява редът за подаване на информация по Закона за корпоративното подоходно облагане с реда по Закона за данъците върху доходите на физическите лица.</w:t>
      </w:r>
    </w:p>
    <w:p w:rsidR="00272671" w:rsidRPr="00272671" w:rsidRDefault="00272671" w:rsidP="00307E17">
      <w:pPr>
        <w:autoSpaceDE w:val="0"/>
        <w:autoSpaceDN w:val="0"/>
        <w:adjustRightInd w:val="0"/>
        <w:spacing w:before="120" w:after="120"/>
        <w:ind w:firstLine="567"/>
        <w:jc w:val="both"/>
        <w:rPr>
          <w:i/>
          <w:color w:val="000000"/>
        </w:rPr>
      </w:pPr>
      <w:r w:rsidRPr="00272671">
        <w:rPr>
          <w:b/>
          <w:bCs/>
          <w:i/>
          <w:color w:val="000000"/>
        </w:rPr>
        <w:t xml:space="preserve">Освобождаване от облагане с данък при източника на доходите на чуждестранни юридически лица от лихви, авторски и лицензионни възнаграждения </w:t>
      </w:r>
    </w:p>
    <w:p w:rsidR="00272671" w:rsidRPr="00272671" w:rsidRDefault="00272671" w:rsidP="00272671">
      <w:pPr>
        <w:widowControl w:val="0"/>
        <w:suppressAutoHyphens/>
        <w:ind w:firstLine="567"/>
        <w:jc w:val="both"/>
        <w:rPr>
          <w:color w:val="000000"/>
        </w:rPr>
      </w:pPr>
      <w:r w:rsidRPr="00272671">
        <w:rPr>
          <w:color w:val="000000"/>
        </w:rPr>
        <w:t>Съгласно изискванията на Директива 2003/49/ЕО на Съвета относно общата система на данъчно облагане на плащания на лихви и роялти между свързани дружества от различни държави-членки на ЕС, държавите-членки нямат право да облагат лихви, авторски и лицензионни възнаграждения начислени от местни дружества в полза на дружества от други държави–членки, когато платеца и получателя на дохода са свързани лица.</w:t>
      </w:r>
    </w:p>
    <w:p w:rsidR="00272671" w:rsidRPr="00272671" w:rsidRDefault="00272671" w:rsidP="00272671">
      <w:pPr>
        <w:autoSpaceDE w:val="0"/>
        <w:autoSpaceDN w:val="0"/>
        <w:adjustRightInd w:val="0"/>
        <w:ind w:firstLine="567"/>
        <w:jc w:val="both"/>
        <w:rPr>
          <w:i/>
          <w:color w:val="000000"/>
        </w:rPr>
      </w:pPr>
      <w:r w:rsidRPr="00272671">
        <w:rPr>
          <w:b/>
          <w:bCs/>
          <w:i/>
          <w:color w:val="000000"/>
        </w:rPr>
        <w:t>Разширяване обхвата на освобождаването от облагане за доходи от лихви по облигации</w:t>
      </w:r>
    </w:p>
    <w:p w:rsidR="00272671" w:rsidRPr="00272671" w:rsidRDefault="00272671" w:rsidP="00272671">
      <w:pPr>
        <w:widowControl w:val="0"/>
        <w:suppressAutoHyphens/>
        <w:ind w:firstLine="567"/>
        <w:jc w:val="both"/>
        <w:rPr>
          <w:color w:val="000000"/>
        </w:rPr>
      </w:pPr>
      <w:r w:rsidRPr="00272671">
        <w:rPr>
          <w:color w:val="000000"/>
        </w:rPr>
        <w:t>Приета е промяна в чл. 195, съгласно която се освобождават от облагане с данък при източника, доходите на чуждестранни юридически лица от лихви по облигации или други дългови ценни книжа, издадени от държавата и общините и допуснати до търговия на регулиран пазар в страната или в държава-членка на Европейския съюз, или на друга държава – страна по Споразумението за Европейското икономическо пространство. По този начин се създава еднакъв данъчен режим по отношение на доходите на чуждестранни юридически лица от лихви по облигации или други дългови ценни книжа, издадени както от местни юридически лица, така и от държавата и общините.</w:t>
      </w:r>
    </w:p>
    <w:p w:rsidR="00272671" w:rsidRPr="00272671" w:rsidRDefault="00272671" w:rsidP="00307E17">
      <w:pPr>
        <w:widowControl w:val="0"/>
        <w:suppressAutoHyphens/>
        <w:spacing w:before="120" w:after="120"/>
        <w:ind w:firstLine="567"/>
        <w:jc w:val="both"/>
        <w:rPr>
          <w:b/>
          <w:bCs/>
          <w:i/>
        </w:rPr>
      </w:pPr>
      <w:r w:rsidRPr="00272671">
        <w:rPr>
          <w:b/>
          <w:bCs/>
          <w:i/>
        </w:rPr>
        <w:t>Минимална или държавна помощ под формата на данъчни облекчения</w:t>
      </w:r>
    </w:p>
    <w:p w:rsidR="00272671" w:rsidRPr="00272671" w:rsidRDefault="00272671" w:rsidP="00272671">
      <w:pPr>
        <w:ind w:firstLine="567"/>
        <w:jc w:val="both"/>
      </w:pPr>
      <w:r w:rsidRPr="00272671">
        <w:t xml:space="preserve">Промените произтичат от задължението, всяка държава-членка на ЕС да отрази новите европейски правила за минимални и държавни помощи в националното си законодателство. </w:t>
      </w:r>
    </w:p>
    <w:p w:rsidR="00272671" w:rsidRPr="00272671" w:rsidRDefault="00272671" w:rsidP="00272671">
      <w:pPr>
        <w:autoSpaceDE w:val="0"/>
        <w:autoSpaceDN w:val="0"/>
        <w:adjustRightInd w:val="0"/>
        <w:ind w:firstLine="709"/>
        <w:jc w:val="both"/>
      </w:pPr>
      <w:r w:rsidRPr="00272671">
        <w:rPr>
          <w:b/>
          <w:bCs/>
          <w:i/>
          <w:iCs/>
        </w:rPr>
        <w:t xml:space="preserve">- Данъчно облекчение, представляващо минимална помощ - </w:t>
      </w:r>
      <w:r w:rsidRPr="00272671">
        <w:t>Регламент (ЕС) № 1407/2013 въвежда нови съществени условия в сравнение с Регламент № 1998/2006 на Комисията от 15 декември 2006 година относно прилагането на членове 87 и 88 от Договора към минималната помощ.</w:t>
      </w:r>
    </w:p>
    <w:p w:rsidR="00272671" w:rsidRPr="00272671" w:rsidRDefault="00272671" w:rsidP="00307E17">
      <w:pPr>
        <w:autoSpaceDE w:val="0"/>
        <w:autoSpaceDN w:val="0"/>
        <w:adjustRightInd w:val="0"/>
        <w:spacing w:before="120" w:after="120"/>
        <w:ind w:firstLine="709"/>
        <w:jc w:val="both"/>
      </w:pPr>
      <w:r w:rsidRPr="00272671">
        <w:rPr>
          <w:b/>
          <w:bCs/>
          <w:i/>
          <w:iCs/>
        </w:rPr>
        <w:t>- Данъчни облекчения под формата на държавна помощ</w:t>
      </w:r>
      <w:r w:rsidRPr="00272671">
        <w:rPr>
          <w:bCs/>
          <w:iCs/>
        </w:rPr>
        <w:t xml:space="preserve">: </w:t>
      </w:r>
    </w:p>
    <w:p w:rsidR="00272671" w:rsidRPr="00272671" w:rsidRDefault="00272671" w:rsidP="00272671">
      <w:pPr>
        <w:autoSpaceDE w:val="0"/>
        <w:autoSpaceDN w:val="0"/>
        <w:adjustRightInd w:val="0"/>
        <w:ind w:firstLine="709"/>
        <w:jc w:val="both"/>
      </w:pPr>
      <w:r w:rsidRPr="00272671">
        <w:rPr>
          <w:b/>
          <w:i/>
          <w:iCs/>
        </w:rPr>
        <w:t xml:space="preserve">          Данъчно облекчение, представляващо държавна помощ за регионално развитие</w:t>
      </w:r>
      <w:r w:rsidRPr="00272671">
        <w:rPr>
          <w:i/>
          <w:iCs/>
        </w:rPr>
        <w:t xml:space="preserve"> - п</w:t>
      </w:r>
      <w:r w:rsidRPr="00272671">
        <w:t xml:space="preserve">ромените в закона отразяват, както условията в новите Насоки 2014 - 2020 г. за отпускане на държавна помощ на предприятията за регионално развитие, така и на критериите в Картата на национална регионална държавна помощ 2014 - 2020 г. за Република България. </w:t>
      </w:r>
    </w:p>
    <w:p w:rsidR="00272671" w:rsidRPr="00272671" w:rsidRDefault="00272671" w:rsidP="00272671">
      <w:pPr>
        <w:ind w:firstLine="709"/>
        <w:jc w:val="both"/>
      </w:pPr>
      <w:r w:rsidRPr="00272671">
        <w:rPr>
          <w:b/>
          <w:i/>
          <w:iCs/>
        </w:rPr>
        <w:t xml:space="preserve">        Данъчно облекчение, представляващо държавна помощ за земеделски производители</w:t>
      </w:r>
      <w:r w:rsidRPr="00272671">
        <w:rPr>
          <w:iCs/>
        </w:rPr>
        <w:t xml:space="preserve"> - с</w:t>
      </w:r>
      <w:r w:rsidRPr="00272671">
        <w:t xml:space="preserve">ъобразно новите Насоки на ЕС за държавната помощ в секторите на селското и горското стопанство и в селските райони за периода 2014 - 2020 г., които са в сила от 1 юли 2014 г., са приети промени в данъчното облекчение, представляващо държавна помощ за земеделски производители. Предвидена е промяна, с която се въвежда </w:t>
      </w:r>
      <w:r w:rsidRPr="00272671">
        <w:lastRenderedPageBreak/>
        <w:t xml:space="preserve">изискване към големите предприятия за подаване на формуляр за кандидатстване за помощ. </w:t>
      </w:r>
    </w:p>
    <w:p w:rsidR="00272671" w:rsidRPr="00272671" w:rsidRDefault="00272671" w:rsidP="00272671">
      <w:pPr>
        <w:ind w:firstLine="709"/>
        <w:jc w:val="both"/>
        <w:rPr>
          <w:sz w:val="12"/>
          <w:szCs w:val="12"/>
        </w:rPr>
      </w:pPr>
    </w:p>
    <w:p w:rsidR="00272671" w:rsidRPr="00272671" w:rsidRDefault="00272671" w:rsidP="00272671">
      <w:pPr>
        <w:widowControl w:val="0"/>
        <w:suppressAutoHyphens/>
        <w:ind w:right="-284" w:firstLine="567"/>
        <w:jc w:val="both"/>
        <w:rPr>
          <w:rFonts w:eastAsia="DejaVu Sans"/>
          <w:b/>
          <w:bCs/>
          <w:kern w:val="2"/>
          <w:u w:val="single"/>
          <w:lang w:eastAsia="hi-IN" w:bidi="hi-IN"/>
        </w:rPr>
      </w:pPr>
      <w:r w:rsidRPr="00272671">
        <w:rPr>
          <w:rFonts w:eastAsia="DejaVu Sans"/>
          <w:b/>
          <w:bCs/>
          <w:kern w:val="2"/>
          <w:u w:val="single"/>
          <w:lang w:eastAsia="hi-IN" w:bidi="hi-IN"/>
        </w:rPr>
        <w:t>Промени в Закона за данъците върху доходите на физическите лица</w:t>
      </w:r>
    </w:p>
    <w:p w:rsidR="00272671" w:rsidRPr="00272671" w:rsidRDefault="00272671" w:rsidP="00307E17">
      <w:pPr>
        <w:autoSpaceDE w:val="0"/>
        <w:autoSpaceDN w:val="0"/>
        <w:adjustRightInd w:val="0"/>
        <w:spacing w:before="120" w:after="120"/>
        <w:ind w:firstLine="567"/>
        <w:jc w:val="both"/>
        <w:rPr>
          <w:i/>
          <w:color w:val="000000"/>
        </w:rPr>
      </w:pPr>
      <w:r w:rsidRPr="00272671">
        <w:rPr>
          <w:b/>
          <w:bCs/>
          <w:i/>
          <w:color w:val="000000"/>
        </w:rPr>
        <w:t>Отмяна на данъчното облекчение за доходи от трудови правоотношения</w:t>
      </w:r>
    </w:p>
    <w:p w:rsidR="00272671" w:rsidRPr="00272671" w:rsidRDefault="00272671" w:rsidP="00272671">
      <w:pPr>
        <w:autoSpaceDE w:val="0"/>
        <w:autoSpaceDN w:val="0"/>
        <w:adjustRightInd w:val="0"/>
        <w:ind w:firstLine="567"/>
        <w:jc w:val="both"/>
        <w:rPr>
          <w:color w:val="000000"/>
        </w:rPr>
      </w:pPr>
      <w:r w:rsidRPr="00272671">
        <w:rPr>
          <w:color w:val="000000"/>
        </w:rPr>
        <w:t xml:space="preserve">От 1 януари 2015 г. е отменено данъчното облекчение за доходи, непревишаващи минималната работна заплата. </w:t>
      </w:r>
    </w:p>
    <w:p w:rsidR="00272671" w:rsidRPr="00272671" w:rsidRDefault="00272671" w:rsidP="00307E17">
      <w:pPr>
        <w:autoSpaceDE w:val="0"/>
        <w:autoSpaceDN w:val="0"/>
        <w:adjustRightInd w:val="0"/>
        <w:spacing w:before="120" w:after="120"/>
        <w:ind w:firstLine="567"/>
        <w:jc w:val="both"/>
        <w:rPr>
          <w:i/>
          <w:color w:val="000000"/>
        </w:rPr>
      </w:pPr>
      <w:r w:rsidRPr="00272671">
        <w:rPr>
          <w:b/>
          <w:bCs/>
          <w:i/>
          <w:color w:val="000000"/>
        </w:rPr>
        <w:t>Нови данъчни облекчения за деца</w:t>
      </w:r>
    </w:p>
    <w:p w:rsidR="00272671" w:rsidRPr="00272671" w:rsidRDefault="00272671" w:rsidP="00272671">
      <w:pPr>
        <w:autoSpaceDE w:val="0"/>
        <w:autoSpaceDN w:val="0"/>
        <w:adjustRightInd w:val="0"/>
        <w:ind w:firstLine="567"/>
        <w:jc w:val="both"/>
        <w:rPr>
          <w:color w:val="000000"/>
        </w:rPr>
      </w:pPr>
      <w:r w:rsidRPr="00272671">
        <w:rPr>
          <w:color w:val="000000"/>
        </w:rPr>
        <w:t xml:space="preserve">Въведени се две нови данъчни облекчения за деца, с цел осигуряване на финансови стимули от страна на държавата за подпомагане отглеждането на деца в България и увеличаване участието на жените с деца на пазара на труда, както и за намаляване на детската бедност. </w:t>
      </w:r>
    </w:p>
    <w:p w:rsidR="00272671" w:rsidRPr="00272671" w:rsidRDefault="00272671" w:rsidP="00307E17">
      <w:pPr>
        <w:autoSpaceDE w:val="0"/>
        <w:autoSpaceDN w:val="0"/>
        <w:adjustRightInd w:val="0"/>
        <w:spacing w:before="120" w:after="120"/>
        <w:ind w:firstLine="567"/>
        <w:jc w:val="both"/>
        <w:rPr>
          <w:i/>
          <w:color w:val="000000"/>
        </w:rPr>
      </w:pPr>
      <w:r w:rsidRPr="00272671">
        <w:rPr>
          <w:b/>
          <w:bCs/>
          <w:i/>
          <w:color w:val="000000"/>
        </w:rPr>
        <w:t>Разширяване на данъчната основа за данъка върху доходите от лихви</w:t>
      </w:r>
    </w:p>
    <w:p w:rsidR="00272671" w:rsidRPr="00272671" w:rsidRDefault="00272671" w:rsidP="00272671">
      <w:pPr>
        <w:widowControl w:val="0"/>
        <w:suppressAutoHyphens/>
        <w:ind w:firstLine="567"/>
        <w:jc w:val="both"/>
      </w:pPr>
      <w:r w:rsidRPr="00272671">
        <w:rPr>
          <w:color w:val="000000"/>
        </w:rPr>
        <w:t xml:space="preserve">От 1 януари 2015 г.  се разширява данъчната основа за облагане с данък върху доходите от лихви, като с окончателен данък се облага брутната сума на придобитите от местни физически лица доходи от лихви, не само по депозитни, а по всички банкови сметки, като данъчната ставка остава </w:t>
      </w:r>
      <w:r w:rsidRPr="00272671">
        <w:t xml:space="preserve">непроменена – 8 на сто. </w:t>
      </w:r>
    </w:p>
    <w:p w:rsidR="00272671" w:rsidRPr="00272671" w:rsidRDefault="00272671" w:rsidP="00E06190">
      <w:pPr>
        <w:widowControl w:val="0"/>
        <w:suppressAutoHyphens/>
        <w:spacing w:before="120" w:after="120"/>
        <w:ind w:firstLine="567"/>
        <w:jc w:val="both"/>
        <w:rPr>
          <w:b/>
          <w:i/>
        </w:rPr>
      </w:pPr>
      <w:r w:rsidRPr="00272671">
        <w:rPr>
          <w:b/>
          <w:i/>
        </w:rPr>
        <w:t>Освобождаване от облагане лихвите по облигации или други дългови ценни книжа</w:t>
      </w:r>
    </w:p>
    <w:p w:rsidR="00272671" w:rsidRPr="00272671" w:rsidRDefault="00272671" w:rsidP="00272671">
      <w:pPr>
        <w:widowControl w:val="0"/>
        <w:suppressAutoHyphens/>
        <w:ind w:firstLine="567"/>
        <w:jc w:val="both"/>
      </w:pPr>
      <w:r w:rsidRPr="00272671">
        <w:t>Приета е промяна за облагане на лихвите по облигации или други дългови ценни книжа, издадени от държавата и общините, съгласно която с окончателен данък няма да се облагат доходите от източник в България, начислени/изплатени в полза на чуждестранни физически лица, установени за данъчни цели в трета държава, когато не са реализирани чрез определена база в страната и са от лихви по облигации или други дългови ценни книжа, издадени от държавата или общините и допуснати до търговия на регулиран пазар в страната или в държава–членка на Европейския съюз, или на друга държава–страна по Споразумението за Европейското икономическо пространство.</w:t>
      </w:r>
    </w:p>
    <w:p w:rsidR="00272671" w:rsidRPr="00272671" w:rsidRDefault="00272671" w:rsidP="00E06190">
      <w:pPr>
        <w:autoSpaceDE w:val="0"/>
        <w:autoSpaceDN w:val="0"/>
        <w:adjustRightInd w:val="0"/>
        <w:spacing w:before="120" w:after="120"/>
        <w:ind w:firstLine="567"/>
        <w:jc w:val="both"/>
        <w:rPr>
          <w:i/>
          <w:color w:val="000000"/>
        </w:rPr>
      </w:pPr>
      <w:r w:rsidRPr="00272671">
        <w:rPr>
          <w:b/>
          <w:bCs/>
          <w:i/>
          <w:color w:val="000000"/>
        </w:rPr>
        <w:t>Ползване на отстъпка при подаване на годишната данъчна декларация по електронен път</w:t>
      </w:r>
    </w:p>
    <w:p w:rsidR="00272671" w:rsidRPr="00272671" w:rsidRDefault="00272671" w:rsidP="00272671">
      <w:pPr>
        <w:widowControl w:val="0"/>
        <w:suppressAutoHyphens/>
        <w:ind w:firstLine="567"/>
        <w:jc w:val="both"/>
        <w:rPr>
          <w:color w:val="000000"/>
        </w:rPr>
      </w:pPr>
      <w:r w:rsidRPr="00272671">
        <w:rPr>
          <w:color w:val="000000"/>
        </w:rPr>
        <w:t>На данъчно задължените лица е предоставена възможност за ползване на отстъпка в размер на 5 на сто върху данъка за довнасяне по годишната данъчна декларация при условие, че годишната декларация е подадена по електронен път до 31 март и данъчно задълженото лице няма подлежащи на принудително изпълнение публични задължения към момента на подаване на декларацията.</w:t>
      </w:r>
    </w:p>
    <w:p w:rsidR="00272671" w:rsidRPr="00272671" w:rsidRDefault="00272671" w:rsidP="00E06190">
      <w:pPr>
        <w:autoSpaceDE w:val="0"/>
        <w:autoSpaceDN w:val="0"/>
        <w:adjustRightInd w:val="0"/>
        <w:spacing w:before="120" w:after="120"/>
        <w:ind w:firstLine="567"/>
        <w:jc w:val="both"/>
        <w:rPr>
          <w:i/>
          <w:color w:val="000000"/>
        </w:rPr>
      </w:pPr>
      <w:r w:rsidRPr="00272671">
        <w:rPr>
          <w:b/>
          <w:bCs/>
          <w:i/>
          <w:color w:val="000000"/>
        </w:rPr>
        <w:t>Удържане на авансов данък за четвърто тримесечие</w:t>
      </w:r>
    </w:p>
    <w:p w:rsidR="00272671" w:rsidRPr="00272671" w:rsidRDefault="00272671" w:rsidP="00272671">
      <w:pPr>
        <w:widowControl w:val="0"/>
        <w:suppressAutoHyphens/>
        <w:ind w:firstLine="567"/>
        <w:jc w:val="both"/>
        <w:rPr>
          <w:color w:val="000000"/>
        </w:rPr>
      </w:pPr>
      <w:r w:rsidRPr="00272671">
        <w:rPr>
          <w:color w:val="000000"/>
        </w:rPr>
        <w:t>Предоставена е възможност за физическите лица да изберат да им бъде удържан  авансов данък по чл. 43, ал. 4 и чл. 44, ал. 4 за доходи, придобити през четвъртото тримесечие на годината, ако преценят, че това ще ги улесни при годишното облагане и деклариране на доходите.</w:t>
      </w:r>
    </w:p>
    <w:p w:rsidR="00272671" w:rsidRPr="00272671" w:rsidRDefault="00272671" w:rsidP="00272671">
      <w:pPr>
        <w:widowControl w:val="0"/>
        <w:suppressAutoHyphens/>
        <w:ind w:firstLine="567"/>
        <w:jc w:val="both"/>
        <w:rPr>
          <w:rFonts w:eastAsia="DejaVu Sans"/>
          <w:b/>
          <w:bCs/>
          <w:i/>
          <w:color w:val="FF0000"/>
          <w:kern w:val="2"/>
          <w:sz w:val="12"/>
          <w:szCs w:val="12"/>
          <w:lang w:eastAsia="hi-IN" w:bidi="hi-IN"/>
        </w:rPr>
      </w:pPr>
    </w:p>
    <w:p w:rsidR="00272671" w:rsidRPr="00272671" w:rsidRDefault="00272671" w:rsidP="00272671">
      <w:pPr>
        <w:widowControl w:val="0"/>
        <w:suppressAutoHyphens/>
        <w:ind w:right="-284" w:firstLine="567"/>
        <w:jc w:val="both"/>
        <w:rPr>
          <w:b/>
          <w:bCs/>
          <w:u w:val="single"/>
        </w:rPr>
      </w:pPr>
      <w:r w:rsidRPr="00272671">
        <w:rPr>
          <w:b/>
          <w:bCs/>
          <w:u w:val="single"/>
        </w:rPr>
        <w:t>Промени в Закона за местните данъци и такси</w:t>
      </w:r>
    </w:p>
    <w:p w:rsidR="00272671" w:rsidRPr="00272671" w:rsidRDefault="00272671" w:rsidP="00E06190">
      <w:pPr>
        <w:autoSpaceDE w:val="0"/>
        <w:autoSpaceDN w:val="0"/>
        <w:adjustRightInd w:val="0"/>
        <w:spacing w:before="120" w:after="120"/>
        <w:ind w:firstLine="567"/>
        <w:jc w:val="both"/>
        <w:rPr>
          <w:i/>
          <w:color w:val="000000"/>
        </w:rPr>
      </w:pPr>
      <w:r w:rsidRPr="00272671">
        <w:rPr>
          <w:b/>
          <w:bCs/>
          <w:i/>
          <w:color w:val="000000"/>
        </w:rPr>
        <w:t>Подаване на данъчните декларации по ЗМДТ по електронен път</w:t>
      </w:r>
    </w:p>
    <w:p w:rsidR="00272671" w:rsidRPr="00272671" w:rsidRDefault="00272671" w:rsidP="00272671">
      <w:pPr>
        <w:autoSpaceDE w:val="0"/>
        <w:autoSpaceDN w:val="0"/>
        <w:adjustRightInd w:val="0"/>
        <w:ind w:firstLine="567"/>
        <w:jc w:val="both"/>
        <w:rPr>
          <w:color w:val="000000"/>
        </w:rPr>
      </w:pPr>
      <w:r w:rsidRPr="00272671">
        <w:rPr>
          <w:color w:val="000000"/>
        </w:rPr>
        <w:t xml:space="preserve">Предоставена е възможност на данъчно задължените лица да подават данъчните декларации по Закона за местните данъци и такси по електронен път по реда на Данъчно-осигурителния процесуален кодекс. Промяната ще доведе до намаляване на административната тежест и разходите на бизнеса и гражданите, намаляване на разходите </w:t>
      </w:r>
      <w:r w:rsidRPr="00272671">
        <w:rPr>
          <w:color w:val="000000"/>
        </w:rPr>
        <w:lastRenderedPageBreak/>
        <w:t>на общинската администрация за администриране на местни данъци и до стимулиране предоставянето и използването на електронни услуги от общините.</w:t>
      </w:r>
    </w:p>
    <w:p w:rsidR="00272671" w:rsidRPr="007F0FC6" w:rsidRDefault="00272671" w:rsidP="00272671">
      <w:pPr>
        <w:autoSpaceDE w:val="0"/>
        <w:autoSpaceDN w:val="0"/>
        <w:adjustRightInd w:val="0"/>
        <w:ind w:firstLine="567"/>
        <w:jc w:val="both"/>
        <w:rPr>
          <w:i/>
          <w:color w:val="000000"/>
        </w:rPr>
      </w:pPr>
      <w:r w:rsidRPr="007F0FC6">
        <w:rPr>
          <w:b/>
          <w:bCs/>
          <w:i/>
          <w:color w:val="000000"/>
        </w:rPr>
        <w:t>Създаване на национална база данни за местни данъци и такси</w:t>
      </w:r>
    </w:p>
    <w:p w:rsidR="007F0FC6" w:rsidRPr="00AD7472" w:rsidRDefault="007F0FC6" w:rsidP="00272671">
      <w:pPr>
        <w:widowControl w:val="0"/>
        <w:suppressAutoHyphens/>
        <w:ind w:firstLine="567"/>
        <w:jc w:val="both"/>
      </w:pPr>
      <w:r w:rsidRPr="00AD7472">
        <w:t>От 1 януари 2015 г. се осъществява електронен обмен на информация между общините и Министерство на финансите, което позволява централизираното събиране на информация за данъчно задължените лица, обекти на облагане, данъчни облекчения и освобождавания, размер на публичните вземания за местни данъци, включително и просрочените задължения, което ще даде възможност за предоставянето на нови електронни услуги и намаляване на административната тежест и разходите за бизнеса и гражданите. Реализирана е електронна услуга, предоставяща възможност на лицата, които имат издаден персонален идентификационен код (ПИК) от Националната агенция за приходите да проверяват състоянието на данъчната си сметка за местни данъци и такси –задължения, плащания, непогасени задължения и други. През 2015 година е разработена функционалност за електронно подаване на три декларации по ЗМДТ през портала за електрони услуги на НАП, чието окончателно внедряване ще се извърши през 2016 година.</w:t>
      </w:r>
    </w:p>
    <w:p w:rsidR="00272671" w:rsidRPr="00272671" w:rsidRDefault="00272671" w:rsidP="00E06190">
      <w:pPr>
        <w:autoSpaceDE w:val="0"/>
        <w:autoSpaceDN w:val="0"/>
        <w:adjustRightInd w:val="0"/>
        <w:spacing w:before="120" w:after="120"/>
        <w:ind w:firstLine="567"/>
        <w:jc w:val="both"/>
        <w:rPr>
          <w:i/>
          <w:color w:val="000000"/>
        </w:rPr>
      </w:pPr>
      <w:r w:rsidRPr="00AD7472">
        <w:rPr>
          <w:b/>
          <w:bCs/>
          <w:i/>
        </w:rPr>
        <w:t xml:space="preserve">Промяна в режима </w:t>
      </w:r>
      <w:r w:rsidRPr="00272671">
        <w:rPr>
          <w:b/>
          <w:bCs/>
          <w:i/>
          <w:color w:val="000000"/>
        </w:rPr>
        <w:t>на деклариране и определяне на данъка върху превозните средства</w:t>
      </w:r>
    </w:p>
    <w:p w:rsidR="00272671" w:rsidRPr="00272671" w:rsidRDefault="00272671" w:rsidP="00272671">
      <w:pPr>
        <w:autoSpaceDE w:val="0"/>
        <w:autoSpaceDN w:val="0"/>
        <w:adjustRightInd w:val="0"/>
        <w:ind w:firstLine="567"/>
        <w:jc w:val="both"/>
        <w:rPr>
          <w:color w:val="000000"/>
        </w:rPr>
      </w:pPr>
      <w:r w:rsidRPr="00272671">
        <w:rPr>
          <w:color w:val="000000"/>
        </w:rPr>
        <w:t>От 1 януари 2015 г. е въведен нов режим по отношение декларирането и определянето на данъка върху превозните средства. Промяната в режима има за цел от една страна намаляване на административната тежест и разходите на бизнеса и гражданите и административните разходи на общините, а от друга страна до повишаване на приходите по общинските бюджети, чрез предотвратяване на възможността за недеклариране на придобити превозни средства и укриване на данък върху превозните средства.</w:t>
      </w:r>
    </w:p>
    <w:p w:rsidR="00272671" w:rsidRPr="00272671" w:rsidRDefault="00272671" w:rsidP="00E06190">
      <w:pPr>
        <w:autoSpaceDE w:val="0"/>
        <w:autoSpaceDN w:val="0"/>
        <w:adjustRightInd w:val="0"/>
        <w:spacing w:before="120"/>
        <w:ind w:firstLine="567"/>
        <w:jc w:val="both"/>
        <w:rPr>
          <w:i/>
          <w:color w:val="000000"/>
        </w:rPr>
      </w:pPr>
      <w:r w:rsidRPr="00272671">
        <w:rPr>
          <w:b/>
          <w:bCs/>
          <w:i/>
          <w:color w:val="000000"/>
        </w:rPr>
        <w:t>Разширяване обхвата на освобождаването от данък върху превозните средства</w:t>
      </w:r>
    </w:p>
    <w:p w:rsidR="00272671" w:rsidRPr="00272671" w:rsidRDefault="00272671" w:rsidP="00E06190">
      <w:pPr>
        <w:widowControl w:val="0"/>
        <w:suppressAutoHyphens/>
        <w:spacing w:before="120" w:after="120"/>
        <w:ind w:firstLine="567"/>
        <w:jc w:val="both"/>
        <w:rPr>
          <w:color w:val="000000"/>
        </w:rPr>
      </w:pPr>
      <w:r w:rsidRPr="00272671">
        <w:rPr>
          <w:color w:val="000000"/>
        </w:rPr>
        <w:t>Разширен е обхват</w:t>
      </w:r>
      <w:r w:rsidR="00B15C07">
        <w:rPr>
          <w:color w:val="000000"/>
        </w:rPr>
        <w:t>ът</w:t>
      </w:r>
      <w:r w:rsidRPr="00272671">
        <w:rPr>
          <w:color w:val="000000"/>
        </w:rPr>
        <w:t xml:space="preserve"> на освобождаването от данък върху пътните превозни средства на електрическите превозни средства.</w:t>
      </w:r>
    </w:p>
    <w:p w:rsidR="00272671" w:rsidRPr="00272671" w:rsidRDefault="00272671" w:rsidP="00272671">
      <w:pPr>
        <w:widowControl w:val="0"/>
        <w:suppressAutoHyphens/>
        <w:ind w:firstLine="567"/>
        <w:jc w:val="both"/>
        <w:rPr>
          <w:color w:val="000000"/>
          <w:sz w:val="12"/>
          <w:szCs w:val="12"/>
          <w:lang w:val="en-US"/>
        </w:rPr>
      </w:pPr>
    </w:p>
    <w:p w:rsidR="00272671" w:rsidRPr="00272671" w:rsidRDefault="00272671" w:rsidP="00E06190">
      <w:pPr>
        <w:autoSpaceDE w:val="0"/>
        <w:autoSpaceDN w:val="0"/>
        <w:adjustRightInd w:val="0"/>
        <w:spacing w:after="120"/>
        <w:ind w:firstLine="567"/>
        <w:jc w:val="both"/>
        <w:rPr>
          <w:u w:val="single"/>
        </w:rPr>
      </w:pPr>
      <w:r w:rsidRPr="00272671">
        <w:rPr>
          <w:b/>
          <w:bCs/>
          <w:u w:val="single"/>
        </w:rPr>
        <w:t>Промени в Закона за данък върху застрахователните премии</w:t>
      </w:r>
    </w:p>
    <w:p w:rsidR="00272671" w:rsidRPr="00272671" w:rsidRDefault="00272671" w:rsidP="00272671">
      <w:pPr>
        <w:widowControl w:val="0"/>
        <w:suppressAutoHyphens/>
        <w:ind w:firstLine="567"/>
        <w:jc w:val="both"/>
        <w:rPr>
          <w:color w:val="000000"/>
        </w:rPr>
      </w:pPr>
      <w:r w:rsidRPr="00272671">
        <w:rPr>
          <w:color w:val="000000"/>
        </w:rPr>
        <w:t>Приета е промяна в режима на деклариране и внасяне на данъка върху застрахователните премии. Данъкът ще се декларира с подаване на тримесечна декларация и ще се внася в срок до края на месеца следващ календарното тримесечие. Съгласно действащите до 31 декември 2014 г. разпоредби, данъкът върху застрахователните премии се декларира с подаване на месечна декларация и се внася в срок до края на следващия месец.</w:t>
      </w:r>
    </w:p>
    <w:p w:rsidR="00272671" w:rsidRPr="00272671" w:rsidRDefault="00272671" w:rsidP="00272671">
      <w:pPr>
        <w:widowControl w:val="0"/>
        <w:suppressAutoHyphens/>
        <w:ind w:firstLine="567"/>
        <w:jc w:val="both"/>
        <w:rPr>
          <w:rFonts w:eastAsia="DejaVu Sans"/>
          <w:bCs/>
          <w:color w:val="FF0000"/>
          <w:kern w:val="2"/>
          <w:sz w:val="12"/>
          <w:szCs w:val="12"/>
          <w:u w:val="single"/>
          <w:lang w:eastAsia="hi-IN" w:bidi="hi-IN"/>
        </w:rPr>
      </w:pPr>
    </w:p>
    <w:p w:rsidR="00272671" w:rsidRPr="00272671" w:rsidRDefault="00272671" w:rsidP="00272671">
      <w:pPr>
        <w:widowControl w:val="0"/>
        <w:suppressAutoHyphens/>
        <w:ind w:right="-284" w:firstLine="567"/>
        <w:jc w:val="both"/>
        <w:rPr>
          <w:rFonts w:eastAsia="DejaVu Sans"/>
          <w:b/>
          <w:bCs/>
          <w:kern w:val="2"/>
          <w:u w:val="single"/>
          <w:lang w:eastAsia="hi-IN" w:bidi="hi-IN"/>
        </w:rPr>
      </w:pPr>
      <w:r w:rsidRPr="00272671">
        <w:rPr>
          <w:rFonts w:eastAsia="DejaVu Sans"/>
          <w:b/>
          <w:bCs/>
          <w:kern w:val="2"/>
          <w:u w:val="single"/>
          <w:lang w:eastAsia="hi-IN" w:bidi="hi-IN"/>
        </w:rPr>
        <w:t>Промени в Данъчно-осигурителния процесуален кодекс</w:t>
      </w:r>
    </w:p>
    <w:p w:rsidR="00272671" w:rsidRPr="00272671" w:rsidRDefault="00272671" w:rsidP="00E06190">
      <w:pPr>
        <w:autoSpaceDE w:val="0"/>
        <w:autoSpaceDN w:val="0"/>
        <w:adjustRightInd w:val="0"/>
        <w:spacing w:before="120" w:after="120"/>
        <w:ind w:firstLine="567"/>
        <w:jc w:val="both"/>
        <w:rPr>
          <w:i/>
          <w:color w:val="000000"/>
        </w:rPr>
      </w:pPr>
      <w:r w:rsidRPr="00272671">
        <w:rPr>
          <w:b/>
          <w:bCs/>
          <w:i/>
          <w:color w:val="000000"/>
        </w:rPr>
        <w:t xml:space="preserve">Осигуряване на прозрачност на данъчно-осигурителната информация при прилагане на режима по държавните и минимални помощи </w:t>
      </w:r>
    </w:p>
    <w:p w:rsidR="00272671" w:rsidRPr="00272671" w:rsidRDefault="00272671" w:rsidP="00272671">
      <w:pPr>
        <w:widowControl w:val="0"/>
        <w:suppressAutoHyphens/>
        <w:ind w:firstLine="567"/>
        <w:jc w:val="both"/>
      </w:pPr>
      <w:r w:rsidRPr="00272671">
        <w:rPr>
          <w:color w:val="000000"/>
        </w:rPr>
        <w:t xml:space="preserve">Разпоредбите за опазване на данъчно-осигурителна информация няма да се прилагат, в случаите на получаване на държавна и минимална помощ, </w:t>
      </w:r>
      <w:r w:rsidRPr="00272671">
        <w:t>като се осигурява достъп до следната информация:</w:t>
      </w:r>
    </w:p>
    <w:p w:rsidR="00272671" w:rsidRPr="00272671" w:rsidRDefault="00272671" w:rsidP="00781B85">
      <w:pPr>
        <w:widowControl w:val="0"/>
        <w:numPr>
          <w:ilvl w:val="0"/>
          <w:numId w:val="49"/>
        </w:numPr>
        <w:tabs>
          <w:tab w:val="left" w:pos="993"/>
        </w:tabs>
        <w:suppressAutoHyphens/>
        <w:ind w:left="0" w:firstLine="709"/>
        <w:jc w:val="both"/>
        <w:rPr>
          <w:color w:val="000000"/>
        </w:rPr>
      </w:pPr>
      <w:r w:rsidRPr="00272671">
        <w:rPr>
          <w:color w:val="000000"/>
        </w:rPr>
        <w:t>за индивидуалните получатели и размерите на държавна и минимална помощ под формата на облекчения с данъчен и/или осигурителен характер;</w:t>
      </w:r>
    </w:p>
    <w:p w:rsidR="00272671" w:rsidRPr="00272671" w:rsidRDefault="00272671" w:rsidP="00781B85">
      <w:pPr>
        <w:widowControl w:val="0"/>
        <w:numPr>
          <w:ilvl w:val="0"/>
          <w:numId w:val="49"/>
        </w:numPr>
        <w:tabs>
          <w:tab w:val="left" w:pos="993"/>
        </w:tabs>
        <w:suppressAutoHyphens/>
        <w:ind w:left="0" w:firstLine="709"/>
        <w:jc w:val="both"/>
        <w:rPr>
          <w:color w:val="000000"/>
        </w:rPr>
      </w:pPr>
      <w:r w:rsidRPr="00272671">
        <w:rPr>
          <w:color w:val="000000"/>
        </w:rPr>
        <w:t xml:space="preserve">за осъществяването на контрол - например установяване на допустимостта на бенефициентите, кумулирането на помощи до позволените интензитети/прагове, проследяване на финансирането на едни и същи приемливи разходи с помощ от повече от </w:t>
      </w:r>
      <w:r w:rsidRPr="00272671">
        <w:rPr>
          <w:color w:val="000000"/>
        </w:rPr>
        <w:lastRenderedPageBreak/>
        <w:t>един източник, контрол върху достоверността на подадените от бенефициентите декларации;</w:t>
      </w:r>
    </w:p>
    <w:p w:rsidR="00272671" w:rsidRPr="00272671" w:rsidRDefault="00272671" w:rsidP="00781B85">
      <w:pPr>
        <w:widowControl w:val="0"/>
        <w:numPr>
          <w:ilvl w:val="0"/>
          <w:numId w:val="49"/>
        </w:numPr>
        <w:tabs>
          <w:tab w:val="left" w:pos="993"/>
        </w:tabs>
        <w:suppressAutoHyphens/>
        <w:ind w:left="0" w:firstLine="709"/>
        <w:jc w:val="both"/>
        <w:rPr>
          <w:color w:val="000000"/>
        </w:rPr>
      </w:pPr>
      <w:r w:rsidRPr="00272671">
        <w:rPr>
          <w:color w:val="000000"/>
        </w:rPr>
        <w:t>по прилагането на клаузата „Deggendorf”, въведена в чл. 9, ал. 3 от Правилника за прилагането на Закона за държавните помощи и относно случаите на възстановяване на минимална и държавна помощ, събирана като публично вземане или от администраторите на помощ;</w:t>
      </w:r>
    </w:p>
    <w:p w:rsidR="00272671" w:rsidRPr="00272671" w:rsidRDefault="00272671" w:rsidP="00781B85">
      <w:pPr>
        <w:widowControl w:val="0"/>
        <w:numPr>
          <w:ilvl w:val="0"/>
          <w:numId w:val="49"/>
        </w:numPr>
        <w:tabs>
          <w:tab w:val="left" w:pos="993"/>
        </w:tabs>
        <w:suppressAutoHyphens/>
        <w:ind w:left="0" w:firstLine="709"/>
        <w:jc w:val="both"/>
        <w:rPr>
          <w:color w:val="000000"/>
        </w:rPr>
      </w:pPr>
      <w:r w:rsidRPr="00272671">
        <w:rPr>
          <w:color w:val="000000"/>
        </w:rPr>
        <w:t>за тематични доклади до Европейската комисия и по конкретни запитвания</w:t>
      </w:r>
      <w:r w:rsidRPr="00272671">
        <w:rPr>
          <w:color w:val="000000"/>
          <w:sz w:val="23"/>
          <w:szCs w:val="23"/>
        </w:rPr>
        <w:t xml:space="preserve">. </w:t>
      </w:r>
    </w:p>
    <w:p w:rsidR="00272671" w:rsidRPr="00272671" w:rsidRDefault="00272671" w:rsidP="00E06190">
      <w:pPr>
        <w:autoSpaceDE w:val="0"/>
        <w:autoSpaceDN w:val="0"/>
        <w:adjustRightInd w:val="0"/>
        <w:spacing w:before="120" w:after="120"/>
        <w:ind w:firstLine="567"/>
        <w:jc w:val="both"/>
        <w:rPr>
          <w:i/>
          <w:color w:val="000000"/>
        </w:rPr>
      </w:pPr>
      <w:r w:rsidRPr="00272671">
        <w:rPr>
          <w:b/>
          <w:bCs/>
          <w:i/>
          <w:color w:val="000000"/>
        </w:rPr>
        <w:t xml:space="preserve">Подаване на документи по електронен път чрез персонален идентификационен код </w:t>
      </w:r>
    </w:p>
    <w:p w:rsidR="00272671" w:rsidRPr="00272671" w:rsidRDefault="00272671" w:rsidP="00272671">
      <w:pPr>
        <w:spacing w:after="120"/>
        <w:jc w:val="both"/>
        <w:rPr>
          <w:color w:val="0070C0"/>
        </w:rPr>
      </w:pPr>
      <w:r w:rsidRPr="00272671">
        <w:rPr>
          <w:color w:val="000000"/>
        </w:rPr>
        <w:t xml:space="preserve">Предоставена е възможност за подаване на документи по електронен път чрез персонален идентификационен код (ПИК) издаден от Националната агенция за приходите. Персоналният идентификационен код може да се ползва от физическите лица, както за достъп до данъчно-осигурителна информация и справки, така и за подаване на данъчни и осигурителни декларации </w:t>
      </w:r>
      <w:r w:rsidRPr="00272671">
        <w:t>по електронен път</w:t>
      </w:r>
      <w:r w:rsidRPr="00272671">
        <w:rPr>
          <w:rFonts w:eastAsia="DejaVu Sans"/>
          <w:bCs/>
          <w:color w:val="0070C0"/>
          <w:kern w:val="2"/>
          <w:lang w:eastAsia="hi-IN" w:bidi="hi-IN"/>
        </w:rPr>
        <w:t>.</w:t>
      </w:r>
    </w:p>
    <w:p w:rsidR="00666D9F" w:rsidRPr="008964B3" w:rsidRDefault="00666D9F" w:rsidP="00781B85">
      <w:pPr>
        <w:pStyle w:val="Heading3"/>
        <w:numPr>
          <w:ilvl w:val="1"/>
          <w:numId w:val="62"/>
        </w:numPr>
        <w:rPr>
          <w:rFonts w:ascii="Times New Roman" w:hAnsi="Times New Roman"/>
          <w:sz w:val="24"/>
          <w:lang w:val="bg-BG"/>
        </w:rPr>
      </w:pPr>
      <w:bookmarkStart w:id="108" w:name="_Toc462146101"/>
      <w:bookmarkEnd w:id="96"/>
      <w:bookmarkEnd w:id="97"/>
      <w:bookmarkEnd w:id="98"/>
      <w:bookmarkEnd w:id="99"/>
      <w:bookmarkEnd w:id="100"/>
      <w:bookmarkEnd w:id="101"/>
      <w:bookmarkEnd w:id="102"/>
      <w:bookmarkEnd w:id="103"/>
      <w:bookmarkEnd w:id="104"/>
      <w:r w:rsidRPr="008964B3">
        <w:rPr>
          <w:rFonts w:ascii="Times New Roman" w:hAnsi="Times New Roman"/>
          <w:sz w:val="24"/>
          <w:lang w:val="bg-BG"/>
        </w:rPr>
        <w:t>Инвестиционна политика</w:t>
      </w:r>
      <w:bookmarkEnd w:id="105"/>
      <w:bookmarkEnd w:id="108"/>
    </w:p>
    <w:p w:rsidR="00666D9F" w:rsidRPr="001F6421" w:rsidRDefault="00666D9F" w:rsidP="00FA5C0A">
      <w:pPr>
        <w:rPr>
          <w:color w:val="0070C0"/>
        </w:rPr>
      </w:pPr>
    </w:p>
    <w:bookmarkEnd w:id="0"/>
    <w:bookmarkEnd w:id="1"/>
    <w:bookmarkEnd w:id="2"/>
    <w:bookmarkEnd w:id="5"/>
    <w:p w:rsidR="004A6060" w:rsidRPr="008964B3" w:rsidRDefault="004A6060" w:rsidP="004A6060">
      <w:pPr>
        <w:pStyle w:val="Default"/>
        <w:spacing w:after="240"/>
        <w:ind w:firstLine="720"/>
        <w:jc w:val="both"/>
        <w:rPr>
          <w:rFonts w:ascii="Times New Roman" w:hAnsi="Times New Roman"/>
          <w:color w:val="auto"/>
        </w:rPr>
      </w:pPr>
      <w:r w:rsidRPr="008964B3">
        <w:rPr>
          <w:rFonts w:ascii="Times New Roman" w:hAnsi="Times New Roman"/>
          <w:color w:val="auto"/>
        </w:rPr>
        <w:t>Основната цел на реализираните публични инвестиции е насърчаване на политиките за постигане на устойчив дългосрочен растеж, подкрепени и чрез ускореното усвояване на средства по програмите и фондовете на ЕС.</w:t>
      </w:r>
    </w:p>
    <w:p w:rsidR="004A6060" w:rsidRPr="008964B3" w:rsidRDefault="004A6060" w:rsidP="004A6060">
      <w:pPr>
        <w:pStyle w:val="Default"/>
        <w:spacing w:after="240"/>
        <w:ind w:firstLine="720"/>
        <w:jc w:val="both"/>
        <w:rPr>
          <w:rFonts w:ascii="Times New Roman" w:hAnsi="Times New Roman"/>
          <w:color w:val="auto"/>
        </w:rPr>
      </w:pPr>
      <w:r w:rsidRPr="008964B3">
        <w:rPr>
          <w:rFonts w:ascii="Times New Roman" w:hAnsi="Times New Roman"/>
          <w:color w:val="auto"/>
        </w:rPr>
        <w:t>В таблицата са представени тенденциите в развитието на публичните инвестиционни разходи като дял от БВП на България и за някои държави-членки на ЕС.</w:t>
      </w:r>
    </w:p>
    <w:tbl>
      <w:tblPr>
        <w:tblW w:w="9144" w:type="dxa"/>
        <w:jc w:val="center"/>
        <w:tblInd w:w="55" w:type="dxa"/>
        <w:tblCellMar>
          <w:left w:w="70" w:type="dxa"/>
          <w:right w:w="70" w:type="dxa"/>
        </w:tblCellMar>
        <w:tblLook w:val="0000" w:firstRow="0" w:lastRow="0" w:firstColumn="0" w:lastColumn="0" w:noHBand="0" w:noVBand="0"/>
      </w:tblPr>
      <w:tblGrid>
        <w:gridCol w:w="4127"/>
        <w:gridCol w:w="786"/>
        <w:gridCol w:w="720"/>
        <w:gridCol w:w="720"/>
        <w:gridCol w:w="697"/>
        <w:gridCol w:w="709"/>
        <w:gridCol w:w="620"/>
        <w:gridCol w:w="765"/>
      </w:tblGrid>
      <w:tr w:rsidR="008964B3" w:rsidRPr="008964B3" w:rsidTr="006A1D16">
        <w:trPr>
          <w:trHeight w:val="255"/>
          <w:jc w:val="center"/>
        </w:trPr>
        <w:tc>
          <w:tcPr>
            <w:tcW w:w="9144" w:type="dxa"/>
            <w:gridSpan w:val="8"/>
            <w:tcBorders>
              <w:top w:val="nil"/>
              <w:left w:val="nil"/>
              <w:bottom w:val="nil"/>
              <w:right w:val="nil"/>
            </w:tcBorders>
            <w:noWrap/>
            <w:vAlign w:val="bottom"/>
          </w:tcPr>
          <w:p w:rsidR="004A6060" w:rsidRPr="008964B3" w:rsidRDefault="004A6060" w:rsidP="006A1D16">
            <w:pPr>
              <w:spacing w:before="120"/>
              <w:jc w:val="center"/>
              <w:rPr>
                <w:b/>
                <w:bCs/>
              </w:rPr>
            </w:pPr>
            <w:r w:rsidRPr="008964B3">
              <w:rPr>
                <w:b/>
                <w:bCs/>
              </w:rPr>
              <w:t>Публични разходи за придобиване на дълготрайни материални активи</w:t>
            </w:r>
          </w:p>
          <w:p w:rsidR="004A6060" w:rsidRPr="008964B3" w:rsidRDefault="004A6060" w:rsidP="006A1D16">
            <w:pPr>
              <w:spacing w:before="120"/>
              <w:jc w:val="center"/>
              <w:rPr>
                <w:b/>
                <w:bCs/>
              </w:rPr>
            </w:pPr>
          </w:p>
          <w:p w:rsidR="004A6060" w:rsidRPr="008964B3" w:rsidRDefault="004A6060" w:rsidP="006A1D16">
            <w:pPr>
              <w:spacing w:before="120"/>
              <w:jc w:val="center"/>
              <w:rPr>
                <w:sz w:val="16"/>
                <w:szCs w:val="16"/>
              </w:rPr>
            </w:pPr>
          </w:p>
        </w:tc>
      </w:tr>
      <w:tr w:rsidR="008964B3" w:rsidRPr="001F6421" w:rsidTr="006A1D16">
        <w:trPr>
          <w:trHeight w:val="255"/>
          <w:jc w:val="center"/>
        </w:trPr>
        <w:tc>
          <w:tcPr>
            <w:tcW w:w="4127" w:type="dxa"/>
            <w:tcBorders>
              <w:top w:val="single" w:sz="4" w:space="0" w:color="auto"/>
              <w:left w:val="single" w:sz="4" w:space="0" w:color="auto"/>
              <w:bottom w:val="single" w:sz="4" w:space="0" w:color="auto"/>
              <w:right w:val="single" w:sz="4" w:space="0" w:color="auto"/>
            </w:tcBorders>
            <w:noWrap/>
            <w:vAlign w:val="bottom"/>
          </w:tcPr>
          <w:p w:rsidR="008964B3" w:rsidRPr="008964B3" w:rsidRDefault="008964B3" w:rsidP="006A1D16">
            <w:pPr>
              <w:spacing w:before="120"/>
              <w:jc w:val="center"/>
            </w:pPr>
            <w:r w:rsidRPr="008964B3">
              <w:t>(% от БВП)</w:t>
            </w:r>
          </w:p>
        </w:tc>
        <w:tc>
          <w:tcPr>
            <w:tcW w:w="786" w:type="dxa"/>
            <w:tcBorders>
              <w:top w:val="single" w:sz="4" w:space="0" w:color="auto"/>
              <w:left w:val="nil"/>
              <w:bottom w:val="single" w:sz="4" w:space="0" w:color="auto"/>
              <w:right w:val="single" w:sz="4" w:space="0" w:color="auto"/>
            </w:tcBorders>
            <w:noWrap/>
            <w:vAlign w:val="bottom"/>
          </w:tcPr>
          <w:p w:rsidR="008964B3" w:rsidRPr="00705BE0" w:rsidRDefault="008964B3" w:rsidP="008964B3">
            <w:pPr>
              <w:spacing w:before="120"/>
              <w:jc w:val="center"/>
              <w:rPr>
                <w:b/>
                <w:bCs/>
              </w:rPr>
            </w:pPr>
            <w:r w:rsidRPr="00705BE0">
              <w:rPr>
                <w:b/>
                <w:bCs/>
              </w:rPr>
              <w:t>2009</w:t>
            </w:r>
          </w:p>
        </w:tc>
        <w:tc>
          <w:tcPr>
            <w:tcW w:w="720" w:type="dxa"/>
            <w:tcBorders>
              <w:top w:val="single" w:sz="4" w:space="0" w:color="auto"/>
              <w:left w:val="nil"/>
              <w:bottom w:val="single" w:sz="4" w:space="0" w:color="auto"/>
              <w:right w:val="single" w:sz="4" w:space="0" w:color="auto"/>
            </w:tcBorders>
            <w:noWrap/>
            <w:vAlign w:val="bottom"/>
          </w:tcPr>
          <w:p w:rsidR="008964B3" w:rsidRPr="00705BE0" w:rsidRDefault="008964B3" w:rsidP="008964B3">
            <w:pPr>
              <w:spacing w:before="120"/>
              <w:jc w:val="center"/>
              <w:rPr>
                <w:b/>
                <w:bCs/>
              </w:rPr>
            </w:pPr>
            <w:r w:rsidRPr="00705BE0">
              <w:rPr>
                <w:b/>
                <w:bCs/>
              </w:rPr>
              <w:t>2010</w:t>
            </w:r>
          </w:p>
        </w:tc>
        <w:tc>
          <w:tcPr>
            <w:tcW w:w="720" w:type="dxa"/>
            <w:tcBorders>
              <w:top w:val="single" w:sz="4" w:space="0" w:color="auto"/>
              <w:left w:val="nil"/>
              <w:bottom w:val="single" w:sz="4" w:space="0" w:color="auto"/>
              <w:right w:val="single" w:sz="4" w:space="0" w:color="auto"/>
            </w:tcBorders>
            <w:noWrap/>
            <w:vAlign w:val="bottom"/>
          </w:tcPr>
          <w:p w:rsidR="008964B3" w:rsidRPr="00705BE0" w:rsidRDefault="008964B3" w:rsidP="008964B3">
            <w:pPr>
              <w:spacing w:before="120"/>
              <w:jc w:val="center"/>
              <w:rPr>
                <w:b/>
                <w:bCs/>
              </w:rPr>
            </w:pPr>
            <w:r w:rsidRPr="00705BE0">
              <w:rPr>
                <w:b/>
                <w:bCs/>
              </w:rPr>
              <w:t>2011</w:t>
            </w:r>
          </w:p>
        </w:tc>
        <w:tc>
          <w:tcPr>
            <w:tcW w:w="697" w:type="dxa"/>
            <w:tcBorders>
              <w:top w:val="single" w:sz="4" w:space="0" w:color="auto"/>
              <w:left w:val="nil"/>
              <w:bottom w:val="single" w:sz="4" w:space="0" w:color="auto"/>
              <w:right w:val="single" w:sz="4" w:space="0" w:color="auto"/>
            </w:tcBorders>
            <w:noWrap/>
            <w:vAlign w:val="bottom"/>
          </w:tcPr>
          <w:p w:rsidR="008964B3" w:rsidRPr="00705BE0" w:rsidRDefault="008964B3" w:rsidP="008964B3">
            <w:pPr>
              <w:spacing w:before="120"/>
              <w:jc w:val="center"/>
              <w:rPr>
                <w:b/>
                <w:bCs/>
              </w:rPr>
            </w:pPr>
            <w:r w:rsidRPr="00705BE0">
              <w:rPr>
                <w:b/>
                <w:bCs/>
              </w:rPr>
              <w:t>2012</w:t>
            </w:r>
          </w:p>
        </w:tc>
        <w:tc>
          <w:tcPr>
            <w:tcW w:w="709" w:type="dxa"/>
            <w:tcBorders>
              <w:top w:val="single" w:sz="4" w:space="0" w:color="auto"/>
              <w:left w:val="nil"/>
              <w:bottom w:val="single" w:sz="4" w:space="0" w:color="auto"/>
              <w:right w:val="single" w:sz="4" w:space="0" w:color="auto"/>
            </w:tcBorders>
            <w:noWrap/>
            <w:vAlign w:val="bottom"/>
          </w:tcPr>
          <w:p w:rsidR="008964B3" w:rsidRPr="00705BE0" w:rsidRDefault="008964B3" w:rsidP="008964B3">
            <w:pPr>
              <w:spacing w:before="120"/>
              <w:jc w:val="center"/>
              <w:rPr>
                <w:b/>
                <w:bCs/>
              </w:rPr>
            </w:pPr>
            <w:r w:rsidRPr="00705BE0">
              <w:rPr>
                <w:b/>
                <w:bCs/>
              </w:rPr>
              <w:t>201</w:t>
            </w:r>
            <w:r w:rsidRPr="00705BE0">
              <w:rPr>
                <w:b/>
                <w:bCs/>
                <w:lang w:val="en-US"/>
              </w:rPr>
              <w:t>3</w:t>
            </w:r>
          </w:p>
        </w:tc>
        <w:tc>
          <w:tcPr>
            <w:tcW w:w="620" w:type="dxa"/>
            <w:tcBorders>
              <w:top w:val="single" w:sz="4" w:space="0" w:color="auto"/>
              <w:left w:val="nil"/>
              <w:bottom w:val="single" w:sz="4" w:space="0" w:color="auto"/>
              <w:right w:val="single" w:sz="4" w:space="0" w:color="auto"/>
            </w:tcBorders>
            <w:noWrap/>
            <w:vAlign w:val="bottom"/>
          </w:tcPr>
          <w:p w:rsidR="008964B3" w:rsidRPr="00705BE0" w:rsidRDefault="008964B3" w:rsidP="008964B3">
            <w:pPr>
              <w:spacing w:before="120"/>
              <w:jc w:val="center"/>
              <w:rPr>
                <w:b/>
                <w:bCs/>
              </w:rPr>
            </w:pPr>
            <w:r w:rsidRPr="00705BE0">
              <w:rPr>
                <w:b/>
                <w:bCs/>
              </w:rPr>
              <w:t>2014</w:t>
            </w:r>
          </w:p>
        </w:tc>
        <w:tc>
          <w:tcPr>
            <w:tcW w:w="765" w:type="dxa"/>
            <w:tcBorders>
              <w:top w:val="single" w:sz="4" w:space="0" w:color="auto"/>
              <w:left w:val="nil"/>
              <w:bottom w:val="single" w:sz="4" w:space="0" w:color="auto"/>
              <w:right w:val="single" w:sz="4" w:space="0" w:color="auto"/>
            </w:tcBorders>
            <w:vAlign w:val="bottom"/>
          </w:tcPr>
          <w:p w:rsidR="008964B3" w:rsidRPr="00705BE0" w:rsidRDefault="008964B3" w:rsidP="008964B3">
            <w:pPr>
              <w:spacing w:before="120"/>
              <w:jc w:val="center"/>
              <w:rPr>
                <w:b/>
                <w:bCs/>
              </w:rPr>
            </w:pPr>
            <w:r w:rsidRPr="00705BE0">
              <w:rPr>
                <w:b/>
                <w:bCs/>
              </w:rPr>
              <w:t>201</w:t>
            </w:r>
            <w:r w:rsidRPr="00705BE0">
              <w:rPr>
                <w:b/>
                <w:bCs/>
                <w:lang w:val="en-US"/>
              </w:rPr>
              <w:t>5</w:t>
            </w:r>
            <w:r w:rsidRPr="00705BE0">
              <w:rPr>
                <w:b/>
                <w:bCs/>
              </w:rPr>
              <w:t>*</w:t>
            </w:r>
          </w:p>
        </w:tc>
      </w:tr>
      <w:tr w:rsidR="008964B3" w:rsidRPr="001F6421"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8964B3" w:rsidRPr="008964B3" w:rsidRDefault="008964B3" w:rsidP="006A1D16">
            <w:pPr>
              <w:spacing w:before="120"/>
              <w:rPr>
                <w:bCs/>
                <w:sz w:val="20"/>
                <w:szCs w:val="20"/>
              </w:rPr>
            </w:pPr>
            <w:r w:rsidRPr="008964B3">
              <w:rPr>
                <w:bCs/>
                <w:sz w:val="20"/>
                <w:szCs w:val="20"/>
              </w:rPr>
              <w:t>Европейски съюз (28 държави-членки)</w:t>
            </w:r>
          </w:p>
        </w:tc>
        <w:tc>
          <w:tcPr>
            <w:tcW w:w="786"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3,7</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3,5</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3,3</w:t>
            </w:r>
          </w:p>
        </w:tc>
        <w:tc>
          <w:tcPr>
            <w:tcW w:w="697"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3,1</w:t>
            </w:r>
          </w:p>
        </w:tc>
        <w:tc>
          <w:tcPr>
            <w:tcW w:w="709"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w:t>
            </w:r>
            <w:r w:rsidRPr="00705BE0">
              <w:rPr>
                <w:bCs/>
                <w:sz w:val="20"/>
                <w:szCs w:val="20"/>
                <w:lang w:val="en-US"/>
              </w:rPr>
              <w:t>,</w:t>
            </w:r>
            <w:r w:rsidRPr="00705BE0">
              <w:rPr>
                <w:bCs/>
                <w:sz w:val="20"/>
                <w:szCs w:val="20"/>
              </w:rPr>
              <w:t>0</w:t>
            </w:r>
          </w:p>
        </w:tc>
        <w:tc>
          <w:tcPr>
            <w:tcW w:w="6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2,9</w:t>
            </w:r>
          </w:p>
        </w:tc>
        <w:tc>
          <w:tcPr>
            <w:tcW w:w="765" w:type="dxa"/>
            <w:tcBorders>
              <w:top w:val="nil"/>
              <w:left w:val="nil"/>
              <w:bottom w:val="single" w:sz="4" w:space="0" w:color="auto"/>
              <w:right w:val="single" w:sz="4" w:space="0" w:color="auto"/>
            </w:tcBorders>
            <w:vAlign w:val="bottom"/>
          </w:tcPr>
          <w:p w:rsidR="008964B3" w:rsidRPr="00705BE0" w:rsidRDefault="008964B3" w:rsidP="008964B3">
            <w:pPr>
              <w:spacing w:before="120"/>
              <w:jc w:val="right"/>
              <w:rPr>
                <w:bCs/>
                <w:sz w:val="20"/>
                <w:szCs w:val="20"/>
              </w:rPr>
            </w:pPr>
            <w:r w:rsidRPr="00705BE0">
              <w:rPr>
                <w:bCs/>
                <w:sz w:val="20"/>
                <w:szCs w:val="20"/>
              </w:rPr>
              <w:t>2,9</w:t>
            </w:r>
          </w:p>
        </w:tc>
      </w:tr>
      <w:tr w:rsidR="008964B3" w:rsidRPr="001F6421" w:rsidTr="006A1D16">
        <w:trPr>
          <w:trHeight w:val="137"/>
          <w:jc w:val="center"/>
        </w:trPr>
        <w:tc>
          <w:tcPr>
            <w:tcW w:w="4127" w:type="dxa"/>
            <w:tcBorders>
              <w:top w:val="nil"/>
              <w:left w:val="single" w:sz="4" w:space="0" w:color="auto"/>
              <w:bottom w:val="single" w:sz="4" w:space="0" w:color="auto"/>
              <w:right w:val="single" w:sz="4" w:space="0" w:color="auto"/>
            </w:tcBorders>
            <w:noWrap/>
            <w:vAlign w:val="bottom"/>
          </w:tcPr>
          <w:p w:rsidR="008964B3" w:rsidRPr="008964B3" w:rsidRDefault="008964B3" w:rsidP="006A1D16">
            <w:pPr>
              <w:spacing w:before="120"/>
              <w:rPr>
                <w:bCs/>
                <w:sz w:val="20"/>
                <w:szCs w:val="20"/>
              </w:rPr>
            </w:pPr>
            <w:r w:rsidRPr="008964B3">
              <w:rPr>
                <w:bCs/>
                <w:sz w:val="20"/>
                <w:szCs w:val="20"/>
              </w:rPr>
              <w:t>Евро зона (19 държави-членки)</w:t>
            </w:r>
          </w:p>
        </w:tc>
        <w:tc>
          <w:tcPr>
            <w:tcW w:w="786"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3,6</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3,4</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3,1</w:t>
            </w:r>
          </w:p>
        </w:tc>
        <w:tc>
          <w:tcPr>
            <w:tcW w:w="697"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2,9</w:t>
            </w:r>
          </w:p>
        </w:tc>
        <w:tc>
          <w:tcPr>
            <w:tcW w:w="709"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lang w:val="en-US"/>
              </w:rPr>
              <w:t>2,</w:t>
            </w:r>
            <w:r w:rsidRPr="00705BE0">
              <w:rPr>
                <w:bCs/>
                <w:sz w:val="20"/>
                <w:szCs w:val="20"/>
              </w:rPr>
              <w:t>8</w:t>
            </w:r>
          </w:p>
        </w:tc>
        <w:tc>
          <w:tcPr>
            <w:tcW w:w="6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2,7</w:t>
            </w:r>
          </w:p>
        </w:tc>
        <w:tc>
          <w:tcPr>
            <w:tcW w:w="765" w:type="dxa"/>
            <w:tcBorders>
              <w:top w:val="nil"/>
              <w:left w:val="nil"/>
              <w:bottom w:val="single" w:sz="4" w:space="0" w:color="auto"/>
              <w:right w:val="single" w:sz="4" w:space="0" w:color="auto"/>
            </w:tcBorders>
            <w:vAlign w:val="bottom"/>
          </w:tcPr>
          <w:p w:rsidR="008964B3" w:rsidRPr="00705BE0" w:rsidRDefault="008964B3" w:rsidP="008964B3">
            <w:pPr>
              <w:spacing w:before="120"/>
              <w:jc w:val="right"/>
              <w:rPr>
                <w:bCs/>
                <w:sz w:val="20"/>
                <w:szCs w:val="20"/>
              </w:rPr>
            </w:pPr>
            <w:r w:rsidRPr="00705BE0">
              <w:rPr>
                <w:bCs/>
                <w:sz w:val="20"/>
                <w:szCs w:val="20"/>
              </w:rPr>
              <w:t>2,7</w:t>
            </w:r>
          </w:p>
        </w:tc>
      </w:tr>
      <w:tr w:rsidR="008964B3" w:rsidRPr="001F6421"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8964B3" w:rsidRPr="008964B3" w:rsidRDefault="008964B3" w:rsidP="006A1D16">
            <w:pPr>
              <w:spacing w:before="120"/>
              <w:rPr>
                <w:b/>
                <w:bCs/>
                <w:sz w:val="20"/>
                <w:szCs w:val="20"/>
              </w:rPr>
            </w:pPr>
            <w:r w:rsidRPr="008964B3">
              <w:rPr>
                <w:b/>
                <w:bCs/>
                <w:sz w:val="20"/>
                <w:szCs w:val="20"/>
              </w:rPr>
              <w:t>България</w:t>
            </w:r>
          </w:p>
        </w:tc>
        <w:tc>
          <w:tcPr>
            <w:tcW w:w="786"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
                <w:bCs/>
                <w:sz w:val="20"/>
                <w:szCs w:val="20"/>
              </w:rPr>
            </w:pPr>
            <w:r w:rsidRPr="00705BE0">
              <w:rPr>
                <w:b/>
                <w:bCs/>
                <w:sz w:val="20"/>
                <w:szCs w:val="20"/>
              </w:rPr>
              <w:t>5,0</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
                <w:bCs/>
                <w:sz w:val="20"/>
                <w:szCs w:val="20"/>
              </w:rPr>
            </w:pPr>
            <w:r w:rsidRPr="00705BE0">
              <w:rPr>
                <w:b/>
                <w:bCs/>
                <w:sz w:val="20"/>
                <w:szCs w:val="20"/>
              </w:rPr>
              <w:t>4,7</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
                <w:bCs/>
                <w:sz w:val="20"/>
                <w:szCs w:val="20"/>
                <w:lang w:val="en-US"/>
              </w:rPr>
            </w:pPr>
            <w:r w:rsidRPr="00705BE0">
              <w:rPr>
                <w:b/>
                <w:bCs/>
                <w:sz w:val="20"/>
                <w:szCs w:val="20"/>
              </w:rPr>
              <w:t>3,4</w:t>
            </w:r>
          </w:p>
        </w:tc>
        <w:tc>
          <w:tcPr>
            <w:tcW w:w="697"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
                <w:bCs/>
                <w:sz w:val="20"/>
                <w:szCs w:val="20"/>
              </w:rPr>
              <w:t>3,4</w:t>
            </w:r>
          </w:p>
        </w:tc>
        <w:tc>
          <w:tcPr>
            <w:tcW w:w="709"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
                <w:bCs/>
                <w:sz w:val="20"/>
                <w:szCs w:val="20"/>
                <w:lang w:val="en-US"/>
              </w:rPr>
            </w:pPr>
            <w:r w:rsidRPr="00705BE0">
              <w:rPr>
                <w:b/>
                <w:bCs/>
                <w:sz w:val="20"/>
                <w:szCs w:val="20"/>
                <w:lang w:val="en-US"/>
              </w:rPr>
              <w:t>4,1</w:t>
            </w:r>
          </w:p>
        </w:tc>
        <w:tc>
          <w:tcPr>
            <w:tcW w:w="6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
                <w:bCs/>
                <w:sz w:val="20"/>
                <w:szCs w:val="20"/>
              </w:rPr>
            </w:pPr>
            <w:r w:rsidRPr="00705BE0">
              <w:rPr>
                <w:b/>
                <w:bCs/>
                <w:sz w:val="20"/>
                <w:szCs w:val="20"/>
              </w:rPr>
              <w:t>5,2</w:t>
            </w:r>
          </w:p>
        </w:tc>
        <w:tc>
          <w:tcPr>
            <w:tcW w:w="765" w:type="dxa"/>
            <w:tcBorders>
              <w:top w:val="nil"/>
              <w:left w:val="nil"/>
              <w:bottom w:val="single" w:sz="4" w:space="0" w:color="auto"/>
              <w:right w:val="single" w:sz="4" w:space="0" w:color="auto"/>
            </w:tcBorders>
            <w:vAlign w:val="bottom"/>
          </w:tcPr>
          <w:p w:rsidR="008964B3" w:rsidRPr="00705BE0" w:rsidRDefault="008964B3" w:rsidP="008964B3">
            <w:pPr>
              <w:spacing w:before="120"/>
              <w:jc w:val="right"/>
              <w:rPr>
                <w:b/>
                <w:bCs/>
                <w:sz w:val="20"/>
                <w:szCs w:val="20"/>
              </w:rPr>
            </w:pPr>
            <w:r w:rsidRPr="00705BE0">
              <w:rPr>
                <w:b/>
                <w:bCs/>
                <w:sz w:val="20"/>
                <w:szCs w:val="20"/>
              </w:rPr>
              <w:t>6,2</w:t>
            </w:r>
          </w:p>
        </w:tc>
      </w:tr>
      <w:tr w:rsidR="008964B3" w:rsidRPr="001F6421" w:rsidTr="002B1CA0">
        <w:trPr>
          <w:trHeight w:val="122"/>
          <w:jc w:val="center"/>
        </w:trPr>
        <w:tc>
          <w:tcPr>
            <w:tcW w:w="4127" w:type="dxa"/>
            <w:tcBorders>
              <w:top w:val="nil"/>
              <w:left w:val="single" w:sz="4" w:space="0" w:color="auto"/>
              <w:bottom w:val="single" w:sz="4" w:space="0" w:color="auto"/>
              <w:right w:val="single" w:sz="4" w:space="0" w:color="auto"/>
            </w:tcBorders>
            <w:noWrap/>
            <w:vAlign w:val="bottom"/>
          </w:tcPr>
          <w:p w:rsidR="008964B3" w:rsidRPr="008964B3" w:rsidRDefault="008964B3" w:rsidP="006A1D16">
            <w:pPr>
              <w:spacing w:before="120"/>
              <w:rPr>
                <w:bCs/>
                <w:sz w:val="20"/>
                <w:szCs w:val="20"/>
              </w:rPr>
            </w:pPr>
            <w:r w:rsidRPr="008964B3">
              <w:rPr>
                <w:bCs/>
                <w:sz w:val="20"/>
                <w:szCs w:val="20"/>
              </w:rPr>
              <w:t>Ирландия</w:t>
            </w:r>
          </w:p>
        </w:tc>
        <w:tc>
          <w:tcPr>
            <w:tcW w:w="786"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lang w:val="en-US"/>
              </w:rPr>
            </w:pPr>
            <w:r w:rsidRPr="00705BE0">
              <w:rPr>
                <w:bCs/>
                <w:sz w:val="20"/>
                <w:szCs w:val="20"/>
              </w:rPr>
              <w:t>3,</w:t>
            </w:r>
            <w:r w:rsidRPr="00705BE0">
              <w:rPr>
                <w:bCs/>
                <w:sz w:val="20"/>
                <w:szCs w:val="20"/>
                <w:lang w:val="en-US"/>
              </w:rPr>
              <w:t>7</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lang w:val="en-US"/>
              </w:rPr>
            </w:pPr>
            <w:r w:rsidRPr="00705BE0">
              <w:rPr>
                <w:bCs/>
                <w:sz w:val="20"/>
                <w:szCs w:val="20"/>
              </w:rPr>
              <w:t>3,3</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lang w:val="en-US"/>
              </w:rPr>
            </w:pPr>
            <w:r w:rsidRPr="00705BE0">
              <w:rPr>
                <w:bCs/>
                <w:sz w:val="20"/>
                <w:szCs w:val="20"/>
              </w:rPr>
              <w:t>2,</w:t>
            </w:r>
            <w:r w:rsidRPr="00705BE0">
              <w:rPr>
                <w:bCs/>
                <w:sz w:val="20"/>
                <w:szCs w:val="20"/>
                <w:lang w:val="en-US"/>
              </w:rPr>
              <w:t>4</w:t>
            </w:r>
          </w:p>
        </w:tc>
        <w:tc>
          <w:tcPr>
            <w:tcW w:w="697"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lang w:val="en-US"/>
              </w:rPr>
            </w:pPr>
            <w:r w:rsidRPr="00705BE0">
              <w:rPr>
                <w:bCs/>
                <w:sz w:val="20"/>
                <w:szCs w:val="20"/>
              </w:rPr>
              <w:t>2,0</w:t>
            </w:r>
          </w:p>
        </w:tc>
        <w:tc>
          <w:tcPr>
            <w:tcW w:w="709"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lang w:val="en-US"/>
              </w:rPr>
              <w:t>1,</w:t>
            </w:r>
            <w:r w:rsidRPr="00705BE0">
              <w:rPr>
                <w:bCs/>
                <w:sz w:val="20"/>
                <w:szCs w:val="20"/>
              </w:rPr>
              <w:t>8</w:t>
            </w:r>
          </w:p>
        </w:tc>
        <w:tc>
          <w:tcPr>
            <w:tcW w:w="6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2,1</w:t>
            </w:r>
          </w:p>
        </w:tc>
        <w:tc>
          <w:tcPr>
            <w:tcW w:w="765" w:type="dxa"/>
            <w:tcBorders>
              <w:top w:val="nil"/>
              <w:left w:val="nil"/>
              <w:bottom w:val="single" w:sz="4" w:space="0" w:color="auto"/>
              <w:right w:val="single" w:sz="4" w:space="0" w:color="auto"/>
            </w:tcBorders>
            <w:vAlign w:val="bottom"/>
          </w:tcPr>
          <w:p w:rsidR="008964B3" w:rsidRPr="00705BE0" w:rsidRDefault="008964B3" w:rsidP="008964B3">
            <w:pPr>
              <w:spacing w:before="120"/>
              <w:jc w:val="right"/>
              <w:rPr>
                <w:bCs/>
                <w:sz w:val="20"/>
                <w:szCs w:val="20"/>
              </w:rPr>
            </w:pPr>
            <w:r w:rsidRPr="00705BE0">
              <w:rPr>
                <w:bCs/>
                <w:sz w:val="20"/>
                <w:szCs w:val="20"/>
              </w:rPr>
              <w:t>1,8</w:t>
            </w:r>
          </w:p>
        </w:tc>
      </w:tr>
      <w:tr w:rsidR="008964B3" w:rsidRPr="001F6421" w:rsidTr="006A1D16">
        <w:trPr>
          <w:trHeight w:val="74"/>
          <w:jc w:val="center"/>
        </w:trPr>
        <w:tc>
          <w:tcPr>
            <w:tcW w:w="4127" w:type="dxa"/>
            <w:tcBorders>
              <w:top w:val="nil"/>
              <w:left w:val="single" w:sz="4" w:space="0" w:color="auto"/>
              <w:bottom w:val="single" w:sz="4" w:space="0" w:color="auto"/>
              <w:right w:val="single" w:sz="4" w:space="0" w:color="auto"/>
            </w:tcBorders>
            <w:noWrap/>
            <w:vAlign w:val="bottom"/>
          </w:tcPr>
          <w:p w:rsidR="008964B3" w:rsidRPr="008964B3" w:rsidRDefault="008964B3" w:rsidP="006A1D16">
            <w:pPr>
              <w:spacing w:before="120"/>
              <w:rPr>
                <w:bCs/>
                <w:sz w:val="20"/>
                <w:szCs w:val="20"/>
              </w:rPr>
            </w:pPr>
            <w:r w:rsidRPr="008964B3">
              <w:rPr>
                <w:bCs/>
                <w:sz w:val="20"/>
                <w:szCs w:val="20"/>
              </w:rPr>
              <w:t>Испания</w:t>
            </w:r>
          </w:p>
        </w:tc>
        <w:tc>
          <w:tcPr>
            <w:tcW w:w="786"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5,1</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4,7</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lang w:val="en-US"/>
              </w:rPr>
            </w:pPr>
            <w:r w:rsidRPr="00705BE0">
              <w:rPr>
                <w:bCs/>
                <w:sz w:val="20"/>
                <w:szCs w:val="20"/>
                <w:lang w:val="en-US"/>
              </w:rPr>
              <w:t>3</w:t>
            </w:r>
            <w:r w:rsidRPr="00705BE0">
              <w:rPr>
                <w:bCs/>
                <w:sz w:val="20"/>
                <w:szCs w:val="20"/>
              </w:rPr>
              <w:t>,7</w:t>
            </w:r>
          </w:p>
        </w:tc>
        <w:tc>
          <w:tcPr>
            <w:tcW w:w="697"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2,5</w:t>
            </w:r>
          </w:p>
        </w:tc>
        <w:tc>
          <w:tcPr>
            <w:tcW w:w="709"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w:t>
            </w:r>
            <w:r w:rsidRPr="00705BE0">
              <w:rPr>
                <w:bCs/>
                <w:sz w:val="20"/>
                <w:szCs w:val="20"/>
                <w:lang w:val="en-US"/>
              </w:rPr>
              <w:t>,</w:t>
            </w:r>
            <w:r w:rsidRPr="00705BE0">
              <w:rPr>
                <w:bCs/>
                <w:sz w:val="20"/>
                <w:szCs w:val="20"/>
              </w:rPr>
              <w:t>2</w:t>
            </w:r>
          </w:p>
        </w:tc>
        <w:tc>
          <w:tcPr>
            <w:tcW w:w="6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2,1</w:t>
            </w:r>
          </w:p>
        </w:tc>
        <w:tc>
          <w:tcPr>
            <w:tcW w:w="765" w:type="dxa"/>
            <w:tcBorders>
              <w:top w:val="nil"/>
              <w:left w:val="nil"/>
              <w:bottom w:val="single" w:sz="4" w:space="0" w:color="auto"/>
              <w:right w:val="single" w:sz="4" w:space="0" w:color="auto"/>
            </w:tcBorders>
            <w:vAlign w:val="bottom"/>
          </w:tcPr>
          <w:p w:rsidR="008964B3" w:rsidRPr="00705BE0" w:rsidRDefault="008964B3" w:rsidP="008964B3">
            <w:pPr>
              <w:spacing w:before="120"/>
              <w:jc w:val="right"/>
              <w:rPr>
                <w:bCs/>
                <w:sz w:val="20"/>
                <w:szCs w:val="20"/>
              </w:rPr>
            </w:pPr>
            <w:r w:rsidRPr="00705BE0">
              <w:rPr>
                <w:bCs/>
                <w:sz w:val="20"/>
                <w:szCs w:val="20"/>
              </w:rPr>
              <w:t>2,5</w:t>
            </w:r>
          </w:p>
        </w:tc>
      </w:tr>
      <w:tr w:rsidR="008964B3" w:rsidRPr="001F6421"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8964B3" w:rsidRPr="008964B3" w:rsidRDefault="008964B3" w:rsidP="006A1D16">
            <w:pPr>
              <w:spacing w:before="120"/>
              <w:rPr>
                <w:bCs/>
                <w:sz w:val="20"/>
                <w:szCs w:val="20"/>
              </w:rPr>
            </w:pPr>
            <w:r w:rsidRPr="008964B3">
              <w:rPr>
                <w:bCs/>
                <w:sz w:val="20"/>
                <w:szCs w:val="20"/>
              </w:rPr>
              <w:t>Италия</w:t>
            </w:r>
          </w:p>
        </w:tc>
        <w:tc>
          <w:tcPr>
            <w:tcW w:w="786"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3,4</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2,9</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2,8</w:t>
            </w:r>
          </w:p>
        </w:tc>
        <w:tc>
          <w:tcPr>
            <w:tcW w:w="697"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2,6</w:t>
            </w:r>
          </w:p>
        </w:tc>
        <w:tc>
          <w:tcPr>
            <w:tcW w:w="709"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w:t>
            </w:r>
            <w:r w:rsidRPr="00705BE0">
              <w:rPr>
                <w:bCs/>
                <w:sz w:val="20"/>
                <w:szCs w:val="20"/>
                <w:lang w:val="en-US"/>
              </w:rPr>
              <w:t>,</w:t>
            </w:r>
            <w:r w:rsidRPr="00705BE0">
              <w:rPr>
                <w:bCs/>
                <w:sz w:val="20"/>
                <w:szCs w:val="20"/>
              </w:rPr>
              <w:t>4</w:t>
            </w:r>
          </w:p>
        </w:tc>
        <w:tc>
          <w:tcPr>
            <w:tcW w:w="6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2,3</w:t>
            </w:r>
          </w:p>
        </w:tc>
        <w:tc>
          <w:tcPr>
            <w:tcW w:w="765" w:type="dxa"/>
            <w:tcBorders>
              <w:top w:val="nil"/>
              <w:left w:val="nil"/>
              <w:bottom w:val="single" w:sz="4" w:space="0" w:color="auto"/>
              <w:right w:val="single" w:sz="4" w:space="0" w:color="auto"/>
            </w:tcBorders>
            <w:vAlign w:val="bottom"/>
          </w:tcPr>
          <w:p w:rsidR="008964B3" w:rsidRPr="00705BE0" w:rsidRDefault="008964B3" w:rsidP="008964B3">
            <w:pPr>
              <w:spacing w:before="120"/>
              <w:jc w:val="right"/>
              <w:rPr>
                <w:bCs/>
                <w:sz w:val="20"/>
                <w:szCs w:val="20"/>
              </w:rPr>
            </w:pPr>
            <w:r w:rsidRPr="00705BE0">
              <w:rPr>
                <w:bCs/>
                <w:sz w:val="20"/>
                <w:szCs w:val="20"/>
              </w:rPr>
              <w:t>2,3</w:t>
            </w:r>
          </w:p>
        </w:tc>
      </w:tr>
      <w:tr w:rsidR="008964B3" w:rsidRPr="001F6421" w:rsidTr="006A1D16">
        <w:trPr>
          <w:trHeight w:val="181"/>
          <w:jc w:val="center"/>
        </w:trPr>
        <w:tc>
          <w:tcPr>
            <w:tcW w:w="4127" w:type="dxa"/>
            <w:tcBorders>
              <w:top w:val="nil"/>
              <w:left w:val="single" w:sz="4" w:space="0" w:color="auto"/>
              <w:bottom w:val="single" w:sz="4" w:space="0" w:color="auto"/>
              <w:right w:val="single" w:sz="4" w:space="0" w:color="auto"/>
            </w:tcBorders>
            <w:noWrap/>
            <w:vAlign w:val="bottom"/>
          </w:tcPr>
          <w:p w:rsidR="008964B3" w:rsidRPr="008964B3" w:rsidRDefault="008964B3" w:rsidP="006A1D16">
            <w:pPr>
              <w:spacing w:before="120"/>
              <w:rPr>
                <w:bCs/>
                <w:sz w:val="20"/>
                <w:szCs w:val="20"/>
              </w:rPr>
            </w:pPr>
            <w:r w:rsidRPr="008964B3">
              <w:rPr>
                <w:bCs/>
                <w:sz w:val="20"/>
                <w:szCs w:val="20"/>
              </w:rPr>
              <w:t>Полша</w:t>
            </w:r>
          </w:p>
        </w:tc>
        <w:tc>
          <w:tcPr>
            <w:tcW w:w="786"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5,1</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5,6</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5,8</w:t>
            </w:r>
          </w:p>
        </w:tc>
        <w:tc>
          <w:tcPr>
            <w:tcW w:w="697"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4,7</w:t>
            </w:r>
          </w:p>
        </w:tc>
        <w:tc>
          <w:tcPr>
            <w:tcW w:w="709"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4</w:t>
            </w:r>
            <w:r w:rsidRPr="00705BE0">
              <w:rPr>
                <w:bCs/>
                <w:sz w:val="20"/>
                <w:szCs w:val="20"/>
                <w:lang w:val="en-US"/>
              </w:rPr>
              <w:t>,</w:t>
            </w:r>
            <w:r w:rsidRPr="00705BE0">
              <w:rPr>
                <w:bCs/>
                <w:sz w:val="20"/>
                <w:szCs w:val="20"/>
              </w:rPr>
              <w:t>1</w:t>
            </w:r>
          </w:p>
        </w:tc>
        <w:tc>
          <w:tcPr>
            <w:tcW w:w="6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4,5</w:t>
            </w:r>
          </w:p>
        </w:tc>
        <w:tc>
          <w:tcPr>
            <w:tcW w:w="765" w:type="dxa"/>
            <w:tcBorders>
              <w:top w:val="nil"/>
              <w:left w:val="nil"/>
              <w:bottom w:val="single" w:sz="4" w:space="0" w:color="auto"/>
              <w:right w:val="single" w:sz="4" w:space="0" w:color="auto"/>
            </w:tcBorders>
            <w:vAlign w:val="bottom"/>
          </w:tcPr>
          <w:p w:rsidR="008964B3" w:rsidRPr="00705BE0" w:rsidRDefault="008964B3" w:rsidP="008964B3">
            <w:pPr>
              <w:spacing w:before="120"/>
              <w:jc w:val="right"/>
              <w:rPr>
                <w:bCs/>
                <w:sz w:val="20"/>
                <w:szCs w:val="20"/>
              </w:rPr>
            </w:pPr>
            <w:r w:rsidRPr="00705BE0">
              <w:rPr>
                <w:bCs/>
                <w:sz w:val="20"/>
                <w:szCs w:val="20"/>
              </w:rPr>
              <w:t>4,4</w:t>
            </w:r>
          </w:p>
        </w:tc>
      </w:tr>
      <w:tr w:rsidR="008964B3" w:rsidRPr="001F6421"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8964B3" w:rsidRPr="008964B3" w:rsidRDefault="008964B3" w:rsidP="006A1D16">
            <w:pPr>
              <w:spacing w:before="120"/>
              <w:rPr>
                <w:bCs/>
                <w:sz w:val="20"/>
                <w:szCs w:val="20"/>
              </w:rPr>
            </w:pPr>
            <w:r w:rsidRPr="008964B3">
              <w:rPr>
                <w:bCs/>
                <w:sz w:val="20"/>
                <w:szCs w:val="20"/>
              </w:rPr>
              <w:t>Румъния</w:t>
            </w:r>
          </w:p>
        </w:tc>
        <w:tc>
          <w:tcPr>
            <w:tcW w:w="786"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6,0</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5,7</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5,4</w:t>
            </w:r>
          </w:p>
        </w:tc>
        <w:tc>
          <w:tcPr>
            <w:tcW w:w="697"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4,8</w:t>
            </w:r>
          </w:p>
        </w:tc>
        <w:tc>
          <w:tcPr>
            <w:tcW w:w="709"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lang w:val="en-US"/>
              </w:rPr>
            </w:pPr>
            <w:r w:rsidRPr="00705BE0">
              <w:rPr>
                <w:bCs/>
                <w:sz w:val="20"/>
                <w:szCs w:val="20"/>
                <w:lang w:val="en-US"/>
              </w:rPr>
              <w:t>4,5</w:t>
            </w:r>
          </w:p>
        </w:tc>
        <w:tc>
          <w:tcPr>
            <w:tcW w:w="6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4,3</w:t>
            </w:r>
          </w:p>
        </w:tc>
        <w:tc>
          <w:tcPr>
            <w:tcW w:w="765" w:type="dxa"/>
            <w:tcBorders>
              <w:top w:val="nil"/>
              <w:left w:val="nil"/>
              <w:bottom w:val="single" w:sz="4" w:space="0" w:color="auto"/>
              <w:right w:val="single" w:sz="4" w:space="0" w:color="auto"/>
            </w:tcBorders>
            <w:vAlign w:val="bottom"/>
          </w:tcPr>
          <w:p w:rsidR="008964B3" w:rsidRPr="00705BE0" w:rsidRDefault="008964B3" w:rsidP="008964B3">
            <w:pPr>
              <w:spacing w:before="120"/>
              <w:jc w:val="right"/>
              <w:rPr>
                <w:bCs/>
                <w:sz w:val="20"/>
                <w:szCs w:val="20"/>
              </w:rPr>
            </w:pPr>
            <w:r w:rsidRPr="00705BE0">
              <w:rPr>
                <w:bCs/>
                <w:sz w:val="20"/>
                <w:szCs w:val="20"/>
              </w:rPr>
              <w:t>5,1</w:t>
            </w:r>
          </w:p>
        </w:tc>
      </w:tr>
      <w:tr w:rsidR="008964B3" w:rsidRPr="001F6421" w:rsidTr="006A1D16">
        <w:trPr>
          <w:trHeight w:val="70"/>
          <w:jc w:val="center"/>
        </w:trPr>
        <w:tc>
          <w:tcPr>
            <w:tcW w:w="4127" w:type="dxa"/>
            <w:tcBorders>
              <w:top w:val="nil"/>
              <w:left w:val="single" w:sz="4" w:space="0" w:color="auto"/>
              <w:bottom w:val="single" w:sz="4" w:space="0" w:color="auto"/>
              <w:right w:val="single" w:sz="4" w:space="0" w:color="auto"/>
            </w:tcBorders>
            <w:noWrap/>
            <w:vAlign w:val="bottom"/>
          </w:tcPr>
          <w:p w:rsidR="008964B3" w:rsidRPr="008964B3" w:rsidRDefault="008964B3" w:rsidP="006A1D16">
            <w:pPr>
              <w:spacing w:before="120"/>
              <w:rPr>
                <w:bCs/>
                <w:sz w:val="20"/>
                <w:szCs w:val="20"/>
              </w:rPr>
            </w:pPr>
            <w:r w:rsidRPr="008964B3">
              <w:rPr>
                <w:bCs/>
                <w:sz w:val="20"/>
                <w:szCs w:val="20"/>
              </w:rPr>
              <w:t>Словакия</w:t>
            </w:r>
          </w:p>
        </w:tc>
        <w:tc>
          <w:tcPr>
            <w:tcW w:w="786"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3,8</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3,5</w:t>
            </w:r>
          </w:p>
        </w:tc>
        <w:tc>
          <w:tcPr>
            <w:tcW w:w="7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lang w:val="en-US"/>
              </w:rPr>
            </w:pPr>
            <w:r w:rsidRPr="00705BE0">
              <w:rPr>
                <w:bCs/>
                <w:sz w:val="20"/>
                <w:szCs w:val="20"/>
              </w:rPr>
              <w:t>3,</w:t>
            </w:r>
            <w:r w:rsidRPr="00705BE0">
              <w:rPr>
                <w:bCs/>
                <w:sz w:val="20"/>
                <w:szCs w:val="20"/>
                <w:lang w:val="en-US"/>
              </w:rPr>
              <w:t>7</w:t>
            </w:r>
          </w:p>
        </w:tc>
        <w:tc>
          <w:tcPr>
            <w:tcW w:w="697"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lang w:val="en-US"/>
              </w:rPr>
            </w:pPr>
            <w:r w:rsidRPr="00705BE0">
              <w:rPr>
                <w:bCs/>
                <w:sz w:val="20"/>
                <w:szCs w:val="20"/>
              </w:rPr>
              <w:t>3,3</w:t>
            </w:r>
          </w:p>
        </w:tc>
        <w:tc>
          <w:tcPr>
            <w:tcW w:w="709"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w:t>
            </w:r>
            <w:r w:rsidRPr="00705BE0">
              <w:rPr>
                <w:bCs/>
                <w:sz w:val="20"/>
                <w:szCs w:val="20"/>
                <w:lang w:val="en-US"/>
              </w:rPr>
              <w:t>,</w:t>
            </w:r>
            <w:r w:rsidRPr="00705BE0">
              <w:rPr>
                <w:bCs/>
                <w:sz w:val="20"/>
                <w:szCs w:val="20"/>
              </w:rPr>
              <w:t>2</w:t>
            </w:r>
          </w:p>
        </w:tc>
        <w:tc>
          <w:tcPr>
            <w:tcW w:w="620" w:type="dxa"/>
            <w:tcBorders>
              <w:top w:val="nil"/>
              <w:left w:val="nil"/>
              <w:bottom w:val="single" w:sz="4" w:space="0" w:color="auto"/>
              <w:right w:val="single" w:sz="4" w:space="0" w:color="auto"/>
            </w:tcBorders>
            <w:noWrap/>
            <w:vAlign w:val="bottom"/>
          </w:tcPr>
          <w:p w:rsidR="008964B3" w:rsidRPr="00705BE0" w:rsidRDefault="008964B3" w:rsidP="008964B3">
            <w:pPr>
              <w:spacing w:before="120"/>
              <w:jc w:val="right"/>
              <w:rPr>
                <w:bCs/>
                <w:sz w:val="20"/>
                <w:szCs w:val="20"/>
              </w:rPr>
            </w:pPr>
            <w:r w:rsidRPr="00705BE0">
              <w:rPr>
                <w:bCs/>
                <w:sz w:val="20"/>
                <w:szCs w:val="20"/>
              </w:rPr>
              <w:t>3,8</w:t>
            </w:r>
          </w:p>
        </w:tc>
        <w:tc>
          <w:tcPr>
            <w:tcW w:w="765" w:type="dxa"/>
            <w:tcBorders>
              <w:top w:val="nil"/>
              <w:left w:val="nil"/>
              <w:bottom w:val="single" w:sz="4" w:space="0" w:color="auto"/>
              <w:right w:val="single" w:sz="4" w:space="0" w:color="auto"/>
            </w:tcBorders>
            <w:vAlign w:val="bottom"/>
          </w:tcPr>
          <w:p w:rsidR="008964B3" w:rsidRPr="00705BE0" w:rsidRDefault="008964B3" w:rsidP="008964B3">
            <w:pPr>
              <w:spacing w:before="120"/>
              <w:jc w:val="right"/>
              <w:rPr>
                <w:bCs/>
                <w:sz w:val="20"/>
                <w:szCs w:val="20"/>
              </w:rPr>
            </w:pPr>
            <w:r w:rsidRPr="00705BE0">
              <w:rPr>
                <w:bCs/>
                <w:sz w:val="20"/>
                <w:szCs w:val="20"/>
              </w:rPr>
              <w:t>6,2</w:t>
            </w:r>
          </w:p>
        </w:tc>
      </w:tr>
      <w:tr w:rsidR="008964B3" w:rsidRPr="008964B3" w:rsidTr="006A1D16">
        <w:trPr>
          <w:trHeight w:val="255"/>
          <w:jc w:val="center"/>
        </w:trPr>
        <w:tc>
          <w:tcPr>
            <w:tcW w:w="9144" w:type="dxa"/>
            <w:gridSpan w:val="8"/>
            <w:tcBorders>
              <w:top w:val="nil"/>
              <w:left w:val="nil"/>
              <w:bottom w:val="nil"/>
              <w:right w:val="nil"/>
            </w:tcBorders>
            <w:noWrap/>
            <w:vAlign w:val="bottom"/>
          </w:tcPr>
          <w:p w:rsidR="004A6060" w:rsidRPr="008964B3" w:rsidRDefault="004A6060" w:rsidP="006A1D16">
            <w:pPr>
              <w:spacing w:before="120"/>
              <w:rPr>
                <w:sz w:val="20"/>
                <w:szCs w:val="20"/>
              </w:rPr>
            </w:pPr>
            <w:r w:rsidRPr="008964B3">
              <w:rPr>
                <w:sz w:val="20"/>
                <w:szCs w:val="20"/>
              </w:rPr>
              <w:t>Източник: Eurostat</w:t>
            </w:r>
          </w:p>
          <w:p w:rsidR="004A6060" w:rsidRPr="008964B3" w:rsidRDefault="004A6060" w:rsidP="008964B3">
            <w:pPr>
              <w:spacing w:before="120"/>
              <w:rPr>
                <w:sz w:val="20"/>
                <w:szCs w:val="20"/>
              </w:rPr>
            </w:pPr>
            <w:r w:rsidRPr="008964B3">
              <w:rPr>
                <w:sz w:val="20"/>
                <w:szCs w:val="20"/>
              </w:rPr>
              <w:t>*данните за 201</w:t>
            </w:r>
            <w:r w:rsidR="008964B3" w:rsidRPr="008964B3">
              <w:rPr>
                <w:sz w:val="20"/>
                <w:szCs w:val="20"/>
              </w:rPr>
              <w:t>5</w:t>
            </w:r>
            <w:r w:rsidRPr="008964B3">
              <w:rPr>
                <w:sz w:val="20"/>
                <w:szCs w:val="20"/>
              </w:rPr>
              <w:t xml:space="preserve"> г. са на база оценки на DG ECFIN - European Economic Forecast - spring 201</w:t>
            </w:r>
            <w:r w:rsidR="008964B3" w:rsidRPr="008964B3">
              <w:rPr>
                <w:sz w:val="20"/>
                <w:szCs w:val="20"/>
              </w:rPr>
              <w:t>6</w:t>
            </w:r>
          </w:p>
        </w:tc>
      </w:tr>
    </w:tbl>
    <w:p w:rsidR="004A6060" w:rsidRDefault="004A6060" w:rsidP="004A6060">
      <w:pPr>
        <w:pStyle w:val="Default"/>
        <w:ind w:firstLine="700"/>
        <w:jc w:val="both"/>
        <w:rPr>
          <w:color w:val="auto"/>
          <w:sz w:val="12"/>
          <w:szCs w:val="12"/>
        </w:rPr>
      </w:pPr>
    </w:p>
    <w:p w:rsidR="008964B3" w:rsidRDefault="008964B3" w:rsidP="004A6060">
      <w:pPr>
        <w:pStyle w:val="Default"/>
        <w:ind w:firstLine="700"/>
        <w:jc w:val="both"/>
        <w:rPr>
          <w:color w:val="auto"/>
          <w:sz w:val="12"/>
          <w:szCs w:val="12"/>
        </w:rPr>
      </w:pPr>
    </w:p>
    <w:p w:rsidR="008964B3" w:rsidRPr="00420C89" w:rsidRDefault="008964B3" w:rsidP="004A6060">
      <w:pPr>
        <w:pStyle w:val="Default"/>
        <w:ind w:firstLine="700"/>
        <w:jc w:val="both"/>
        <w:rPr>
          <w:color w:val="auto"/>
          <w:sz w:val="12"/>
          <w:szCs w:val="12"/>
        </w:rPr>
      </w:pPr>
      <w:r w:rsidRPr="00EC10B0">
        <w:rPr>
          <w:rFonts w:ascii="Times New Roman" w:hAnsi="Times New Roman"/>
          <w:color w:val="auto"/>
        </w:rPr>
        <w:t xml:space="preserve">През </w:t>
      </w:r>
      <w:r w:rsidRPr="00EC10B0">
        <w:rPr>
          <w:rFonts w:ascii="Times New Roman" w:hAnsi="Times New Roman" w:cs="Times New Roman"/>
          <w:color w:val="auto"/>
        </w:rPr>
        <w:t>2015 г.</w:t>
      </w:r>
      <w:r w:rsidRPr="00EC10B0">
        <w:rPr>
          <w:rFonts w:ascii="Times New Roman" w:hAnsi="Times New Roman"/>
          <w:color w:val="auto"/>
        </w:rPr>
        <w:t xml:space="preserve"> публичните разходи за придобиване на дълготрайни материални активи остават на едно сравнително високо ниво спрямо тези в държавите от ЕС.</w:t>
      </w:r>
      <w:r w:rsidRPr="001F6421">
        <w:rPr>
          <w:rFonts w:ascii="Times New Roman" w:hAnsi="Times New Roman"/>
          <w:color w:val="0070C0"/>
        </w:rPr>
        <w:t xml:space="preserve"> </w:t>
      </w:r>
      <w:r w:rsidRPr="00420C89">
        <w:rPr>
          <w:rFonts w:ascii="Times New Roman" w:hAnsi="Times New Roman"/>
          <w:color w:val="auto"/>
        </w:rPr>
        <w:t xml:space="preserve">Като относителен дял от БВП те нарастват с </w:t>
      </w:r>
      <w:r w:rsidR="00097A61">
        <w:rPr>
          <w:rFonts w:ascii="Times New Roman" w:hAnsi="Times New Roman"/>
          <w:color w:val="auto"/>
        </w:rPr>
        <w:t>1,0</w:t>
      </w:r>
      <w:r w:rsidRPr="00420C89">
        <w:rPr>
          <w:rFonts w:ascii="Times New Roman" w:hAnsi="Times New Roman"/>
          <w:color w:val="auto"/>
        </w:rPr>
        <w:t xml:space="preserve"> п.п. спрямо 201</w:t>
      </w:r>
      <w:r w:rsidR="00420C89" w:rsidRPr="00420C89">
        <w:rPr>
          <w:rFonts w:ascii="Times New Roman" w:hAnsi="Times New Roman"/>
          <w:color w:val="auto"/>
        </w:rPr>
        <w:t>4</w:t>
      </w:r>
      <w:r w:rsidRPr="00420C89">
        <w:rPr>
          <w:rFonts w:ascii="Times New Roman" w:hAnsi="Times New Roman"/>
          <w:color w:val="auto"/>
        </w:rPr>
        <w:t xml:space="preserve"> г., </w:t>
      </w:r>
      <w:r w:rsidR="00420C89" w:rsidRPr="00420C89">
        <w:rPr>
          <w:rFonts w:ascii="Times New Roman" w:hAnsi="Times New Roman"/>
          <w:color w:val="auto"/>
        </w:rPr>
        <w:t xml:space="preserve">в резултат на усилията за успешно приключване на проектите по оперативните програми, Програмата за развитие на селските райони, Програмата за развитие на сектор „Рибарство“ и други програми на </w:t>
      </w:r>
      <w:r w:rsidR="00420C89" w:rsidRPr="00420C89">
        <w:rPr>
          <w:rFonts w:ascii="Times New Roman" w:hAnsi="Times New Roman"/>
          <w:color w:val="auto"/>
        </w:rPr>
        <w:lastRenderedPageBreak/>
        <w:t xml:space="preserve">Европейския съюз за програмния период 2007-2013 г. и минимизиране на загубата на европейско финансиране. </w:t>
      </w:r>
      <w:r w:rsidRPr="00420C89">
        <w:rPr>
          <w:rFonts w:ascii="Times New Roman" w:hAnsi="Times New Roman"/>
          <w:color w:val="auto"/>
        </w:rPr>
        <w:t>Изпълнението на инвестиционните политики през 201</w:t>
      </w:r>
      <w:r w:rsidR="00420C89" w:rsidRPr="00420C89">
        <w:rPr>
          <w:rFonts w:ascii="Times New Roman" w:hAnsi="Times New Roman"/>
          <w:color w:val="auto"/>
        </w:rPr>
        <w:t>5</w:t>
      </w:r>
      <w:r w:rsidRPr="00420C89">
        <w:rPr>
          <w:rFonts w:ascii="Times New Roman" w:hAnsi="Times New Roman"/>
          <w:color w:val="auto"/>
        </w:rPr>
        <w:t> г. продължи да следва приоритетите от предходните години за модернизиране на екологичната и пътната инфраструктура, като съществен принос имаха и проектите по оперативните програми, съфинансирани от Структурните и Кохезионния фондове на ЕС, както и от други фондове и програми на ЕС. Капиталовите разходи са разпределени по приоритети в рамките на изпълняваните от първостепенните разпоредители с бюджет политики и програми, с цел стимулиране на секторите, генериращи високи икономически и социално-обществени ползи.</w:t>
      </w:r>
    </w:p>
    <w:p w:rsidR="008964B3" w:rsidRPr="008320C6" w:rsidRDefault="008964B3" w:rsidP="008964B3">
      <w:pPr>
        <w:pStyle w:val="Default"/>
        <w:spacing w:before="240" w:after="60" w:line="360" w:lineRule="auto"/>
        <w:ind w:left="1220" w:hanging="500"/>
        <w:rPr>
          <w:rFonts w:ascii="Times New Roman" w:hAnsi="Times New Roman" w:cs="Times New Roman"/>
          <w:color w:val="auto"/>
        </w:rPr>
      </w:pPr>
      <w:r w:rsidRPr="008320C6">
        <w:rPr>
          <w:rFonts w:ascii="Times New Roman" w:hAnsi="Times New Roman" w:cs="Times New Roman"/>
          <w:b/>
          <w:bCs/>
          <w:color w:val="auto"/>
        </w:rPr>
        <w:t xml:space="preserve">Публични капиталови разходи </w:t>
      </w:r>
    </w:p>
    <w:p w:rsidR="008964B3" w:rsidRPr="008320C6" w:rsidRDefault="008964B3" w:rsidP="008964B3">
      <w:pPr>
        <w:pStyle w:val="Default"/>
        <w:ind w:firstLine="720"/>
        <w:jc w:val="both"/>
        <w:rPr>
          <w:rFonts w:ascii="Times New Roman" w:hAnsi="Times New Roman"/>
          <w:color w:val="auto"/>
          <w:lang w:val="en-US"/>
        </w:rPr>
      </w:pPr>
      <w:r w:rsidRPr="008320C6">
        <w:rPr>
          <w:rFonts w:ascii="Times New Roman" w:hAnsi="Times New Roman"/>
          <w:color w:val="auto"/>
        </w:rPr>
        <w:t xml:space="preserve">Разпределението на капиталовите разходи за 2015 г. на консолидираната фискална програма по функции отразява секторните приоритети при реализацията на инвестиционната политика в публичната сфера. На графиката по-долу е представено функционалното разпределение на отчетените за 2015 г. капиталови разходи. </w:t>
      </w:r>
    </w:p>
    <w:p w:rsidR="008964B3" w:rsidRDefault="008964B3" w:rsidP="008964B3">
      <w:pPr>
        <w:pStyle w:val="Default"/>
        <w:ind w:firstLine="720"/>
        <w:jc w:val="both"/>
        <w:rPr>
          <w:rFonts w:ascii="Times New Roman" w:hAnsi="Times New Roman"/>
          <w:color w:val="auto"/>
          <w:lang w:val="en-US"/>
        </w:rPr>
      </w:pPr>
    </w:p>
    <w:p w:rsidR="008964B3" w:rsidRPr="001F6421" w:rsidRDefault="004110BD" w:rsidP="008964B3">
      <w:pPr>
        <w:pStyle w:val="Default"/>
        <w:ind w:firstLine="113"/>
        <w:jc w:val="both"/>
        <w:rPr>
          <w:noProof/>
          <w:color w:val="0070C0"/>
        </w:rPr>
      </w:pPr>
      <w:r>
        <w:rPr>
          <w:noProof/>
        </w:rPr>
        <w:drawing>
          <wp:inline distT="0" distB="0" distL="0" distR="0" wp14:anchorId="628241D0" wp14:editId="3A23BEF3">
            <wp:extent cx="5495027" cy="3778369"/>
            <wp:effectExtent l="0" t="0" r="10795" b="1270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Del="004110BD">
        <w:rPr>
          <w:rFonts w:ascii="Times New Roman" w:hAnsi="Times New Roman"/>
          <w:noProof/>
          <w:color w:val="auto"/>
        </w:rPr>
        <w:t xml:space="preserve"> </w:t>
      </w:r>
    </w:p>
    <w:p w:rsidR="008964B3" w:rsidRPr="00705BE0" w:rsidRDefault="008964B3" w:rsidP="008964B3">
      <w:pPr>
        <w:autoSpaceDE w:val="0"/>
        <w:autoSpaceDN w:val="0"/>
        <w:adjustRightInd w:val="0"/>
        <w:ind w:firstLine="720"/>
        <w:jc w:val="both"/>
        <w:rPr>
          <w:rFonts w:cs="Arial"/>
        </w:rPr>
      </w:pPr>
      <w:r w:rsidRPr="00705BE0">
        <w:rPr>
          <w:rFonts w:cs="Arial"/>
        </w:rPr>
        <w:t xml:space="preserve">Анализът на инвестиционните разходи по функционален признак показва, че най-голям относителен дял заемат разходите за „Икономически дейности и услуги” – </w:t>
      </w:r>
      <w:r w:rsidRPr="00705BE0">
        <w:rPr>
          <w:rFonts w:cs="Arial"/>
          <w:lang w:val="ru-RU"/>
        </w:rPr>
        <w:t>46</w:t>
      </w:r>
      <w:r w:rsidRPr="00705BE0">
        <w:rPr>
          <w:rFonts w:cs="Arial"/>
        </w:rPr>
        <w:t>,3 % от общите разходи. Размерът на отчетените средства по функцията е 3</w:t>
      </w:r>
      <w:r w:rsidR="004F3C51">
        <w:rPr>
          <w:rFonts w:cs="Arial"/>
        </w:rPr>
        <w:t> </w:t>
      </w:r>
      <w:r w:rsidRPr="00705BE0">
        <w:rPr>
          <w:rFonts w:cs="Arial"/>
        </w:rPr>
        <w:t>19</w:t>
      </w:r>
      <w:r w:rsidR="004F3C51">
        <w:rPr>
          <w:rFonts w:cs="Arial"/>
        </w:rPr>
        <w:t>5,</w:t>
      </w:r>
      <w:r w:rsidR="00CC6CBB">
        <w:rPr>
          <w:rFonts w:cs="Arial"/>
        </w:rPr>
        <w:t>7</w:t>
      </w:r>
      <w:r w:rsidRPr="00705BE0">
        <w:rPr>
          <w:rFonts w:cs="Arial"/>
        </w:rPr>
        <w:t xml:space="preserve"> млн. лв., като основната част от разходите в тази функция са отчетени в група В „Транспорт и съобщения”. Значителният размер на изразходените средства през годината е свързан основно с финансирането на инфраструктурни обекти с национално значение.</w:t>
      </w:r>
    </w:p>
    <w:p w:rsidR="008964B3" w:rsidRPr="00705BE0" w:rsidRDefault="008964B3" w:rsidP="008964B3">
      <w:pPr>
        <w:autoSpaceDE w:val="0"/>
        <w:autoSpaceDN w:val="0"/>
        <w:adjustRightInd w:val="0"/>
        <w:ind w:firstLine="720"/>
        <w:jc w:val="both"/>
      </w:pPr>
      <w:r w:rsidRPr="00705BE0">
        <w:t>По-значимите инвестиционни проекти в сектор „Транспорт” са свързани с изпълнението на проектите за „Автомагистрала „Струма“, Лот 1, 2 и 4”, „Рехабилитация на железопътна инфраструктура в участъци от железопътната линия Пловдив - Бургас“, „Проект за разширение на метрото в София Етап ІІІ, Лот 1 „Цариградско шосе - Летище София“ и Лот 2 „жк Младост 1 - Бизнес парк в Младост 4“ „Изграждане на автомагистрала „Марица“, Лот 1 и Лот 2”, „Реконструкция и електрификация на железопътна линия Пловдив – Свиленград по коридор ІV и ІХ, Фаза 2: участък Първомай –</w:t>
      </w:r>
      <w:r w:rsidRPr="00705BE0">
        <w:lastRenderedPageBreak/>
        <w:t xml:space="preserve"> Свиленград“,„Изграждане на автомагистрала „Марица“ - Лот 1 и Лот 2, „Изграждане на АМ Калотина – София, Лот 1: Западна дъга на Софийски околовръстен път“, „Модернизация на железопътен участък „Септември- Пловдив“ – част от Трансевропейската железопътна мрежа“. Разходите по тази функция са свързани с усвоеното финансиране от Структурните и Кохезионния фондове на ЕС, държавни инвестиционни заеми, съответното национално съфинансиране, както и проекти с национално финансиране. </w:t>
      </w:r>
    </w:p>
    <w:p w:rsidR="008964B3" w:rsidRPr="00705BE0" w:rsidRDefault="008964B3" w:rsidP="008964B3">
      <w:pPr>
        <w:tabs>
          <w:tab w:val="left" w:pos="1260"/>
        </w:tabs>
        <w:spacing w:after="120"/>
        <w:ind w:firstLine="720"/>
        <w:jc w:val="both"/>
      </w:pPr>
      <w:r w:rsidRPr="00705BE0">
        <w:t xml:space="preserve">На второ място по размер са инвестиционните разходи по функция „Жилищно строителство, благоустройство и комунално стопанство”, чиито дял съставлява </w:t>
      </w:r>
      <w:r w:rsidRPr="00705BE0">
        <w:rPr>
          <w:lang w:val="en-US"/>
        </w:rPr>
        <w:t>3</w:t>
      </w:r>
      <w:r w:rsidRPr="00705BE0">
        <w:t>5,</w:t>
      </w:r>
      <w:r w:rsidR="004110BD">
        <w:t>8</w:t>
      </w:r>
      <w:r w:rsidRPr="00705BE0">
        <w:t> % от капиталовите разходи по КФП. Разходите по група А „Жилищно строителство, благоустройство и комунално стопанство” са свързани основно с инвестиционната дейност в общините по териториалното развитие и благоустрояване на населените места, както и за изпълнение програмите на МРРБ за „Развитие на регионите в страната и намаляване на различията, ефективно и ефикасно използване на публичните финанси за подобряване качеството на жизнената среда и създаване на работни места“, „Подобряване на инфраструктурната свързаност на регионите – изграждане и модернизиране на пътната и ВиК инфраструктура“ и „Подобряване на инвестиционния процес, чрез развитие на устройственото планиране, усъвършенстване на информационните системи на кадастъра и</w:t>
      </w:r>
      <w:r w:rsidRPr="00705BE0">
        <w:rPr>
          <w:color w:val="0070C0"/>
        </w:rPr>
        <w:t xml:space="preserve"> </w:t>
      </w:r>
      <w:r w:rsidRPr="00705BE0">
        <w:t>имотния регистър, стимулиране на публично-частното партньорство, подобряване качеството на превантивния и текущия контрол и прилагане на европейските стандарти”.</w:t>
      </w:r>
      <w:r w:rsidRPr="00705BE0">
        <w:rPr>
          <w:color w:val="0070C0"/>
        </w:rPr>
        <w:t xml:space="preserve"> </w:t>
      </w:r>
      <w:r w:rsidRPr="00705BE0">
        <w:t>През годината за тези дейности са изразходвани средства в размер на 1</w:t>
      </w:r>
      <w:r w:rsidR="004F3C51">
        <w:t> </w:t>
      </w:r>
      <w:r w:rsidRPr="00705BE0">
        <w:t>38</w:t>
      </w:r>
      <w:r w:rsidR="004F3C51">
        <w:t>2,4</w:t>
      </w:r>
      <w:r w:rsidRPr="00705BE0">
        <w:t xml:space="preserve"> млн. лв., от които по оперативни програми (вкл. националното съфинансиране) 1</w:t>
      </w:r>
      <w:r w:rsidR="004F3C51">
        <w:t> </w:t>
      </w:r>
      <w:r w:rsidRPr="00705BE0">
        <w:t>07</w:t>
      </w:r>
      <w:r w:rsidR="004F3C51">
        <w:t>8,</w:t>
      </w:r>
      <w:r w:rsidR="00740883">
        <w:t>3</w:t>
      </w:r>
      <w:r w:rsidRPr="00705BE0">
        <w:t xml:space="preserve"> млн. лв. и 297,</w:t>
      </w:r>
      <w:r w:rsidR="00740883">
        <w:t>1</w:t>
      </w:r>
      <w:r w:rsidRPr="00705BE0">
        <w:t xml:space="preserve"> млн. лв. - разходи, определени по решение на общинския съвет, свързани с поддържането на уличната мрежа, водоснабдяване, канализация и други публични услуги, предоставяни на населението.</w:t>
      </w:r>
      <w:r w:rsidRPr="00705BE0">
        <w:rPr>
          <w:color w:val="0070C0"/>
        </w:rPr>
        <w:t xml:space="preserve"> </w:t>
      </w:r>
      <w:r w:rsidRPr="00705BE0">
        <w:t>Със средства от оперативна програма „Регионално развитие“ са финансирани следните по-значими проекти: „Проект за интегриран столичен градски транспорт“, „Интегриран градски транспорт на Бургас“, „Интегриран градски транспорт на Варна“, „Модернизация на структурните звена на НСПБЗН – МВР в Столичния агломерационен ареал и агломерационните ареали на 6-те най-големи града</w:t>
      </w:r>
      <w:r w:rsidRPr="008320C6">
        <w:t>- Пловдив, Варна, Бургас, Плевен, Русе, и Стара Загора</w:t>
      </w:r>
      <w:r w:rsidRPr="00705BE0">
        <w:t>“ и Лот 70 „Северна скоростна тангента от км 0+000 до км 16+540“. Делът на отчетените капиталови разходи в група Б „Опазване на околната среда” от общо капиталовите разходи по тази функция е 44,1 %, като в сравнение с 2014 г. разходите в групата нарастват с 62</w:t>
      </w:r>
      <w:r w:rsidR="00740883">
        <w:t>5</w:t>
      </w:r>
      <w:r w:rsidR="004F3C51">
        <w:t>,</w:t>
      </w:r>
      <w:r w:rsidR="00740883">
        <w:t>1</w:t>
      </w:r>
      <w:r w:rsidRPr="00705BE0">
        <w:t xml:space="preserve"> млн. лв. в абсолютно изражение. Разходите в група „Опазване на околната среда” са свързани с дейностите по изпълнението на приоритетните политики по управлението на водите и управлението на отпадъците. В групата се отчитат и разходите, определени по решение на общинския съвет за дейностите по поддържане на чистота, озеленяване, пречистване на отпадъчни води, управление на отпадъците и други публични услуги с обществено значение. Основната част от разходите в тази група на функцията – 99</w:t>
      </w:r>
      <w:r w:rsidR="00740883">
        <w:t>5</w:t>
      </w:r>
      <w:r w:rsidR="004F3C51">
        <w:t>,</w:t>
      </w:r>
      <w:r w:rsidR="00740883">
        <w:t>3</w:t>
      </w:r>
      <w:r w:rsidRPr="00705BE0">
        <w:t xml:space="preserve"> млн. лв. представляват средства по оперативни програми на ЕС. Със средства от оперативна програма „Околна среда 2007 – 2013 г.“ са финансирани следните по-значими проекти: „Интегриран проект за водния цикъл на град Габрово“, „Интегриран проект за воден цикъл на гр. Враца“ и „Изграждане на интегрирана система от съоръжения за третиране на битовите отпадъци на Столична община. По бюджетите на общините в тази група са отчетени капиталови разходи в размер на 70,5 млн. лева.</w:t>
      </w:r>
    </w:p>
    <w:p w:rsidR="008964B3" w:rsidRPr="00705BE0" w:rsidRDefault="008964B3" w:rsidP="008964B3">
      <w:pPr>
        <w:autoSpaceDE w:val="0"/>
        <w:autoSpaceDN w:val="0"/>
        <w:adjustRightInd w:val="0"/>
        <w:spacing w:after="120"/>
        <w:ind w:firstLine="720"/>
        <w:jc w:val="both"/>
        <w:rPr>
          <w:rFonts w:cs="Arial"/>
          <w:sz w:val="12"/>
          <w:szCs w:val="12"/>
        </w:rPr>
      </w:pPr>
      <w:r w:rsidRPr="00705BE0">
        <w:rPr>
          <w:rFonts w:cs="Arial"/>
        </w:rPr>
        <w:t xml:space="preserve">Инвестициите за функция „Отбрана, сигурност и вътрешен ред” заемат 4,7 % от общата сума на отчетените капиталови разходи и представляват главно разходи, отчетени по бюджета на Министерство на вътрешните работи (МВР), във връзка с изпълнението на програмите, финансирани със средства от EС и по бюджета на Министерство на отбраната (МО) – във връзка с изпълнението на инвестиционната програма на министерството. </w:t>
      </w:r>
    </w:p>
    <w:p w:rsidR="008964B3" w:rsidRPr="00705BE0" w:rsidRDefault="008964B3" w:rsidP="008964B3">
      <w:pPr>
        <w:autoSpaceDE w:val="0"/>
        <w:autoSpaceDN w:val="0"/>
        <w:adjustRightInd w:val="0"/>
        <w:spacing w:after="120"/>
        <w:ind w:firstLine="720"/>
        <w:jc w:val="both"/>
        <w:rPr>
          <w:rFonts w:cs="Arial"/>
        </w:rPr>
      </w:pPr>
      <w:r w:rsidRPr="00705BE0">
        <w:rPr>
          <w:rFonts w:cs="Arial"/>
        </w:rPr>
        <w:lastRenderedPageBreak/>
        <w:t>През 2015 г. за финансиране на инвестиционните дейности по функция „Почивно дело, култура, религиозни дейности” са усвоени средства на обща стойност 309,</w:t>
      </w:r>
      <w:r w:rsidR="004F3C51">
        <w:rPr>
          <w:rFonts w:cs="Arial"/>
        </w:rPr>
        <w:t>8</w:t>
      </w:r>
      <w:r w:rsidRPr="00705BE0">
        <w:rPr>
          <w:rFonts w:cs="Arial"/>
        </w:rPr>
        <w:t xml:space="preserve"> млн. лв., което представлява 4,5 % от общия размер на инвестиционните разходи. Спрямо 2014 г. се отчита нарастване на капиталовите разходи по тази функция в размер на 6</w:t>
      </w:r>
      <w:r w:rsidR="004F3C51">
        <w:rPr>
          <w:rFonts w:cs="Arial"/>
        </w:rPr>
        <w:t>5,0</w:t>
      </w:r>
      <w:r w:rsidRPr="00705BE0">
        <w:rPr>
          <w:rFonts w:cs="Arial"/>
        </w:rPr>
        <w:t xml:space="preserve"> млн. лв., което се дължи главно на</w:t>
      </w:r>
      <w:r w:rsidRPr="00705BE0">
        <w:rPr>
          <w:rFonts w:cs="Arial"/>
          <w:color w:val="0070C0"/>
        </w:rPr>
        <w:t xml:space="preserve"> </w:t>
      </w:r>
      <w:r w:rsidRPr="00705BE0">
        <w:rPr>
          <w:rFonts w:cs="Arial"/>
        </w:rPr>
        <w:t>усвояването на средства от ЕС по програма „Развитие на селските райони“ за изграждане на съоръжения и места за спорт и почивка.</w:t>
      </w:r>
    </w:p>
    <w:p w:rsidR="00EE04CA" w:rsidRPr="001F6421" w:rsidRDefault="008964B3" w:rsidP="008964B3">
      <w:pPr>
        <w:pStyle w:val="Default"/>
        <w:spacing w:after="120"/>
        <w:ind w:firstLine="720"/>
        <w:jc w:val="both"/>
        <w:rPr>
          <w:rFonts w:ascii="Times New Roman" w:hAnsi="Times New Roman"/>
          <w:color w:val="0070C0"/>
        </w:rPr>
      </w:pPr>
      <w:r w:rsidRPr="00705BE0">
        <w:rPr>
          <w:rFonts w:ascii="Times New Roman" w:hAnsi="Times New Roman" w:cs="Times New Roman"/>
          <w:color w:val="auto"/>
        </w:rPr>
        <w:t xml:space="preserve">Размерът на инвестиционните разходи по функция </w:t>
      </w:r>
      <w:r w:rsidRPr="00705BE0">
        <w:rPr>
          <w:rFonts w:ascii="Times New Roman" w:hAnsi="Times New Roman" w:cs="Times New Roman"/>
          <w:b/>
          <w:bCs/>
          <w:color w:val="auto"/>
        </w:rPr>
        <w:t>„</w:t>
      </w:r>
      <w:r w:rsidRPr="00705BE0">
        <w:rPr>
          <w:rFonts w:ascii="Times New Roman" w:hAnsi="Times New Roman" w:cs="Times New Roman"/>
          <w:bCs/>
          <w:color w:val="auto"/>
        </w:rPr>
        <w:t>Образование</w:t>
      </w:r>
      <w:r w:rsidRPr="00705BE0">
        <w:rPr>
          <w:rFonts w:ascii="Times New Roman" w:hAnsi="Times New Roman" w:cs="Times New Roman"/>
          <w:color w:val="auto"/>
        </w:rPr>
        <w:t>” за 2015 г. е 17</w:t>
      </w:r>
      <w:r w:rsidR="006C6001">
        <w:rPr>
          <w:rFonts w:ascii="Times New Roman" w:hAnsi="Times New Roman" w:cs="Times New Roman"/>
          <w:color w:val="auto"/>
        </w:rPr>
        <w:t>7</w:t>
      </w:r>
      <w:r w:rsidRPr="00705BE0">
        <w:rPr>
          <w:rFonts w:ascii="Times New Roman" w:hAnsi="Times New Roman" w:cs="Times New Roman"/>
          <w:color w:val="auto"/>
        </w:rPr>
        <w:t>,</w:t>
      </w:r>
      <w:r w:rsidR="006C6001">
        <w:rPr>
          <w:rFonts w:ascii="Times New Roman" w:hAnsi="Times New Roman" w:cs="Times New Roman"/>
          <w:color w:val="auto"/>
        </w:rPr>
        <w:t>6</w:t>
      </w:r>
      <w:r w:rsidRPr="00705BE0">
        <w:rPr>
          <w:rFonts w:ascii="Times New Roman" w:hAnsi="Times New Roman" w:cs="Times New Roman"/>
          <w:color w:val="auto"/>
        </w:rPr>
        <w:t xml:space="preserve"> млн. лв., което представлява 2,6 % от общата сума на отчетените капиталови разходи. От тях 90,3 млн. лв. са отчетени в системата на предучилищното и училищното образование и 55,6 млн. лв. в системата на висшето образование. Разходите са финансирани главно със средства по националните програми – „Оптимизация на училищната мрежа“, „С грижа за всеки ученик”, „Без свободен час”,  „Информационни и комуникационни технологии” и други</w:t>
      </w:r>
      <w:r w:rsidR="00EE04CA" w:rsidRPr="001F6421">
        <w:rPr>
          <w:rFonts w:ascii="Times New Roman" w:hAnsi="Times New Roman"/>
          <w:color w:val="0070C0"/>
        </w:rPr>
        <w:t>.</w:t>
      </w:r>
    </w:p>
    <w:p w:rsidR="00907916" w:rsidRPr="00F37063" w:rsidRDefault="00EE04CA" w:rsidP="00EE04CA">
      <w:pPr>
        <w:ind w:firstLine="720"/>
        <w:jc w:val="both"/>
        <w:rPr>
          <w:rFonts w:cs="Arial"/>
          <w:lang w:val="en-US"/>
        </w:rPr>
      </w:pPr>
      <w:r w:rsidRPr="00F37063">
        <w:rPr>
          <w:rFonts w:cs="Arial"/>
        </w:rPr>
        <w:t>Като цяло основната част от и</w:t>
      </w:r>
      <w:r w:rsidR="00F37063" w:rsidRPr="00F37063">
        <w:rPr>
          <w:rFonts w:cs="Arial"/>
        </w:rPr>
        <w:t>нвестиционните разходи през 2015</w:t>
      </w:r>
      <w:r w:rsidRPr="00F37063">
        <w:rPr>
          <w:rFonts w:cs="Arial"/>
        </w:rPr>
        <w:t xml:space="preserve"> година бяха насочени към ускорено осъществяване на мащабни инфраструктурни проекти, включително съфинансирани по Оперативна програма „Транспорт”, проекти по рехабилитацията и изграждането на пътна и железопътна инфраструктура, съобразно възможностите на държавния бюджет, развитие на ВиК сектора, системи за управление на отпадъците и др</w:t>
      </w:r>
      <w:r w:rsidR="004C5D6A" w:rsidRPr="00F37063">
        <w:rPr>
          <w:rFonts w:cs="Arial"/>
        </w:rPr>
        <w:t>уги</w:t>
      </w:r>
      <w:r w:rsidRPr="00F37063">
        <w:rPr>
          <w:rFonts w:cs="Arial"/>
        </w:rPr>
        <w:t>.</w:t>
      </w:r>
    </w:p>
    <w:p w:rsidR="00666D9F" w:rsidRPr="007C32AE" w:rsidRDefault="000C3F4F" w:rsidP="00781B85">
      <w:pPr>
        <w:numPr>
          <w:ilvl w:val="0"/>
          <w:numId w:val="62"/>
        </w:numPr>
        <w:ind w:left="714" w:hanging="357"/>
        <w:outlineLvl w:val="0"/>
        <w:rPr>
          <w:b/>
        </w:rPr>
      </w:pPr>
      <w:r>
        <w:rPr>
          <w:b/>
        </w:rPr>
        <w:br w:type="page"/>
      </w:r>
      <w:bookmarkStart w:id="109" w:name="_Toc462146102"/>
      <w:r w:rsidR="00295445" w:rsidRPr="007C32AE">
        <w:rPr>
          <w:b/>
        </w:rPr>
        <w:lastRenderedPageBreak/>
        <w:t>Основни параметри на консолидираната фискална програма</w:t>
      </w:r>
      <w:r w:rsidR="00295445" w:rsidRPr="007C32AE">
        <w:rPr>
          <w:rStyle w:val="FootnoteReference"/>
          <w:b/>
        </w:rPr>
        <w:footnoteReference w:id="17"/>
      </w:r>
      <w:r w:rsidR="00295445" w:rsidRPr="007C32AE">
        <w:rPr>
          <w:b/>
        </w:rPr>
        <w:t xml:space="preserve"> за 201</w:t>
      </w:r>
      <w:r w:rsidR="007C32AE" w:rsidRPr="007C32AE">
        <w:rPr>
          <w:b/>
        </w:rPr>
        <w:t>5</w:t>
      </w:r>
      <w:r w:rsidR="00295445" w:rsidRPr="007C32AE">
        <w:rPr>
          <w:b/>
        </w:rPr>
        <w:t xml:space="preserve"> г</w:t>
      </w:r>
      <w:r w:rsidR="00666D9F" w:rsidRPr="007C32AE">
        <w:rPr>
          <w:b/>
        </w:rPr>
        <w:t>.</w:t>
      </w:r>
      <w:bookmarkEnd w:id="109"/>
    </w:p>
    <w:p w:rsidR="00666D9F" w:rsidRPr="001F6421" w:rsidRDefault="00666D9F" w:rsidP="00295445">
      <w:pPr>
        <w:ind w:firstLine="720"/>
        <w:jc w:val="both"/>
        <w:rPr>
          <w:rFonts w:cs="Arial"/>
          <w:color w:val="0070C0"/>
        </w:rPr>
      </w:pPr>
    </w:p>
    <w:p w:rsidR="00666D9F" w:rsidRPr="001F6421" w:rsidRDefault="00666D9F" w:rsidP="00D12312">
      <w:pPr>
        <w:pStyle w:val="BodyTextIndent"/>
        <w:spacing w:after="0"/>
        <w:ind w:left="0" w:firstLine="540"/>
        <w:jc w:val="both"/>
        <w:rPr>
          <w:color w:val="0070C0"/>
          <w:sz w:val="4"/>
          <w:szCs w:val="4"/>
          <w:lang w:val="bg-BG"/>
        </w:rPr>
      </w:pPr>
    </w:p>
    <w:p w:rsidR="005328CD" w:rsidRPr="007C32AE" w:rsidRDefault="005328CD" w:rsidP="005328CD">
      <w:pPr>
        <w:ind w:firstLine="720"/>
        <w:jc w:val="both"/>
      </w:pPr>
      <w:bookmarkStart w:id="110" w:name="_Toc167181035"/>
      <w:bookmarkStart w:id="111" w:name="_Toc261276578"/>
      <w:bookmarkStart w:id="112" w:name="_Toc324863415"/>
      <w:r w:rsidRPr="007C32AE">
        <w:t>Изпълнението на основните параметри по КФП за 201</w:t>
      </w:r>
      <w:r w:rsidR="007C32AE" w:rsidRPr="007C32AE">
        <w:t>5</w:t>
      </w:r>
      <w:r w:rsidRPr="007C32AE">
        <w:t> г., отнесено към предходната година и програмата е, както следва:</w:t>
      </w:r>
    </w:p>
    <w:p w:rsidR="005328CD" w:rsidRPr="007C32AE" w:rsidRDefault="005328CD" w:rsidP="005328CD">
      <w:pPr>
        <w:jc w:val="both"/>
        <w:rPr>
          <w:sz w:val="4"/>
          <w:szCs w:val="4"/>
        </w:rPr>
      </w:pPr>
    </w:p>
    <w:p w:rsidR="005328CD" w:rsidRPr="007C32AE" w:rsidRDefault="005328CD" w:rsidP="005328CD">
      <w:pPr>
        <w:ind w:firstLine="7740"/>
        <w:jc w:val="both"/>
        <w:rPr>
          <w:b/>
          <w:sz w:val="18"/>
          <w:szCs w:val="18"/>
        </w:rPr>
      </w:pPr>
      <w:r w:rsidRPr="007C32AE">
        <w:rPr>
          <w:b/>
          <w:sz w:val="18"/>
          <w:szCs w:val="18"/>
        </w:rPr>
        <w:t>(в млн. лв.)</w:t>
      </w:r>
    </w:p>
    <w:tbl>
      <w:tblPr>
        <w:tblW w:w="9214" w:type="dxa"/>
        <w:tblInd w:w="70" w:type="dxa"/>
        <w:tblCellMar>
          <w:left w:w="70" w:type="dxa"/>
          <w:right w:w="70" w:type="dxa"/>
        </w:tblCellMar>
        <w:tblLook w:val="0000" w:firstRow="0" w:lastRow="0" w:firstColumn="0" w:lastColumn="0" w:noHBand="0" w:noVBand="0"/>
      </w:tblPr>
      <w:tblGrid>
        <w:gridCol w:w="3420"/>
        <w:gridCol w:w="840"/>
        <w:gridCol w:w="1206"/>
        <w:gridCol w:w="1260"/>
        <w:gridCol w:w="1244"/>
        <w:gridCol w:w="1244"/>
      </w:tblGrid>
      <w:tr w:rsidR="007C32AE" w:rsidRPr="007C32AE" w:rsidTr="00EC7A58">
        <w:trPr>
          <w:trHeight w:val="300"/>
        </w:trPr>
        <w:tc>
          <w:tcPr>
            <w:tcW w:w="3420" w:type="dxa"/>
            <w:vMerge w:val="restart"/>
            <w:tcBorders>
              <w:top w:val="double" w:sz="6" w:space="0" w:color="800000"/>
              <w:left w:val="double" w:sz="6" w:space="0" w:color="800000"/>
              <w:bottom w:val="single" w:sz="8" w:space="0" w:color="800000"/>
              <w:right w:val="single" w:sz="12" w:space="0" w:color="FFFFFF"/>
            </w:tcBorders>
            <w:shd w:val="clear" w:color="auto" w:fill="800000"/>
            <w:noWrap/>
            <w:vAlign w:val="bottom"/>
          </w:tcPr>
          <w:p w:rsidR="005328CD" w:rsidRPr="007C32AE" w:rsidRDefault="005328CD" w:rsidP="00EC7A58">
            <w:pPr>
              <w:jc w:val="center"/>
              <w:rPr>
                <w:b/>
                <w:bCs/>
                <w:sz w:val="20"/>
                <w:szCs w:val="20"/>
              </w:rPr>
            </w:pPr>
            <w:r w:rsidRPr="007C32AE">
              <w:rPr>
                <w:b/>
                <w:bCs/>
                <w:sz w:val="20"/>
                <w:szCs w:val="20"/>
              </w:rPr>
              <w:t>ПОКАЗАТЕЛИ</w:t>
            </w:r>
            <w:r w:rsidRPr="007C32AE">
              <w:rPr>
                <w:rStyle w:val="FootnoteReference"/>
                <w:b/>
                <w:bCs/>
              </w:rPr>
              <w:footnoteReference w:id="18"/>
            </w:r>
          </w:p>
        </w:tc>
        <w:tc>
          <w:tcPr>
            <w:tcW w:w="840" w:type="dxa"/>
            <w:vMerge w:val="restart"/>
            <w:tcBorders>
              <w:top w:val="double" w:sz="6" w:space="0" w:color="800000"/>
              <w:left w:val="single" w:sz="12" w:space="0" w:color="FFFFFF"/>
              <w:bottom w:val="single" w:sz="8" w:space="0" w:color="800000"/>
              <w:right w:val="single" w:sz="12" w:space="0" w:color="FFFFFF"/>
            </w:tcBorders>
            <w:shd w:val="clear" w:color="auto" w:fill="800000"/>
            <w:noWrap/>
            <w:vAlign w:val="center"/>
          </w:tcPr>
          <w:p w:rsidR="005328CD" w:rsidRPr="007C32AE" w:rsidRDefault="005328CD" w:rsidP="00EC7A58">
            <w:pPr>
              <w:jc w:val="center"/>
              <w:rPr>
                <w:b/>
                <w:bCs/>
                <w:sz w:val="20"/>
                <w:szCs w:val="20"/>
              </w:rPr>
            </w:pPr>
            <w:r w:rsidRPr="007C32AE">
              <w:rPr>
                <w:b/>
                <w:bCs/>
                <w:sz w:val="20"/>
                <w:szCs w:val="20"/>
              </w:rPr>
              <w:t>Отчет</w:t>
            </w:r>
          </w:p>
        </w:tc>
        <w:tc>
          <w:tcPr>
            <w:tcW w:w="1206" w:type="dxa"/>
            <w:vMerge w:val="restart"/>
            <w:tcBorders>
              <w:top w:val="double" w:sz="6" w:space="0" w:color="800000"/>
              <w:left w:val="single" w:sz="12" w:space="0" w:color="FFFFFF"/>
              <w:bottom w:val="single" w:sz="8" w:space="0" w:color="800000"/>
              <w:right w:val="single" w:sz="12" w:space="0" w:color="FFFFFF"/>
            </w:tcBorders>
            <w:shd w:val="clear" w:color="auto" w:fill="800000"/>
            <w:noWrap/>
            <w:vAlign w:val="center"/>
          </w:tcPr>
          <w:p w:rsidR="005328CD" w:rsidRPr="007C32AE" w:rsidRDefault="005328CD" w:rsidP="00EC7A58">
            <w:pPr>
              <w:jc w:val="center"/>
              <w:rPr>
                <w:b/>
                <w:bCs/>
                <w:sz w:val="20"/>
                <w:szCs w:val="20"/>
              </w:rPr>
            </w:pPr>
            <w:r w:rsidRPr="007C32AE">
              <w:rPr>
                <w:b/>
                <w:bCs/>
                <w:sz w:val="20"/>
                <w:szCs w:val="20"/>
              </w:rPr>
              <w:t>Програма</w:t>
            </w:r>
            <w:r w:rsidRPr="007C32AE">
              <w:rPr>
                <w:rStyle w:val="FootnoteReference"/>
                <w:b/>
                <w:bCs/>
              </w:rPr>
              <w:footnoteReference w:id="19"/>
            </w:r>
          </w:p>
        </w:tc>
        <w:tc>
          <w:tcPr>
            <w:tcW w:w="1260" w:type="dxa"/>
            <w:vMerge w:val="restart"/>
            <w:tcBorders>
              <w:top w:val="double" w:sz="6" w:space="0" w:color="800000"/>
              <w:left w:val="single" w:sz="12" w:space="0" w:color="FFFFFF"/>
              <w:bottom w:val="single" w:sz="8" w:space="0" w:color="800000"/>
              <w:right w:val="single" w:sz="12" w:space="0" w:color="FFFFFF"/>
            </w:tcBorders>
            <w:shd w:val="clear" w:color="auto" w:fill="800000"/>
            <w:noWrap/>
            <w:vAlign w:val="center"/>
          </w:tcPr>
          <w:p w:rsidR="005328CD" w:rsidRPr="007C32AE" w:rsidRDefault="005328CD" w:rsidP="00EC7A58">
            <w:pPr>
              <w:jc w:val="center"/>
              <w:rPr>
                <w:b/>
                <w:bCs/>
                <w:sz w:val="20"/>
                <w:szCs w:val="20"/>
              </w:rPr>
            </w:pPr>
            <w:r w:rsidRPr="007C32AE">
              <w:rPr>
                <w:b/>
                <w:bCs/>
                <w:sz w:val="20"/>
                <w:szCs w:val="20"/>
              </w:rPr>
              <w:t>Отчет</w:t>
            </w:r>
          </w:p>
        </w:tc>
        <w:tc>
          <w:tcPr>
            <w:tcW w:w="1244" w:type="dxa"/>
            <w:tcBorders>
              <w:top w:val="double" w:sz="6" w:space="0" w:color="800000"/>
              <w:left w:val="single" w:sz="12" w:space="0" w:color="FFFFFF"/>
              <w:bottom w:val="single" w:sz="8" w:space="0" w:color="800000"/>
              <w:right w:val="single" w:sz="12" w:space="0" w:color="FFFFFF"/>
            </w:tcBorders>
            <w:shd w:val="clear" w:color="auto" w:fill="800000"/>
            <w:vAlign w:val="bottom"/>
          </w:tcPr>
          <w:p w:rsidR="005328CD" w:rsidRPr="007C32AE" w:rsidRDefault="005328CD" w:rsidP="00EC7A58">
            <w:pPr>
              <w:jc w:val="center"/>
              <w:rPr>
                <w:b/>
                <w:bCs/>
                <w:sz w:val="20"/>
                <w:szCs w:val="20"/>
              </w:rPr>
            </w:pPr>
            <w:r w:rsidRPr="007C32AE">
              <w:rPr>
                <w:b/>
                <w:bCs/>
                <w:sz w:val="20"/>
                <w:szCs w:val="20"/>
              </w:rPr>
              <w:t>Изпълнение</w:t>
            </w:r>
          </w:p>
        </w:tc>
        <w:tc>
          <w:tcPr>
            <w:tcW w:w="1244" w:type="dxa"/>
            <w:tcBorders>
              <w:top w:val="double" w:sz="6" w:space="0" w:color="800000"/>
              <w:left w:val="single" w:sz="12" w:space="0" w:color="FFFFFF"/>
              <w:bottom w:val="single" w:sz="8" w:space="0" w:color="800000"/>
              <w:right w:val="double" w:sz="6" w:space="0" w:color="800000"/>
            </w:tcBorders>
            <w:shd w:val="clear" w:color="auto" w:fill="800000"/>
            <w:vAlign w:val="bottom"/>
          </w:tcPr>
          <w:p w:rsidR="005328CD" w:rsidRPr="007C32AE" w:rsidRDefault="005328CD" w:rsidP="00EC7A58">
            <w:pPr>
              <w:jc w:val="center"/>
              <w:rPr>
                <w:b/>
                <w:bCs/>
                <w:sz w:val="20"/>
                <w:szCs w:val="20"/>
              </w:rPr>
            </w:pPr>
            <w:r w:rsidRPr="007C32AE">
              <w:rPr>
                <w:b/>
                <w:bCs/>
                <w:sz w:val="20"/>
                <w:szCs w:val="20"/>
              </w:rPr>
              <w:t>Изпълнение</w:t>
            </w:r>
          </w:p>
        </w:tc>
      </w:tr>
      <w:tr w:rsidR="007C32AE" w:rsidRPr="007C32AE" w:rsidTr="00EC7A58">
        <w:trPr>
          <w:trHeight w:val="52"/>
        </w:trPr>
        <w:tc>
          <w:tcPr>
            <w:tcW w:w="3420" w:type="dxa"/>
            <w:vMerge/>
            <w:tcBorders>
              <w:top w:val="single" w:sz="8" w:space="0" w:color="800000"/>
              <w:left w:val="double" w:sz="6" w:space="0" w:color="800000"/>
              <w:bottom w:val="single" w:sz="8" w:space="0" w:color="800000"/>
              <w:right w:val="single" w:sz="12" w:space="0" w:color="FFFFFF"/>
            </w:tcBorders>
            <w:vAlign w:val="center"/>
          </w:tcPr>
          <w:p w:rsidR="005328CD" w:rsidRPr="007C32AE" w:rsidRDefault="005328CD" w:rsidP="00EC7A58">
            <w:pPr>
              <w:rPr>
                <w:b/>
                <w:bCs/>
                <w:sz w:val="20"/>
                <w:szCs w:val="20"/>
              </w:rPr>
            </w:pPr>
          </w:p>
        </w:tc>
        <w:tc>
          <w:tcPr>
            <w:tcW w:w="840" w:type="dxa"/>
            <w:vMerge/>
            <w:tcBorders>
              <w:top w:val="double" w:sz="6" w:space="0" w:color="800000"/>
              <w:left w:val="single" w:sz="12" w:space="0" w:color="FFFFFF"/>
              <w:bottom w:val="single" w:sz="8" w:space="0" w:color="800000"/>
              <w:right w:val="single" w:sz="12" w:space="0" w:color="FFFFFF"/>
            </w:tcBorders>
            <w:vAlign w:val="center"/>
          </w:tcPr>
          <w:p w:rsidR="005328CD" w:rsidRPr="007C32AE" w:rsidRDefault="005328CD" w:rsidP="00EC7A58">
            <w:pPr>
              <w:jc w:val="center"/>
              <w:rPr>
                <w:b/>
                <w:bCs/>
                <w:sz w:val="20"/>
                <w:szCs w:val="20"/>
              </w:rPr>
            </w:pPr>
          </w:p>
        </w:tc>
        <w:tc>
          <w:tcPr>
            <w:tcW w:w="1206" w:type="dxa"/>
            <w:vMerge/>
            <w:tcBorders>
              <w:top w:val="single" w:sz="8" w:space="0" w:color="800000"/>
              <w:left w:val="single" w:sz="12" w:space="0" w:color="FFFFFF"/>
              <w:bottom w:val="single" w:sz="8" w:space="0" w:color="800000"/>
              <w:right w:val="single" w:sz="12" w:space="0" w:color="FFFFFF"/>
            </w:tcBorders>
            <w:vAlign w:val="center"/>
          </w:tcPr>
          <w:p w:rsidR="005328CD" w:rsidRPr="007C32AE" w:rsidRDefault="005328CD" w:rsidP="00EC7A58">
            <w:pPr>
              <w:jc w:val="center"/>
              <w:rPr>
                <w:b/>
                <w:bCs/>
                <w:sz w:val="20"/>
                <w:szCs w:val="20"/>
              </w:rPr>
            </w:pPr>
          </w:p>
        </w:tc>
        <w:tc>
          <w:tcPr>
            <w:tcW w:w="1260" w:type="dxa"/>
            <w:vMerge/>
            <w:tcBorders>
              <w:top w:val="double" w:sz="6" w:space="0" w:color="800000"/>
              <w:left w:val="single" w:sz="12" w:space="0" w:color="FFFFFF"/>
              <w:bottom w:val="single" w:sz="8" w:space="0" w:color="800000"/>
              <w:right w:val="single" w:sz="12" w:space="0" w:color="FFFFFF"/>
            </w:tcBorders>
            <w:vAlign w:val="center"/>
          </w:tcPr>
          <w:p w:rsidR="005328CD" w:rsidRPr="007C32AE" w:rsidRDefault="005328CD" w:rsidP="00EC7A58">
            <w:pPr>
              <w:jc w:val="center"/>
              <w:rPr>
                <w:b/>
                <w:bCs/>
                <w:sz w:val="20"/>
                <w:szCs w:val="20"/>
              </w:rPr>
            </w:pPr>
          </w:p>
        </w:tc>
        <w:tc>
          <w:tcPr>
            <w:tcW w:w="1244" w:type="dxa"/>
            <w:tcBorders>
              <w:top w:val="single" w:sz="8" w:space="0" w:color="800000"/>
              <w:left w:val="single" w:sz="12" w:space="0" w:color="FFFFFF"/>
              <w:bottom w:val="single" w:sz="8" w:space="0" w:color="800000"/>
              <w:right w:val="single" w:sz="12" w:space="0" w:color="FFFFFF"/>
            </w:tcBorders>
            <w:shd w:val="clear" w:color="auto" w:fill="800000"/>
            <w:vAlign w:val="bottom"/>
          </w:tcPr>
          <w:p w:rsidR="005328CD" w:rsidRPr="007C32AE" w:rsidRDefault="005328CD" w:rsidP="00EC7A58">
            <w:pPr>
              <w:jc w:val="center"/>
              <w:rPr>
                <w:b/>
                <w:bCs/>
                <w:sz w:val="20"/>
                <w:szCs w:val="20"/>
              </w:rPr>
            </w:pPr>
            <w:r w:rsidRPr="007C32AE">
              <w:rPr>
                <w:b/>
                <w:bCs/>
                <w:sz w:val="20"/>
                <w:szCs w:val="20"/>
              </w:rPr>
              <w:t>спрямо</w:t>
            </w:r>
          </w:p>
        </w:tc>
        <w:tc>
          <w:tcPr>
            <w:tcW w:w="1244" w:type="dxa"/>
            <w:tcBorders>
              <w:top w:val="single" w:sz="8" w:space="0" w:color="800000"/>
              <w:left w:val="single" w:sz="12" w:space="0" w:color="FFFFFF"/>
              <w:bottom w:val="single" w:sz="8" w:space="0" w:color="800000"/>
              <w:right w:val="double" w:sz="6" w:space="0" w:color="800000"/>
            </w:tcBorders>
            <w:shd w:val="clear" w:color="auto" w:fill="800000"/>
            <w:vAlign w:val="bottom"/>
          </w:tcPr>
          <w:p w:rsidR="005328CD" w:rsidRPr="007C32AE" w:rsidRDefault="005328CD" w:rsidP="00EC7A58">
            <w:pPr>
              <w:jc w:val="center"/>
              <w:rPr>
                <w:b/>
                <w:bCs/>
                <w:sz w:val="20"/>
                <w:szCs w:val="20"/>
              </w:rPr>
            </w:pPr>
            <w:r w:rsidRPr="007C32AE">
              <w:rPr>
                <w:b/>
                <w:bCs/>
                <w:sz w:val="20"/>
                <w:szCs w:val="20"/>
              </w:rPr>
              <w:t>спрямо</w:t>
            </w:r>
          </w:p>
        </w:tc>
      </w:tr>
      <w:tr w:rsidR="007C32AE" w:rsidRPr="007C32AE" w:rsidTr="00EC7A58">
        <w:trPr>
          <w:trHeight w:val="270"/>
        </w:trPr>
        <w:tc>
          <w:tcPr>
            <w:tcW w:w="3420" w:type="dxa"/>
            <w:tcBorders>
              <w:top w:val="single" w:sz="8" w:space="0" w:color="800000"/>
              <w:left w:val="double" w:sz="6" w:space="0" w:color="800000"/>
              <w:bottom w:val="double" w:sz="6" w:space="0" w:color="800000"/>
              <w:right w:val="single" w:sz="12" w:space="0" w:color="FFFFFF"/>
            </w:tcBorders>
            <w:shd w:val="clear" w:color="auto" w:fill="800000"/>
            <w:noWrap/>
            <w:vAlign w:val="bottom"/>
          </w:tcPr>
          <w:p w:rsidR="005328CD" w:rsidRPr="007C32AE" w:rsidRDefault="005328CD" w:rsidP="00EC7A58">
            <w:pPr>
              <w:jc w:val="center"/>
              <w:rPr>
                <w:b/>
                <w:bCs/>
                <w:sz w:val="20"/>
                <w:szCs w:val="20"/>
              </w:rPr>
            </w:pPr>
            <w:r w:rsidRPr="007C32AE">
              <w:rPr>
                <w:b/>
                <w:bCs/>
                <w:sz w:val="20"/>
                <w:szCs w:val="20"/>
              </w:rPr>
              <w:t> </w:t>
            </w:r>
          </w:p>
        </w:tc>
        <w:tc>
          <w:tcPr>
            <w:tcW w:w="840" w:type="dxa"/>
            <w:tcBorders>
              <w:top w:val="nil"/>
              <w:left w:val="single" w:sz="12" w:space="0" w:color="FFFFFF"/>
              <w:bottom w:val="double" w:sz="6" w:space="0" w:color="800000"/>
              <w:right w:val="single" w:sz="12" w:space="0" w:color="FFFFFF"/>
            </w:tcBorders>
            <w:shd w:val="clear" w:color="auto" w:fill="800000"/>
            <w:noWrap/>
            <w:vAlign w:val="center"/>
          </w:tcPr>
          <w:p w:rsidR="005328CD" w:rsidRPr="007C32AE" w:rsidRDefault="005328CD" w:rsidP="007C32AE">
            <w:pPr>
              <w:jc w:val="center"/>
              <w:rPr>
                <w:b/>
                <w:bCs/>
                <w:sz w:val="20"/>
                <w:szCs w:val="20"/>
              </w:rPr>
            </w:pPr>
            <w:r w:rsidRPr="007C32AE">
              <w:rPr>
                <w:b/>
                <w:bCs/>
                <w:sz w:val="20"/>
                <w:szCs w:val="20"/>
              </w:rPr>
              <w:t>201</w:t>
            </w:r>
            <w:r w:rsidR="007C32AE">
              <w:rPr>
                <w:b/>
                <w:bCs/>
                <w:sz w:val="20"/>
                <w:szCs w:val="20"/>
              </w:rPr>
              <w:t>4</w:t>
            </w:r>
            <w:r w:rsidRPr="007C32AE">
              <w:rPr>
                <w:b/>
                <w:bCs/>
                <w:sz w:val="20"/>
                <w:szCs w:val="20"/>
              </w:rPr>
              <w:t xml:space="preserve"> г.</w:t>
            </w:r>
          </w:p>
        </w:tc>
        <w:tc>
          <w:tcPr>
            <w:tcW w:w="1206" w:type="dxa"/>
            <w:tcBorders>
              <w:top w:val="single" w:sz="8" w:space="0" w:color="800000"/>
              <w:left w:val="single" w:sz="12" w:space="0" w:color="FFFFFF"/>
              <w:bottom w:val="double" w:sz="6" w:space="0" w:color="800000"/>
              <w:right w:val="single" w:sz="12" w:space="0" w:color="FFFFFF"/>
            </w:tcBorders>
            <w:shd w:val="clear" w:color="auto" w:fill="800000"/>
            <w:noWrap/>
            <w:vAlign w:val="center"/>
          </w:tcPr>
          <w:p w:rsidR="005328CD" w:rsidRPr="007C32AE" w:rsidRDefault="005328CD" w:rsidP="007C32AE">
            <w:pPr>
              <w:jc w:val="center"/>
              <w:rPr>
                <w:b/>
                <w:bCs/>
                <w:sz w:val="20"/>
                <w:szCs w:val="20"/>
              </w:rPr>
            </w:pPr>
            <w:r w:rsidRPr="007C32AE">
              <w:rPr>
                <w:b/>
                <w:bCs/>
                <w:sz w:val="20"/>
                <w:szCs w:val="20"/>
              </w:rPr>
              <w:t>201</w:t>
            </w:r>
            <w:r w:rsidR="007C32AE">
              <w:rPr>
                <w:b/>
                <w:bCs/>
                <w:sz w:val="20"/>
                <w:szCs w:val="20"/>
              </w:rPr>
              <w:t>5</w:t>
            </w:r>
            <w:r w:rsidRPr="007C32AE">
              <w:rPr>
                <w:b/>
                <w:bCs/>
                <w:sz w:val="20"/>
                <w:szCs w:val="20"/>
              </w:rPr>
              <w:t xml:space="preserve"> г.</w:t>
            </w:r>
          </w:p>
        </w:tc>
        <w:tc>
          <w:tcPr>
            <w:tcW w:w="1260" w:type="dxa"/>
            <w:tcBorders>
              <w:top w:val="nil"/>
              <w:left w:val="single" w:sz="12" w:space="0" w:color="FFFFFF"/>
              <w:bottom w:val="double" w:sz="6" w:space="0" w:color="800000"/>
              <w:right w:val="single" w:sz="12" w:space="0" w:color="FFFFFF"/>
            </w:tcBorders>
            <w:shd w:val="clear" w:color="auto" w:fill="800000"/>
            <w:noWrap/>
            <w:vAlign w:val="center"/>
          </w:tcPr>
          <w:p w:rsidR="005328CD" w:rsidRPr="007C32AE" w:rsidRDefault="005328CD" w:rsidP="007C32AE">
            <w:pPr>
              <w:jc w:val="center"/>
              <w:rPr>
                <w:b/>
                <w:bCs/>
                <w:sz w:val="20"/>
                <w:szCs w:val="20"/>
              </w:rPr>
            </w:pPr>
            <w:r w:rsidRPr="007C32AE">
              <w:rPr>
                <w:b/>
                <w:bCs/>
                <w:sz w:val="20"/>
                <w:szCs w:val="20"/>
              </w:rPr>
              <w:t>201</w:t>
            </w:r>
            <w:r w:rsidR="007C32AE">
              <w:rPr>
                <w:b/>
                <w:bCs/>
                <w:sz w:val="20"/>
                <w:szCs w:val="20"/>
              </w:rPr>
              <w:t>5</w:t>
            </w:r>
            <w:r w:rsidRPr="007C32AE">
              <w:rPr>
                <w:b/>
                <w:bCs/>
                <w:sz w:val="20"/>
                <w:szCs w:val="20"/>
              </w:rPr>
              <w:t xml:space="preserve"> г.</w:t>
            </w:r>
          </w:p>
        </w:tc>
        <w:tc>
          <w:tcPr>
            <w:tcW w:w="1244" w:type="dxa"/>
            <w:tcBorders>
              <w:top w:val="nil"/>
              <w:left w:val="single" w:sz="12" w:space="0" w:color="FFFFFF"/>
              <w:bottom w:val="double" w:sz="6" w:space="0" w:color="800000"/>
              <w:right w:val="single" w:sz="12" w:space="0" w:color="FFFFFF"/>
            </w:tcBorders>
            <w:shd w:val="clear" w:color="auto" w:fill="800000"/>
            <w:noWrap/>
            <w:vAlign w:val="bottom"/>
          </w:tcPr>
          <w:p w:rsidR="005328CD" w:rsidRPr="007C32AE" w:rsidRDefault="005328CD" w:rsidP="007C32AE">
            <w:pPr>
              <w:jc w:val="center"/>
              <w:rPr>
                <w:b/>
                <w:bCs/>
                <w:sz w:val="20"/>
                <w:szCs w:val="20"/>
              </w:rPr>
            </w:pPr>
            <w:r w:rsidRPr="007C32AE">
              <w:rPr>
                <w:b/>
                <w:bCs/>
                <w:sz w:val="20"/>
                <w:szCs w:val="20"/>
              </w:rPr>
              <w:t>201</w:t>
            </w:r>
            <w:r w:rsidR="007C32AE">
              <w:rPr>
                <w:b/>
                <w:bCs/>
                <w:sz w:val="20"/>
                <w:szCs w:val="20"/>
              </w:rPr>
              <w:t>4</w:t>
            </w:r>
            <w:r w:rsidRPr="007C32AE">
              <w:rPr>
                <w:b/>
                <w:bCs/>
                <w:sz w:val="20"/>
                <w:szCs w:val="20"/>
              </w:rPr>
              <w:t xml:space="preserve"> г.</w:t>
            </w:r>
          </w:p>
        </w:tc>
        <w:tc>
          <w:tcPr>
            <w:tcW w:w="1244" w:type="dxa"/>
            <w:tcBorders>
              <w:top w:val="single" w:sz="8" w:space="0" w:color="800000"/>
              <w:left w:val="single" w:sz="12" w:space="0" w:color="FFFFFF"/>
              <w:bottom w:val="double" w:sz="6" w:space="0" w:color="800000"/>
              <w:right w:val="double" w:sz="6" w:space="0" w:color="800000"/>
            </w:tcBorders>
            <w:shd w:val="clear" w:color="auto" w:fill="800000"/>
            <w:noWrap/>
            <w:vAlign w:val="bottom"/>
          </w:tcPr>
          <w:p w:rsidR="005328CD" w:rsidRPr="007C32AE" w:rsidRDefault="005328CD" w:rsidP="00EC7A58">
            <w:pPr>
              <w:jc w:val="center"/>
              <w:rPr>
                <w:b/>
                <w:bCs/>
                <w:sz w:val="20"/>
                <w:szCs w:val="20"/>
              </w:rPr>
            </w:pPr>
            <w:r w:rsidRPr="007C32AE">
              <w:rPr>
                <w:b/>
                <w:bCs/>
                <w:sz w:val="20"/>
                <w:szCs w:val="20"/>
              </w:rPr>
              <w:t>програма</w:t>
            </w:r>
          </w:p>
        </w:tc>
      </w:tr>
      <w:tr w:rsidR="00C84A27" w:rsidRPr="001F6421" w:rsidTr="00EC7A58">
        <w:trPr>
          <w:trHeight w:val="156"/>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6D6A06">
            <w:pPr>
              <w:rPr>
                <w:b/>
                <w:bCs/>
                <w:sz w:val="20"/>
                <w:szCs w:val="20"/>
              </w:rPr>
            </w:pPr>
            <w:r w:rsidRPr="007C32AE">
              <w:rPr>
                <w:b/>
                <w:bCs/>
                <w:sz w:val="20"/>
                <w:szCs w:val="20"/>
              </w:rPr>
              <w:t>Приходи, помощи и дарения</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jc w:val="right"/>
              <w:rPr>
                <w:b/>
                <w:bCs/>
                <w:sz w:val="20"/>
                <w:szCs w:val="20"/>
              </w:rPr>
            </w:pPr>
            <w:r w:rsidRPr="00C26647">
              <w:rPr>
                <w:b/>
                <w:bCs/>
                <w:sz w:val="20"/>
                <w:szCs w:val="20"/>
              </w:rPr>
              <w:t>29 409,1</w:t>
            </w:r>
          </w:p>
        </w:tc>
        <w:tc>
          <w:tcPr>
            <w:tcW w:w="1206" w:type="dxa"/>
            <w:tcBorders>
              <w:top w:val="nil"/>
              <w:left w:val="nil"/>
              <w:bottom w:val="nil"/>
              <w:right w:val="single" w:sz="8" w:space="0" w:color="800000"/>
            </w:tcBorders>
            <w:shd w:val="clear" w:color="auto" w:fill="FFFFCC"/>
            <w:noWrap/>
            <w:vAlign w:val="bottom"/>
          </w:tcPr>
          <w:p w:rsidR="00C84A27" w:rsidRDefault="00C84A27">
            <w:pPr>
              <w:jc w:val="right"/>
              <w:rPr>
                <w:b/>
                <w:bCs/>
                <w:sz w:val="20"/>
                <w:szCs w:val="20"/>
              </w:rPr>
            </w:pPr>
            <w:r>
              <w:rPr>
                <w:b/>
                <w:bCs/>
                <w:sz w:val="20"/>
                <w:szCs w:val="20"/>
              </w:rPr>
              <w:t>31 649,5</w:t>
            </w:r>
          </w:p>
        </w:tc>
        <w:tc>
          <w:tcPr>
            <w:tcW w:w="1260" w:type="dxa"/>
            <w:tcBorders>
              <w:top w:val="nil"/>
              <w:left w:val="nil"/>
              <w:bottom w:val="nil"/>
              <w:right w:val="single" w:sz="8" w:space="0" w:color="800000"/>
            </w:tcBorders>
            <w:shd w:val="clear" w:color="auto" w:fill="FFFFCC"/>
            <w:noWrap/>
            <w:vAlign w:val="bottom"/>
          </w:tcPr>
          <w:p w:rsidR="00C84A27" w:rsidRDefault="00C84A27" w:rsidP="0035799E">
            <w:pPr>
              <w:jc w:val="right"/>
              <w:rPr>
                <w:b/>
                <w:bCs/>
                <w:sz w:val="20"/>
                <w:szCs w:val="20"/>
              </w:rPr>
            </w:pPr>
            <w:r>
              <w:rPr>
                <w:b/>
                <w:bCs/>
                <w:sz w:val="20"/>
                <w:szCs w:val="20"/>
              </w:rPr>
              <w:t xml:space="preserve">32 </w:t>
            </w:r>
            <w:r w:rsidR="0035799E">
              <w:rPr>
                <w:b/>
                <w:bCs/>
                <w:sz w:val="20"/>
                <w:szCs w:val="20"/>
              </w:rPr>
              <w:t>199</w:t>
            </w:r>
            <w:r>
              <w:rPr>
                <w:b/>
                <w:bCs/>
                <w:sz w:val="20"/>
                <w:szCs w:val="20"/>
              </w:rPr>
              <w:t>,</w:t>
            </w:r>
            <w:r w:rsidR="0035799E">
              <w:rPr>
                <w:b/>
                <w:bCs/>
                <w:sz w:val="20"/>
                <w:szCs w:val="20"/>
              </w:rPr>
              <w:t>5</w:t>
            </w:r>
          </w:p>
        </w:tc>
        <w:tc>
          <w:tcPr>
            <w:tcW w:w="1244" w:type="dxa"/>
            <w:tcBorders>
              <w:top w:val="nil"/>
              <w:left w:val="nil"/>
              <w:bottom w:val="nil"/>
              <w:right w:val="single" w:sz="8" w:space="0" w:color="800000"/>
            </w:tcBorders>
            <w:shd w:val="clear" w:color="auto" w:fill="FFFFCC"/>
            <w:noWrap/>
            <w:vAlign w:val="bottom"/>
          </w:tcPr>
          <w:p w:rsidR="00C84A27" w:rsidRDefault="00C84A27" w:rsidP="00C26647">
            <w:pPr>
              <w:jc w:val="right"/>
              <w:rPr>
                <w:b/>
                <w:bCs/>
                <w:sz w:val="20"/>
                <w:szCs w:val="20"/>
              </w:rPr>
            </w:pPr>
            <w:r>
              <w:rPr>
                <w:b/>
                <w:bCs/>
                <w:sz w:val="20"/>
                <w:szCs w:val="20"/>
              </w:rPr>
              <w:t>109,5%</w:t>
            </w:r>
          </w:p>
        </w:tc>
        <w:tc>
          <w:tcPr>
            <w:tcW w:w="1244" w:type="dxa"/>
            <w:tcBorders>
              <w:top w:val="nil"/>
              <w:left w:val="nil"/>
              <w:bottom w:val="nil"/>
              <w:right w:val="double" w:sz="6" w:space="0" w:color="800000"/>
            </w:tcBorders>
            <w:shd w:val="clear" w:color="auto" w:fill="FFFFCC"/>
            <w:noWrap/>
            <w:vAlign w:val="bottom"/>
          </w:tcPr>
          <w:p w:rsidR="00C84A27" w:rsidRDefault="00C84A27" w:rsidP="00C26647">
            <w:pPr>
              <w:jc w:val="right"/>
              <w:rPr>
                <w:b/>
                <w:bCs/>
                <w:sz w:val="20"/>
                <w:szCs w:val="20"/>
              </w:rPr>
            </w:pPr>
            <w:r>
              <w:rPr>
                <w:b/>
                <w:bCs/>
                <w:sz w:val="20"/>
                <w:szCs w:val="20"/>
              </w:rPr>
              <w:t>101,7%</w:t>
            </w:r>
          </w:p>
        </w:tc>
      </w:tr>
      <w:tr w:rsidR="00C84A27" w:rsidRPr="001F6421" w:rsidTr="00EC7A58">
        <w:trPr>
          <w:trHeight w:val="100"/>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6D6A06">
            <w:pPr>
              <w:rPr>
                <w:sz w:val="20"/>
                <w:szCs w:val="20"/>
              </w:rPr>
            </w:pPr>
            <w:r w:rsidRPr="007C32AE">
              <w:rPr>
                <w:sz w:val="20"/>
                <w:szCs w:val="20"/>
              </w:rPr>
              <w:t xml:space="preserve">   -Данъчно-осигурителни приходи</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jc w:val="right"/>
              <w:rPr>
                <w:sz w:val="20"/>
                <w:szCs w:val="20"/>
              </w:rPr>
            </w:pPr>
            <w:r w:rsidRPr="00C26647">
              <w:rPr>
                <w:sz w:val="20"/>
                <w:szCs w:val="20"/>
              </w:rPr>
              <w:t>23 027,8</w:t>
            </w:r>
          </w:p>
        </w:tc>
        <w:tc>
          <w:tcPr>
            <w:tcW w:w="1206"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24 724,6</w:t>
            </w:r>
          </w:p>
        </w:tc>
        <w:tc>
          <w:tcPr>
            <w:tcW w:w="1260"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24 855,6</w:t>
            </w:r>
          </w:p>
        </w:tc>
        <w:tc>
          <w:tcPr>
            <w:tcW w:w="1244" w:type="dxa"/>
            <w:tcBorders>
              <w:top w:val="nil"/>
              <w:left w:val="nil"/>
              <w:bottom w:val="nil"/>
              <w:right w:val="single" w:sz="8" w:space="0" w:color="800000"/>
            </w:tcBorders>
            <w:shd w:val="clear" w:color="auto" w:fill="FFFFCC"/>
            <w:noWrap/>
            <w:vAlign w:val="bottom"/>
          </w:tcPr>
          <w:p w:rsidR="00C84A27" w:rsidRDefault="00C84A27" w:rsidP="00C26647">
            <w:pPr>
              <w:jc w:val="right"/>
              <w:rPr>
                <w:sz w:val="20"/>
                <w:szCs w:val="20"/>
              </w:rPr>
            </w:pPr>
            <w:r>
              <w:rPr>
                <w:sz w:val="20"/>
                <w:szCs w:val="20"/>
              </w:rPr>
              <w:t>107,9%</w:t>
            </w:r>
          </w:p>
        </w:tc>
        <w:tc>
          <w:tcPr>
            <w:tcW w:w="1244" w:type="dxa"/>
            <w:tcBorders>
              <w:top w:val="nil"/>
              <w:left w:val="nil"/>
              <w:bottom w:val="nil"/>
              <w:right w:val="double" w:sz="6" w:space="0" w:color="800000"/>
            </w:tcBorders>
            <w:shd w:val="clear" w:color="auto" w:fill="FFFFCC"/>
            <w:noWrap/>
            <w:vAlign w:val="bottom"/>
          </w:tcPr>
          <w:p w:rsidR="00C84A27" w:rsidRDefault="00C84A27" w:rsidP="00C26647">
            <w:pPr>
              <w:jc w:val="right"/>
              <w:rPr>
                <w:sz w:val="20"/>
                <w:szCs w:val="20"/>
              </w:rPr>
            </w:pPr>
            <w:r>
              <w:rPr>
                <w:sz w:val="20"/>
                <w:szCs w:val="20"/>
              </w:rPr>
              <w:t>100,5%</w:t>
            </w:r>
          </w:p>
        </w:tc>
      </w:tr>
      <w:tr w:rsidR="00C84A27" w:rsidRPr="001F6421"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2307A9">
            <w:pPr>
              <w:rPr>
                <w:sz w:val="20"/>
                <w:szCs w:val="20"/>
              </w:rPr>
            </w:pPr>
            <w:r w:rsidRPr="007C32AE">
              <w:rPr>
                <w:sz w:val="20"/>
                <w:szCs w:val="20"/>
              </w:rPr>
              <w:t xml:space="preserve">        Преки данъци</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jc w:val="right"/>
              <w:rPr>
                <w:sz w:val="20"/>
                <w:szCs w:val="20"/>
              </w:rPr>
            </w:pPr>
            <w:r w:rsidRPr="00C26647">
              <w:rPr>
                <w:sz w:val="20"/>
                <w:szCs w:val="20"/>
              </w:rPr>
              <w:t>4 275,9</w:t>
            </w:r>
          </w:p>
        </w:tc>
        <w:tc>
          <w:tcPr>
            <w:tcW w:w="1206"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4 454,9</w:t>
            </w:r>
          </w:p>
        </w:tc>
        <w:tc>
          <w:tcPr>
            <w:tcW w:w="1260"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4 591,6</w:t>
            </w:r>
          </w:p>
        </w:tc>
        <w:tc>
          <w:tcPr>
            <w:tcW w:w="1244" w:type="dxa"/>
            <w:tcBorders>
              <w:top w:val="nil"/>
              <w:left w:val="nil"/>
              <w:bottom w:val="nil"/>
              <w:right w:val="single" w:sz="8" w:space="0" w:color="800000"/>
            </w:tcBorders>
            <w:shd w:val="clear" w:color="auto" w:fill="FFFFCC"/>
            <w:noWrap/>
            <w:vAlign w:val="bottom"/>
          </w:tcPr>
          <w:p w:rsidR="00C84A27" w:rsidRDefault="00C84A27" w:rsidP="00C26647">
            <w:pPr>
              <w:jc w:val="right"/>
              <w:rPr>
                <w:sz w:val="20"/>
                <w:szCs w:val="20"/>
              </w:rPr>
            </w:pPr>
            <w:r>
              <w:rPr>
                <w:sz w:val="20"/>
                <w:szCs w:val="20"/>
              </w:rPr>
              <w:t>107,4%</w:t>
            </w:r>
          </w:p>
        </w:tc>
        <w:tc>
          <w:tcPr>
            <w:tcW w:w="1244" w:type="dxa"/>
            <w:tcBorders>
              <w:top w:val="nil"/>
              <w:left w:val="nil"/>
              <w:bottom w:val="nil"/>
              <w:right w:val="double" w:sz="6" w:space="0" w:color="800000"/>
            </w:tcBorders>
            <w:shd w:val="clear" w:color="auto" w:fill="FFFFCC"/>
            <w:noWrap/>
            <w:vAlign w:val="bottom"/>
          </w:tcPr>
          <w:p w:rsidR="00C84A27" w:rsidRDefault="00C84A27" w:rsidP="00C26647">
            <w:pPr>
              <w:jc w:val="right"/>
              <w:rPr>
                <w:sz w:val="20"/>
                <w:szCs w:val="20"/>
              </w:rPr>
            </w:pPr>
            <w:r>
              <w:rPr>
                <w:sz w:val="20"/>
                <w:szCs w:val="20"/>
              </w:rPr>
              <w:t>103,1%</w:t>
            </w:r>
          </w:p>
        </w:tc>
      </w:tr>
      <w:tr w:rsidR="00C84A27" w:rsidRPr="001F6421"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EC7A58">
            <w:pPr>
              <w:rPr>
                <w:sz w:val="20"/>
                <w:szCs w:val="20"/>
              </w:rPr>
            </w:pPr>
            <w:r w:rsidRPr="007C32AE">
              <w:rPr>
                <w:sz w:val="20"/>
                <w:szCs w:val="20"/>
              </w:rPr>
              <w:t xml:space="preserve">        Косвени данъци</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jc w:val="right"/>
              <w:rPr>
                <w:sz w:val="20"/>
                <w:szCs w:val="20"/>
              </w:rPr>
            </w:pPr>
            <w:r w:rsidRPr="00C26647">
              <w:rPr>
                <w:sz w:val="20"/>
                <w:szCs w:val="20"/>
              </w:rPr>
              <w:t>11 480,8</w:t>
            </w:r>
          </w:p>
        </w:tc>
        <w:tc>
          <w:tcPr>
            <w:tcW w:w="1206"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12 755,9</w:t>
            </w:r>
          </w:p>
        </w:tc>
        <w:tc>
          <w:tcPr>
            <w:tcW w:w="1260"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12 450,5</w:t>
            </w:r>
          </w:p>
        </w:tc>
        <w:tc>
          <w:tcPr>
            <w:tcW w:w="1244" w:type="dxa"/>
            <w:tcBorders>
              <w:top w:val="nil"/>
              <w:left w:val="nil"/>
              <w:bottom w:val="nil"/>
              <w:right w:val="single" w:sz="8" w:space="0" w:color="800000"/>
            </w:tcBorders>
            <w:shd w:val="clear" w:color="auto" w:fill="FFFFCC"/>
            <w:noWrap/>
            <w:vAlign w:val="bottom"/>
          </w:tcPr>
          <w:p w:rsidR="00C84A27" w:rsidRDefault="00C84A27" w:rsidP="00C26647">
            <w:pPr>
              <w:jc w:val="right"/>
              <w:rPr>
                <w:sz w:val="20"/>
                <w:szCs w:val="20"/>
              </w:rPr>
            </w:pPr>
            <w:r>
              <w:rPr>
                <w:sz w:val="20"/>
                <w:szCs w:val="20"/>
              </w:rPr>
              <w:t>108,4%</w:t>
            </w:r>
          </w:p>
        </w:tc>
        <w:tc>
          <w:tcPr>
            <w:tcW w:w="1244" w:type="dxa"/>
            <w:tcBorders>
              <w:top w:val="nil"/>
              <w:left w:val="nil"/>
              <w:bottom w:val="nil"/>
              <w:right w:val="double" w:sz="6" w:space="0" w:color="800000"/>
            </w:tcBorders>
            <w:shd w:val="clear" w:color="auto" w:fill="FFFFCC"/>
            <w:noWrap/>
            <w:vAlign w:val="bottom"/>
          </w:tcPr>
          <w:p w:rsidR="00C84A27" w:rsidRDefault="00C84A27" w:rsidP="00C26647">
            <w:pPr>
              <w:jc w:val="right"/>
              <w:rPr>
                <w:sz w:val="20"/>
                <w:szCs w:val="20"/>
              </w:rPr>
            </w:pPr>
            <w:r>
              <w:rPr>
                <w:sz w:val="20"/>
                <w:szCs w:val="20"/>
              </w:rPr>
              <w:t>97,6%</w:t>
            </w:r>
          </w:p>
        </w:tc>
      </w:tr>
      <w:tr w:rsidR="00C84A27" w:rsidRPr="001F6421" w:rsidTr="00EC7A58">
        <w:trPr>
          <w:trHeight w:val="134"/>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831080">
            <w:pPr>
              <w:ind w:left="356"/>
              <w:rPr>
                <w:sz w:val="20"/>
                <w:szCs w:val="20"/>
              </w:rPr>
            </w:pPr>
            <w:r w:rsidRPr="007C32AE">
              <w:rPr>
                <w:sz w:val="20"/>
                <w:szCs w:val="20"/>
              </w:rPr>
              <w:t xml:space="preserve"> Приходи на социалното и           здравното осигуряване </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jc w:val="right"/>
              <w:rPr>
                <w:sz w:val="20"/>
                <w:szCs w:val="20"/>
              </w:rPr>
            </w:pPr>
            <w:r w:rsidRPr="00C26647">
              <w:rPr>
                <w:sz w:val="20"/>
                <w:szCs w:val="20"/>
              </w:rPr>
              <w:t>6 448,8</w:t>
            </w:r>
          </w:p>
        </w:tc>
        <w:tc>
          <w:tcPr>
            <w:tcW w:w="1206"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6 650,0</w:t>
            </w:r>
          </w:p>
        </w:tc>
        <w:tc>
          <w:tcPr>
            <w:tcW w:w="1260"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6 947,1</w:t>
            </w:r>
          </w:p>
        </w:tc>
        <w:tc>
          <w:tcPr>
            <w:tcW w:w="1244" w:type="dxa"/>
            <w:tcBorders>
              <w:top w:val="nil"/>
              <w:left w:val="nil"/>
              <w:bottom w:val="nil"/>
              <w:right w:val="single" w:sz="8" w:space="0" w:color="800000"/>
            </w:tcBorders>
            <w:shd w:val="clear" w:color="auto" w:fill="FFFFCC"/>
            <w:noWrap/>
            <w:vAlign w:val="bottom"/>
          </w:tcPr>
          <w:p w:rsidR="00C84A27" w:rsidRDefault="00C84A27" w:rsidP="00C26647">
            <w:pPr>
              <w:jc w:val="right"/>
              <w:rPr>
                <w:sz w:val="20"/>
                <w:szCs w:val="20"/>
              </w:rPr>
            </w:pPr>
            <w:r>
              <w:rPr>
                <w:sz w:val="20"/>
                <w:szCs w:val="20"/>
              </w:rPr>
              <w:t>107,7%</w:t>
            </w:r>
          </w:p>
        </w:tc>
        <w:tc>
          <w:tcPr>
            <w:tcW w:w="1244" w:type="dxa"/>
            <w:tcBorders>
              <w:top w:val="nil"/>
              <w:left w:val="nil"/>
              <w:bottom w:val="nil"/>
              <w:right w:val="double" w:sz="6" w:space="0" w:color="800000"/>
            </w:tcBorders>
            <w:shd w:val="clear" w:color="auto" w:fill="FFFFCC"/>
            <w:noWrap/>
            <w:vAlign w:val="bottom"/>
          </w:tcPr>
          <w:p w:rsidR="00C84A27" w:rsidRDefault="00C84A27" w:rsidP="00C26647">
            <w:pPr>
              <w:jc w:val="right"/>
              <w:rPr>
                <w:sz w:val="20"/>
                <w:szCs w:val="20"/>
              </w:rPr>
            </w:pPr>
            <w:r>
              <w:rPr>
                <w:sz w:val="20"/>
                <w:szCs w:val="20"/>
              </w:rPr>
              <w:t>104,5%</w:t>
            </w:r>
          </w:p>
        </w:tc>
      </w:tr>
      <w:tr w:rsidR="00C84A27" w:rsidRPr="001F6421" w:rsidTr="00EC7A58">
        <w:trPr>
          <w:trHeight w:val="91"/>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EC7A58">
            <w:pPr>
              <w:rPr>
                <w:sz w:val="20"/>
                <w:szCs w:val="20"/>
              </w:rPr>
            </w:pPr>
            <w:r w:rsidRPr="007C32AE">
              <w:rPr>
                <w:sz w:val="20"/>
                <w:szCs w:val="20"/>
              </w:rPr>
              <w:t xml:space="preserve">        Други данъци</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jc w:val="right"/>
              <w:rPr>
                <w:sz w:val="20"/>
                <w:szCs w:val="20"/>
              </w:rPr>
            </w:pPr>
            <w:r w:rsidRPr="00C26647">
              <w:rPr>
                <w:sz w:val="20"/>
                <w:szCs w:val="20"/>
              </w:rPr>
              <w:t>822,3</w:t>
            </w:r>
          </w:p>
        </w:tc>
        <w:tc>
          <w:tcPr>
            <w:tcW w:w="1206"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863,8</w:t>
            </w:r>
          </w:p>
        </w:tc>
        <w:tc>
          <w:tcPr>
            <w:tcW w:w="1260"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866,4</w:t>
            </w:r>
          </w:p>
        </w:tc>
        <w:tc>
          <w:tcPr>
            <w:tcW w:w="1244" w:type="dxa"/>
            <w:tcBorders>
              <w:top w:val="nil"/>
              <w:left w:val="nil"/>
              <w:bottom w:val="nil"/>
              <w:right w:val="single" w:sz="8" w:space="0" w:color="800000"/>
            </w:tcBorders>
            <w:shd w:val="clear" w:color="auto" w:fill="FFFFCC"/>
            <w:noWrap/>
            <w:vAlign w:val="bottom"/>
          </w:tcPr>
          <w:p w:rsidR="00C84A27" w:rsidRDefault="00C84A27" w:rsidP="00C26647">
            <w:pPr>
              <w:jc w:val="right"/>
              <w:rPr>
                <w:sz w:val="20"/>
                <w:szCs w:val="20"/>
              </w:rPr>
            </w:pPr>
            <w:r>
              <w:rPr>
                <w:sz w:val="20"/>
                <w:szCs w:val="20"/>
              </w:rPr>
              <w:t>105,4%</w:t>
            </w:r>
          </w:p>
        </w:tc>
        <w:tc>
          <w:tcPr>
            <w:tcW w:w="1244" w:type="dxa"/>
            <w:tcBorders>
              <w:top w:val="nil"/>
              <w:left w:val="nil"/>
              <w:bottom w:val="nil"/>
              <w:right w:val="double" w:sz="6" w:space="0" w:color="800000"/>
            </w:tcBorders>
            <w:shd w:val="clear" w:color="auto" w:fill="FFFFCC"/>
            <w:noWrap/>
            <w:vAlign w:val="bottom"/>
          </w:tcPr>
          <w:p w:rsidR="00C84A27" w:rsidRDefault="00C84A27" w:rsidP="00C26647">
            <w:pPr>
              <w:jc w:val="right"/>
              <w:rPr>
                <w:sz w:val="20"/>
                <w:szCs w:val="20"/>
              </w:rPr>
            </w:pPr>
            <w:r>
              <w:rPr>
                <w:sz w:val="20"/>
                <w:szCs w:val="20"/>
              </w:rPr>
              <w:t>100,3%</w:t>
            </w:r>
          </w:p>
        </w:tc>
      </w:tr>
      <w:tr w:rsidR="00C84A27" w:rsidRPr="001F6421"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EC7A58">
            <w:pPr>
              <w:rPr>
                <w:sz w:val="20"/>
                <w:szCs w:val="20"/>
              </w:rPr>
            </w:pPr>
            <w:r w:rsidRPr="007C32AE">
              <w:rPr>
                <w:sz w:val="20"/>
                <w:szCs w:val="20"/>
              </w:rPr>
              <w:t xml:space="preserve">   -Неданъчни приходи</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jc w:val="right"/>
              <w:rPr>
                <w:sz w:val="20"/>
                <w:szCs w:val="20"/>
              </w:rPr>
            </w:pPr>
            <w:r w:rsidRPr="00C26647">
              <w:rPr>
                <w:sz w:val="20"/>
                <w:szCs w:val="20"/>
              </w:rPr>
              <w:t>3 459,9</w:t>
            </w:r>
          </w:p>
        </w:tc>
        <w:tc>
          <w:tcPr>
            <w:tcW w:w="1206"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3 619,7</w:t>
            </w:r>
          </w:p>
        </w:tc>
        <w:tc>
          <w:tcPr>
            <w:tcW w:w="1260" w:type="dxa"/>
            <w:tcBorders>
              <w:top w:val="nil"/>
              <w:left w:val="nil"/>
              <w:bottom w:val="nil"/>
              <w:right w:val="single" w:sz="8" w:space="0" w:color="800000"/>
            </w:tcBorders>
            <w:shd w:val="clear" w:color="auto" w:fill="FFFFCC"/>
            <w:noWrap/>
            <w:vAlign w:val="bottom"/>
          </w:tcPr>
          <w:p w:rsidR="00C84A27" w:rsidRDefault="00C84A27" w:rsidP="0035799E">
            <w:pPr>
              <w:jc w:val="right"/>
              <w:rPr>
                <w:sz w:val="20"/>
                <w:szCs w:val="20"/>
              </w:rPr>
            </w:pPr>
            <w:r>
              <w:rPr>
                <w:sz w:val="20"/>
                <w:szCs w:val="20"/>
              </w:rPr>
              <w:t>3 69</w:t>
            </w:r>
            <w:r w:rsidR="0035799E">
              <w:rPr>
                <w:sz w:val="20"/>
                <w:szCs w:val="20"/>
              </w:rPr>
              <w:t>6</w:t>
            </w:r>
            <w:r>
              <w:rPr>
                <w:sz w:val="20"/>
                <w:szCs w:val="20"/>
              </w:rPr>
              <w:t>,</w:t>
            </w:r>
            <w:r w:rsidR="0035799E">
              <w:rPr>
                <w:sz w:val="20"/>
                <w:szCs w:val="20"/>
              </w:rPr>
              <w:t>2</w:t>
            </w:r>
          </w:p>
        </w:tc>
        <w:tc>
          <w:tcPr>
            <w:tcW w:w="1244" w:type="dxa"/>
            <w:tcBorders>
              <w:top w:val="nil"/>
              <w:left w:val="nil"/>
              <w:bottom w:val="nil"/>
              <w:right w:val="single" w:sz="8" w:space="0" w:color="800000"/>
            </w:tcBorders>
            <w:shd w:val="clear" w:color="auto" w:fill="FFFFCC"/>
            <w:noWrap/>
            <w:vAlign w:val="bottom"/>
          </w:tcPr>
          <w:p w:rsidR="00C84A27" w:rsidRDefault="00C84A27" w:rsidP="003E7332">
            <w:pPr>
              <w:jc w:val="right"/>
              <w:rPr>
                <w:sz w:val="20"/>
                <w:szCs w:val="20"/>
              </w:rPr>
            </w:pPr>
            <w:r>
              <w:rPr>
                <w:sz w:val="20"/>
                <w:szCs w:val="20"/>
              </w:rPr>
              <w:t>106,</w:t>
            </w:r>
            <w:r w:rsidR="003E7332">
              <w:rPr>
                <w:sz w:val="20"/>
                <w:szCs w:val="20"/>
              </w:rPr>
              <w:t>8</w:t>
            </w:r>
            <w:r>
              <w:rPr>
                <w:sz w:val="20"/>
                <w:szCs w:val="20"/>
              </w:rPr>
              <w:t>%</w:t>
            </w:r>
          </w:p>
        </w:tc>
        <w:tc>
          <w:tcPr>
            <w:tcW w:w="1244" w:type="dxa"/>
            <w:tcBorders>
              <w:top w:val="nil"/>
              <w:left w:val="nil"/>
              <w:bottom w:val="nil"/>
              <w:right w:val="double" w:sz="6" w:space="0" w:color="800000"/>
            </w:tcBorders>
            <w:shd w:val="clear" w:color="auto" w:fill="FFFFCC"/>
            <w:noWrap/>
            <w:vAlign w:val="bottom"/>
          </w:tcPr>
          <w:p w:rsidR="00C84A27" w:rsidRDefault="00C84A27" w:rsidP="00C26647">
            <w:pPr>
              <w:jc w:val="right"/>
              <w:rPr>
                <w:sz w:val="20"/>
                <w:szCs w:val="20"/>
              </w:rPr>
            </w:pPr>
            <w:r>
              <w:rPr>
                <w:sz w:val="20"/>
                <w:szCs w:val="20"/>
              </w:rPr>
              <w:t>102,1%</w:t>
            </w:r>
          </w:p>
        </w:tc>
      </w:tr>
      <w:tr w:rsidR="00C84A27" w:rsidRPr="001F6421"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EC7A58">
            <w:pPr>
              <w:rPr>
                <w:sz w:val="20"/>
                <w:szCs w:val="20"/>
              </w:rPr>
            </w:pPr>
            <w:r w:rsidRPr="007C32AE">
              <w:rPr>
                <w:sz w:val="20"/>
                <w:szCs w:val="20"/>
              </w:rPr>
              <w:t xml:space="preserve">   -Помощи и дарения</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jc w:val="right"/>
              <w:rPr>
                <w:sz w:val="20"/>
                <w:szCs w:val="20"/>
              </w:rPr>
            </w:pPr>
            <w:r w:rsidRPr="00C26647">
              <w:rPr>
                <w:sz w:val="20"/>
                <w:szCs w:val="20"/>
              </w:rPr>
              <w:t>2 921,4</w:t>
            </w:r>
          </w:p>
        </w:tc>
        <w:tc>
          <w:tcPr>
            <w:tcW w:w="1206"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3 305,2</w:t>
            </w:r>
          </w:p>
        </w:tc>
        <w:tc>
          <w:tcPr>
            <w:tcW w:w="1260" w:type="dxa"/>
            <w:tcBorders>
              <w:top w:val="nil"/>
              <w:left w:val="nil"/>
              <w:bottom w:val="nil"/>
              <w:right w:val="single" w:sz="8" w:space="0" w:color="800000"/>
            </w:tcBorders>
            <w:shd w:val="clear" w:color="auto" w:fill="FFFFCC"/>
            <w:noWrap/>
            <w:vAlign w:val="bottom"/>
          </w:tcPr>
          <w:p w:rsidR="00C84A27" w:rsidRDefault="00C84A27">
            <w:pPr>
              <w:jc w:val="right"/>
              <w:rPr>
                <w:sz w:val="20"/>
                <w:szCs w:val="20"/>
              </w:rPr>
            </w:pPr>
            <w:r>
              <w:rPr>
                <w:sz w:val="20"/>
                <w:szCs w:val="20"/>
              </w:rPr>
              <w:t>3 647,7</w:t>
            </w:r>
          </w:p>
        </w:tc>
        <w:tc>
          <w:tcPr>
            <w:tcW w:w="1244" w:type="dxa"/>
            <w:tcBorders>
              <w:top w:val="nil"/>
              <w:left w:val="nil"/>
              <w:bottom w:val="nil"/>
              <w:right w:val="single" w:sz="8" w:space="0" w:color="800000"/>
            </w:tcBorders>
            <w:shd w:val="clear" w:color="auto" w:fill="FFFFCC"/>
            <w:noWrap/>
            <w:vAlign w:val="bottom"/>
          </w:tcPr>
          <w:p w:rsidR="00C84A27" w:rsidRDefault="00C84A27" w:rsidP="00C26647">
            <w:pPr>
              <w:jc w:val="right"/>
              <w:rPr>
                <w:sz w:val="20"/>
                <w:szCs w:val="20"/>
              </w:rPr>
            </w:pPr>
            <w:r>
              <w:rPr>
                <w:sz w:val="20"/>
                <w:szCs w:val="20"/>
              </w:rPr>
              <w:t>124,9%</w:t>
            </w:r>
          </w:p>
        </w:tc>
        <w:tc>
          <w:tcPr>
            <w:tcW w:w="1244" w:type="dxa"/>
            <w:tcBorders>
              <w:top w:val="nil"/>
              <w:left w:val="nil"/>
              <w:bottom w:val="nil"/>
              <w:right w:val="double" w:sz="6" w:space="0" w:color="800000"/>
            </w:tcBorders>
            <w:shd w:val="clear" w:color="auto" w:fill="FFFFCC"/>
            <w:noWrap/>
            <w:vAlign w:val="bottom"/>
          </w:tcPr>
          <w:p w:rsidR="00C84A27" w:rsidRDefault="00C84A27" w:rsidP="00C26647">
            <w:pPr>
              <w:jc w:val="right"/>
              <w:rPr>
                <w:sz w:val="20"/>
                <w:szCs w:val="20"/>
              </w:rPr>
            </w:pPr>
            <w:r>
              <w:rPr>
                <w:sz w:val="20"/>
                <w:szCs w:val="20"/>
              </w:rPr>
              <w:t>110,4%</w:t>
            </w:r>
          </w:p>
        </w:tc>
      </w:tr>
      <w:tr w:rsidR="00C84A27" w:rsidRPr="001F6421" w:rsidTr="00EC7A58">
        <w:trPr>
          <w:trHeight w:val="304"/>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EC7A58">
            <w:pPr>
              <w:rPr>
                <w:b/>
                <w:bCs/>
                <w:sz w:val="20"/>
                <w:szCs w:val="20"/>
              </w:rPr>
            </w:pPr>
            <w:r w:rsidRPr="007C32AE">
              <w:rPr>
                <w:b/>
                <w:bCs/>
                <w:sz w:val="20"/>
                <w:szCs w:val="20"/>
              </w:rPr>
              <w:t xml:space="preserve">Разходи и вноска в бюджета на ЕС                   </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jc w:val="right"/>
              <w:rPr>
                <w:b/>
                <w:bCs/>
                <w:sz w:val="20"/>
                <w:szCs w:val="20"/>
              </w:rPr>
            </w:pPr>
            <w:r w:rsidRPr="00C26647">
              <w:rPr>
                <w:b/>
                <w:bCs/>
                <w:sz w:val="20"/>
                <w:szCs w:val="20"/>
              </w:rPr>
              <w:t>32 482,0</w:t>
            </w:r>
          </w:p>
        </w:tc>
        <w:tc>
          <w:tcPr>
            <w:tcW w:w="1206" w:type="dxa"/>
            <w:tcBorders>
              <w:top w:val="nil"/>
              <w:left w:val="nil"/>
              <w:bottom w:val="nil"/>
              <w:right w:val="single" w:sz="8" w:space="0" w:color="800000"/>
            </w:tcBorders>
            <w:shd w:val="clear" w:color="auto" w:fill="FFFFCC"/>
            <w:noWrap/>
            <w:vAlign w:val="bottom"/>
          </w:tcPr>
          <w:p w:rsidR="00C84A27" w:rsidRDefault="00C84A27">
            <w:pPr>
              <w:jc w:val="right"/>
              <w:rPr>
                <w:b/>
                <w:bCs/>
                <w:sz w:val="20"/>
                <w:szCs w:val="20"/>
              </w:rPr>
            </w:pPr>
            <w:r>
              <w:rPr>
                <w:b/>
                <w:bCs/>
                <w:sz w:val="20"/>
                <w:szCs w:val="20"/>
              </w:rPr>
              <w:t>34 523,7</w:t>
            </w:r>
          </w:p>
        </w:tc>
        <w:tc>
          <w:tcPr>
            <w:tcW w:w="1260" w:type="dxa"/>
            <w:tcBorders>
              <w:top w:val="nil"/>
              <w:left w:val="nil"/>
              <w:bottom w:val="nil"/>
              <w:right w:val="single" w:sz="8" w:space="0" w:color="800000"/>
            </w:tcBorders>
            <w:shd w:val="clear" w:color="auto" w:fill="FFFFCC"/>
            <w:noWrap/>
            <w:vAlign w:val="bottom"/>
          </w:tcPr>
          <w:p w:rsidR="00C84A27" w:rsidRPr="00CC070E" w:rsidRDefault="00C84A27" w:rsidP="0035799E">
            <w:pPr>
              <w:jc w:val="right"/>
              <w:rPr>
                <w:b/>
                <w:bCs/>
                <w:sz w:val="20"/>
                <w:szCs w:val="20"/>
                <w:lang w:val="en-US"/>
              </w:rPr>
            </w:pPr>
            <w:r>
              <w:rPr>
                <w:b/>
                <w:bCs/>
                <w:sz w:val="20"/>
                <w:szCs w:val="20"/>
              </w:rPr>
              <w:t>34 684,</w:t>
            </w:r>
            <w:r w:rsidR="0035799E">
              <w:rPr>
                <w:b/>
                <w:bCs/>
                <w:sz w:val="20"/>
                <w:szCs w:val="20"/>
              </w:rPr>
              <w:t>8</w:t>
            </w:r>
          </w:p>
        </w:tc>
        <w:tc>
          <w:tcPr>
            <w:tcW w:w="1244" w:type="dxa"/>
            <w:tcBorders>
              <w:top w:val="nil"/>
              <w:left w:val="nil"/>
              <w:bottom w:val="nil"/>
              <w:right w:val="single" w:sz="8" w:space="0" w:color="800000"/>
            </w:tcBorders>
            <w:shd w:val="clear" w:color="auto" w:fill="FFFFCC"/>
            <w:noWrap/>
            <w:vAlign w:val="bottom"/>
          </w:tcPr>
          <w:p w:rsidR="00C84A27" w:rsidRDefault="00C84A27" w:rsidP="00C26647">
            <w:pPr>
              <w:jc w:val="right"/>
              <w:rPr>
                <w:b/>
                <w:bCs/>
                <w:sz w:val="20"/>
                <w:szCs w:val="20"/>
              </w:rPr>
            </w:pPr>
            <w:r>
              <w:rPr>
                <w:b/>
                <w:bCs/>
                <w:sz w:val="20"/>
                <w:szCs w:val="20"/>
              </w:rPr>
              <w:t>106,8%</w:t>
            </w:r>
          </w:p>
        </w:tc>
        <w:tc>
          <w:tcPr>
            <w:tcW w:w="1244" w:type="dxa"/>
            <w:tcBorders>
              <w:top w:val="nil"/>
              <w:left w:val="nil"/>
              <w:bottom w:val="nil"/>
              <w:right w:val="double" w:sz="6" w:space="0" w:color="800000"/>
            </w:tcBorders>
            <w:shd w:val="clear" w:color="auto" w:fill="FFFFCC"/>
            <w:noWrap/>
            <w:vAlign w:val="bottom"/>
          </w:tcPr>
          <w:p w:rsidR="00C84A27" w:rsidRDefault="00C84A27" w:rsidP="00CC070E">
            <w:pPr>
              <w:jc w:val="right"/>
              <w:rPr>
                <w:b/>
                <w:bCs/>
                <w:sz w:val="20"/>
                <w:szCs w:val="20"/>
              </w:rPr>
            </w:pPr>
            <w:r>
              <w:rPr>
                <w:b/>
                <w:bCs/>
                <w:sz w:val="20"/>
                <w:szCs w:val="20"/>
              </w:rPr>
              <w:t>10</w:t>
            </w:r>
            <w:r w:rsidR="00CC070E">
              <w:rPr>
                <w:b/>
                <w:bCs/>
                <w:sz w:val="20"/>
                <w:szCs w:val="20"/>
                <w:lang w:val="en-US"/>
              </w:rPr>
              <w:t>0</w:t>
            </w:r>
            <w:r>
              <w:rPr>
                <w:b/>
                <w:bCs/>
                <w:sz w:val="20"/>
                <w:szCs w:val="20"/>
              </w:rPr>
              <w:t>,</w:t>
            </w:r>
            <w:r w:rsidR="00CC070E">
              <w:rPr>
                <w:b/>
                <w:bCs/>
                <w:sz w:val="20"/>
                <w:szCs w:val="20"/>
                <w:lang w:val="en-US"/>
              </w:rPr>
              <w:t>5</w:t>
            </w:r>
            <w:r>
              <w:rPr>
                <w:b/>
                <w:bCs/>
                <w:sz w:val="20"/>
                <w:szCs w:val="20"/>
              </w:rPr>
              <w:t>%</w:t>
            </w:r>
          </w:p>
        </w:tc>
      </w:tr>
      <w:tr w:rsidR="00AD04C8" w:rsidRPr="001F6421" w:rsidTr="00EC7A58">
        <w:trPr>
          <w:trHeight w:val="188"/>
        </w:trPr>
        <w:tc>
          <w:tcPr>
            <w:tcW w:w="3420" w:type="dxa"/>
            <w:tcBorders>
              <w:top w:val="nil"/>
              <w:left w:val="double" w:sz="6" w:space="0" w:color="800000"/>
              <w:bottom w:val="nil"/>
              <w:right w:val="single" w:sz="8" w:space="0" w:color="800000"/>
            </w:tcBorders>
            <w:shd w:val="clear" w:color="auto" w:fill="FFFFCC"/>
            <w:noWrap/>
            <w:vAlign w:val="bottom"/>
          </w:tcPr>
          <w:p w:rsidR="00AD04C8" w:rsidRPr="007C32AE" w:rsidRDefault="00AD04C8" w:rsidP="00EC7A58">
            <w:pPr>
              <w:rPr>
                <w:sz w:val="20"/>
                <w:szCs w:val="20"/>
              </w:rPr>
            </w:pPr>
            <w:r w:rsidRPr="007C32AE">
              <w:rPr>
                <w:sz w:val="20"/>
                <w:szCs w:val="20"/>
              </w:rPr>
              <w:t xml:space="preserve">   -Нелихвени разходи</w:t>
            </w:r>
          </w:p>
        </w:tc>
        <w:tc>
          <w:tcPr>
            <w:tcW w:w="840" w:type="dxa"/>
            <w:tcBorders>
              <w:top w:val="nil"/>
              <w:left w:val="nil"/>
              <w:bottom w:val="nil"/>
              <w:right w:val="single" w:sz="8" w:space="0" w:color="800000"/>
            </w:tcBorders>
            <w:shd w:val="clear" w:color="auto" w:fill="FFFFCC"/>
            <w:noWrap/>
            <w:vAlign w:val="bottom"/>
          </w:tcPr>
          <w:p w:rsidR="00AD04C8" w:rsidRPr="00C26647" w:rsidRDefault="00AD04C8" w:rsidP="001418A3">
            <w:pPr>
              <w:jc w:val="right"/>
              <w:rPr>
                <w:sz w:val="20"/>
                <w:szCs w:val="20"/>
              </w:rPr>
            </w:pPr>
            <w:r w:rsidRPr="00C26647">
              <w:rPr>
                <w:sz w:val="20"/>
                <w:szCs w:val="20"/>
              </w:rPr>
              <w:t>30 947,3</w:t>
            </w:r>
          </w:p>
        </w:tc>
        <w:tc>
          <w:tcPr>
            <w:tcW w:w="1206"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32 672,1</w:t>
            </w:r>
          </w:p>
        </w:tc>
        <w:tc>
          <w:tcPr>
            <w:tcW w:w="1260" w:type="dxa"/>
            <w:tcBorders>
              <w:top w:val="nil"/>
              <w:left w:val="nil"/>
              <w:bottom w:val="nil"/>
              <w:right w:val="single" w:sz="8" w:space="0" w:color="800000"/>
            </w:tcBorders>
            <w:shd w:val="clear" w:color="auto" w:fill="FFFFCC"/>
            <w:noWrap/>
            <w:vAlign w:val="bottom"/>
          </w:tcPr>
          <w:p w:rsidR="00AD04C8" w:rsidRDefault="00AD04C8" w:rsidP="003E7332">
            <w:pPr>
              <w:jc w:val="right"/>
              <w:rPr>
                <w:sz w:val="20"/>
                <w:szCs w:val="20"/>
              </w:rPr>
            </w:pPr>
            <w:r>
              <w:rPr>
                <w:sz w:val="20"/>
                <w:szCs w:val="20"/>
              </w:rPr>
              <w:t>33 0</w:t>
            </w:r>
            <w:r w:rsidR="0035799E">
              <w:rPr>
                <w:sz w:val="20"/>
                <w:szCs w:val="20"/>
              </w:rPr>
              <w:t>40</w:t>
            </w:r>
            <w:r>
              <w:rPr>
                <w:sz w:val="20"/>
                <w:szCs w:val="20"/>
              </w:rPr>
              <w:t>,</w:t>
            </w:r>
            <w:r w:rsidR="003E7332">
              <w:rPr>
                <w:sz w:val="20"/>
                <w:szCs w:val="20"/>
              </w:rPr>
              <w:t>1</w:t>
            </w:r>
          </w:p>
        </w:tc>
        <w:tc>
          <w:tcPr>
            <w:tcW w:w="1244" w:type="dxa"/>
            <w:tcBorders>
              <w:top w:val="nil"/>
              <w:left w:val="nil"/>
              <w:bottom w:val="nil"/>
              <w:right w:val="single" w:sz="8" w:space="0" w:color="800000"/>
            </w:tcBorders>
            <w:shd w:val="clear" w:color="auto" w:fill="FFFFCC"/>
            <w:noWrap/>
            <w:vAlign w:val="bottom"/>
          </w:tcPr>
          <w:p w:rsidR="00AD04C8" w:rsidRDefault="00AD04C8" w:rsidP="00AD04C8">
            <w:pPr>
              <w:jc w:val="right"/>
              <w:rPr>
                <w:sz w:val="20"/>
                <w:szCs w:val="20"/>
              </w:rPr>
            </w:pPr>
            <w:r>
              <w:rPr>
                <w:sz w:val="20"/>
                <w:szCs w:val="20"/>
              </w:rPr>
              <w:t>106,8%</w:t>
            </w:r>
          </w:p>
        </w:tc>
        <w:tc>
          <w:tcPr>
            <w:tcW w:w="1244" w:type="dxa"/>
            <w:tcBorders>
              <w:top w:val="nil"/>
              <w:left w:val="nil"/>
              <w:bottom w:val="nil"/>
              <w:right w:val="double" w:sz="6" w:space="0" w:color="800000"/>
            </w:tcBorders>
            <w:shd w:val="clear" w:color="auto" w:fill="FFFFCC"/>
            <w:noWrap/>
            <w:vAlign w:val="bottom"/>
          </w:tcPr>
          <w:p w:rsidR="00AD04C8" w:rsidRDefault="00AD04C8" w:rsidP="00AD04C8">
            <w:pPr>
              <w:jc w:val="right"/>
              <w:rPr>
                <w:sz w:val="20"/>
                <w:szCs w:val="20"/>
              </w:rPr>
            </w:pPr>
            <w:r>
              <w:rPr>
                <w:sz w:val="20"/>
                <w:szCs w:val="20"/>
              </w:rPr>
              <w:t>101,1%</w:t>
            </w:r>
          </w:p>
        </w:tc>
      </w:tr>
      <w:tr w:rsidR="00AD04C8" w:rsidRPr="001F6421" w:rsidTr="00EC7A58">
        <w:trPr>
          <w:trHeight w:val="144"/>
        </w:trPr>
        <w:tc>
          <w:tcPr>
            <w:tcW w:w="3420" w:type="dxa"/>
            <w:tcBorders>
              <w:top w:val="nil"/>
              <w:left w:val="double" w:sz="6" w:space="0" w:color="800000"/>
              <w:bottom w:val="nil"/>
              <w:right w:val="single" w:sz="8" w:space="0" w:color="800000"/>
            </w:tcBorders>
            <w:shd w:val="clear" w:color="auto" w:fill="FFFFCC"/>
            <w:noWrap/>
            <w:vAlign w:val="bottom"/>
          </w:tcPr>
          <w:p w:rsidR="00AD04C8" w:rsidRPr="007C32AE" w:rsidRDefault="00AD04C8" w:rsidP="00EC7A58">
            <w:pPr>
              <w:rPr>
                <w:sz w:val="20"/>
                <w:szCs w:val="20"/>
              </w:rPr>
            </w:pPr>
            <w:r w:rsidRPr="007C32AE">
              <w:rPr>
                <w:sz w:val="20"/>
                <w:szCs w:val="20"/>
              </w:rPr>
              <w:t xml:space="preserve">       Текущи нелихвени</w:t>
            </w:r>
          </w:p>
        </w:tc>
        <w:tc>
          <w:tcPr>
            <w:tcW w:w="840" w:type="dxa"/>
            <w:tcBorders>
              <w:top w:val="nil"/>
              <w:left w:val="nil"/>
              <w:bottom w:val="nil"/>
              <w:right w:val="single" w:sz="8" w:space="0" w:color="800000"/>
            </w:tcBorders>
            <w:shd w:val="clear" w:color="auto" w:fill="FFFFCC"/>
            <w:noWrap/>
            <w:vAlign w:val="bottom"/>
          </w:tcPr>
          <w:p w:rsidR="00AD04C8" w:rsidRPr="00C26647" w:rsidRDefault="00AD04C8" w:rsidP="001418A3">
            <w:pPr>
              <w:jc w:val="right"/>
              <w:rPr>
                <w:sz w:val="20"/>
                <w:szCs w:val="20"/>
              </w:rPr>
            </w:pPr>
            <w:r w:rsidRPr="00C26647">
              <w:rPr>
                <w:sz w:val="20"/>
                <w:szCs w:val="20"/>
              </w:rPr>
              <w:t>26 005,3</w:t>
            </w:r>
          </w:p>
        </w:tc>
        <w:tc>
          <w:tcPr>
            <w:tcW w:w="1206"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26 252,3</w:t>
            </w:r>
          </w:p>
        </w:tc>
        <w:tc>
          <w:tcPr>
            <w:tcW w:w="1260" w:type="dxa"/>
            <w:tcBorders>
              <w:top w:val="nil"/>
              <w:left w:val="nil"/>
              <w:bottom w:val="nil"/>
              <w:right w:val="single" w:sz="8" w:space="0" w:color="800000"/>
            </w:tcBorders>
            <w:shd w:val="clear" w:color="auto" w:fill="FFFFCC"/>
            <w:noWrap/>
            <w:vAlign w:val="bottom"/>
          </w:tcPr>
          <w:p w:rsidR="00AD04C8" w:rsidRDefault="00AD04C8" w:rsidP="0035799E">
            <w:pPr>
              <w:jc w:val="right"/>
              <w:rPr>
                <w:sz w:val="20"/>
                <w:szCs w:val="20"/>
              </w:rPr>
            </w:pPr>
            <w:r>
              <w:rPr>
                <w:sz w:val="20"/>
                <w:szCs w:val="20"/>
              </w:rPr>
              <w:t>26 140,</w:t>
            </w:r>
            <w:r w:rsidR="0035799E">
              <w:rPr>
                <w:sz w:val="20"/>
                <w:szCs w:val="20"/>
              </w:rPr>
              <w:t>3</w:t>
            </w:r>
          </w:p>
        </w:tc>
        <w:tc>
          <w:tcPr>
            <w:tcW w:w="1244" w:type="dxa"/>
            <w:tcBorders>
              <w:top w:val="nil"/>
              <w:left w:val="nil"/>
              <w:bottom w:val="nil"/>
              <w:right w:val="single" w:sz="8" w:space="0" w:color="800000"/>
            </w:tcBorders>
            <w:shd w:val="clear" w:color="auto" w:fill="FFFFCC"/>
            <w:noWrap/>
            <w:vAlign w:val="bottom"/>
          </w:tcPr>
          <w:p w:rsidR="00AD04C8" w:rsidRDefault="00AD04C8" w:rsidP="00AD04C8">
            <w:pPr>
              <w:jc w:val="right"/>
              <w:rPr>
                <w:sz w:val="20"/>
                <w:szCs w:val="20"/>
              </w:rPr>
            </w:pPr>
            <w:r>
              <w:rPr>
                <w:sz w:val="20"/>
                <w:szCs w:val="20"/>
              </w:rPr>
              <w:t>100,5%</w:t>
            </w:r>
          </w:p>
        </w:tc>
        <w:tc>
          <w:tcPr>
            <w:tcW w:w="1244" w:type="dxa"/>
            <w:tcBorders>
              <w:top w:val="nil"/>
              <w:left w:val="nil"/>
              <w:bottom w:val="nil"/>
              <w:right w:val="double" w:sz="6" w:space="0" w:color="800000"/>
            </w:tcBorders>
            <w:shd w:val="clear" w:color="auto" w:fill="FFFFCC"/>
            <w:noWrap/>
            <w:vAlign w:val="bottom"/>
          </w:tcPr>
          <w:p w:rsidR="00AD04C8" w:rsidRDefault="00AD04C8" w:rsidP="00AD04C8">
            <w:pPr>
              <w:jc w:val="right"/>
              <w:rPr>
                <w:sz w:val="20"/>
                <w:szCs w:val="20"/>
              </w:rPr>
            </w:pPr>
            <w:r>
              <w:rPr>
                <w:sz w:val="20"/>
                <w:szCs w:val="20"/>
              </w:rPr>
              <w:t>99,6%</w:t>
            </w:r>
          </w:p>
        </w:tc>
      </w:tr>
      <w:tr w:rsidR="00AD04C8" w:rsidRPr="001F6421" w:rsidTr="00EC7A58">
        <w:trPr>
          <w:trHeight w:val="87"/>
        </w:trPr>
        <w:tc>
          <w:tcPr>
            <w:tcW w:w="3420" w:type="dxa"/>
            <w:tcBorders>
              <w:top w:val="nil"/>
              <w:left w:val="double" w:sz="6" w:space="0" w:color="800000"/>
              <w:bottom w:val="nil"/>
              <w:right w:val="single" w:sz="8" w:space="0" w:color="800000"/>
            </w:tcBorders>
            <w:shd w:val="clear" w:color="auto" w:fill="FFFFCC"/>
            <w:noWrap/>
            <w:vAlign w:val="bottom"/>
          </w:tcPr>
          <w:p w:rsidR="00AD04C8" w:rsidRPr="007C32AE" w:rsidRDefault="00AD04C8" w:rsidP="0073276C">
            <w:pPr>
              <w:ind w:left="470" w:hanging="470"/>
              <w:rPr>
                <w:sz w:val="20"/>
                <w:szCs w:val="20"/>
              </w:rPr>
            </w:pPr>
            <w:r w:rsidRPr="007C32AE">
              <w:rPr>
                <w:sz w:val="20"/>
                <w:szCs w:val="20"/>
              </w:rPr>
              <w:t xml:space="preserve">          в т.ч. социални и здравно-осигурителни плащания</w:t>
            </w:r>
          </w:p>
        </w:tc>
        <w:tc>
          <w:tcPr>
            <w:tcW w:w="840" w:type="dxa"/>
            <w:tcBorders>
              <w:top w:val="nil"/>
              <w:left w:val="nil"/>
              <w:bottom w:val="nil"/>
              <w:right w:val="single" w:sz="8" w:space="0" w:color="800000"/>
            </w:tcBorders>
            <w:shd w:val="clear" w:color="auto" w:fill="FFFFCC"/>
            <w:noWrap/>
            <w:vAlign w:val="bottom"/>
          </w:tcPr>
          <w:p w:rsidR="00AD04C8" w:rsidRPr="00C26647" w:rsidRDefault="00AD04C8" w:rsidP="001418A3">
            <w:pPr>
              <w:jc w:val="right"/>
              <w:rPr>
                <w:sz w:val="20"/>
                <w:szCs w:val="20"/>
              </w:rPr>
            </w:pPr>
            <w:r w:rsidRPr="00C26647">
              <w:rPr>
                <w:sz w:val="20"/>
                <w:szCs w:val="20"/>
              </w:rPr>
              <w:t>13 583,6</w:t>
            </w:r>
          </w:p>
        </w:tc>
        <w:tc>
          <w:tcPr>
            <w:tcW w:w="1206"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13 761,6</w:t>
            </w:r>
          </w:p>
        </w:tc>
        <w:tc>
          <w:tcPr>
            <w:tcW w:w="1260"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13 845,0</w:t>
            </w:r>
          </w:p>
        </w:tc>
        <w:tc>
          <w:tcPr>
            <w:tcW w:w="1244" w:type="dxa"/>
            <w:tcBorders>
              <w:top w:val="nil"/>
              <w:left w:val="nil"/>
              <w:bottom w:val="nil"/>
              <w:right w:val="single" w:sz="8" w:space="0" w:color="800000"/>
            </w:tcBorders>
            <w:shd w:val="clear" w:color="auto" w:fill="FFFFCC"/>
            <w:noWrap/>
            <w:vAlign w:val="bottom"/>
          </w:tcPr>
          <w:p w:rsidR="00AD04C8" w:rsidRDefault="00AD04C8" w:rsidP="00AD04C8">
            <w:pPr>
              <w:jc w:val="right"/>
              <w:rPr>
                <w:sz w:val="20"/>
                <w:szCs w:val="20"/>
              </w:rPr>
            </w:pPr>
            <w:r>
              <w:rPr>
                <w:sz w:val="20"/>
                <w:szCs w:val="20"/>
              </w:rPr>
              <w:t>101,9%</w:t>
            </w:r>
          </w:p>
        </w:tc>
        <w:tc>
          <w:tcPr>
            <w:tcW w:w="1244" w:type="dxa"/>
            <w:tcBorders>
              <w:top w:val="nil"/>
              <w:left w:val="nil"/>
              <w:bottom w:val="nil"/>
              <w:right w:val="double" w:sz="6" w:space="0" w:color="800000"/>
            </w:tcBorders>
            <w:shd w:val="clear" w:color="auto" w:fill="FFFFCC"/>
            <w:noWrap/>
            <w:vAlign w:val="bottom"/>
          </w:tcPr>
          <w:p w:rsidR="00AD04C8" w:rsidRDefault="00AD04C8" w:rsidP="00AD04C8">
            <w:pPr>
              <w:jc w:val="right"/>
              <w:rPr>
                <w:sz w:val="20"/>
                <w:szCs w:val="20"/>
              </w:rPr>
            </w:pPr>
            <w:r>
              <w:rPr>
                <w:sz w:val="20"/>
                <w:szCs w:val="20"/>
              </w:rPr>
              <w:t>100,6%</w:t>
            </w:r>
          </w:p>
        </w:tc>
      </w:tr>
      <w:tr w:rsidR="00AD04C8" w:rsidRPr="001F6421" w:rsidTr="00EC7A58">
        <w:trPr>
          <w:trHeight w:val="87"/>
        </w:trPr>
        <w:tc>
          <w:tcPr>
            <w:tcW w:w="3420" w:type="dxa"/>
            <w:tcBorders>
              <w:top w:val="nil"/>
              <w:left w:val="double" w:sz="6" w:space="0" w:color="800000"/>
              <w:bottom w:val="nil"/>
              <w:right w:val="single" w:sz="8" w:space="0" w:color="800000"/>
            </w:tcBorders>
            <w:shd w:val="clear" w:color="auto" w:fill="FFFFCC"/>
            <w:noWrap/>
            <w:vAlign w:val="bottom"/>
          </w:tcPr>
          <w:p w:rsidR="00AD04C8" w:rsidRPr="007C32AE" w:rsidRDefault="00AD04C8" w:rsidP="00EC7A58">
            <w:pPr>
              <w:rPr>
                <w:sz w:val="20"/>
                <w:szCs w:val="20"/>
              </w:rPr>
            </w:pPr>
            <w:r w:rsidRPr="007C32AE">
              <w:rPr>
                <w:sz w:val="20"/>
                <w:szCs w:val="20"/>
              </w:rPr>
              <w:t xml:space="preserve">       Капиталови разходи</w:t>
            </w:r>
          </w:p>
        </w:tc>
        <w:tc>
          <w:tcPr>
            <w:tcW w:w="840" w:type="dxa"/>
            <w:tcBorders>
              <w:top w:val="nil"/>
              <w:left w:val="nil"/>
              <w:bottom w:val="nil"/>
              <w:right w:val="single" w:sz="8" w:space="0" w:color="800000"/>
            </w:tcBorders>
            <w:shd w:val="clear" w:color="auto" w:fill="FFFFCC"/>
            <w:noWrap/>
            <w:vAlign w:val="bottom"/>
          </w:tcPr>
          <w:p w:rsidR="00AD04C8" w:rsidRPr="00C26647" w:rsidRDefault="00AD04C8" w:rsidP="001418A3">
            <w:pPr>
              <w:jc w:val="right"/>
              <w:rPr>
                <w:sz w:val="20"/>
                <w:szCs w:val="20"/>
              </w:rPr>
            </w:pPr>
            <w:r w:rsidRPr="00C26647">
              <w:rPr>
                <w:sz w:val="20"/>
                <w:szCs w:val="20"/>
              </w:rPr>
              <w:t>4 942,0</w:t>
            </w:r>
          </w:p>
        </w:tc>
        <w:tc>
          <w:tcPr>
            <w:tcW w:w="1206"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6 419,8</w:t>
            </w:r>
          </w:p>
        </w:tc>
        <w:tc>
          <w:tcPr>
            <w:tcW w:w="1260" w:type="dxa"/>
            <w:tcBorders>
              <w:top w:val="nil"/>
              <w:left w:val="nil"/>
              <w:bottom w:val="nil"/>
              <w:right w:val="single" w:sz="8" w:space="0" w:color="800000"/>
            </w:tcBorders>
            <w:shd w:val="clear" w:color="auto" w:fill="FFFFCC"/>
            <w:noWrap/>
            <w:vAlign w:val="bottom"/>
          </w:tcPr>
          <w:p w:rsidR="00AD04C8" w:rsidRDefault="00AD04C8" w:rsidP="0035799E">
            <w:pPr>
              <w:jc w:val="right"/>
              <w:rPr>
                <w:sz w:val="20"/>
                <w:szCs w:val="20"/>
              </w:rPr>
            </w:pPr>
            <w:r>
              <w:rPr>
                <w:sz w:val="20"/>
                <w:szCs w:val="20"/>
              </w:rPr>
              <w:t>6 899,</w:t>
            </w:r>
            <w:r w:rsidR="0035799E">
              <w:rPr>
                <w:sz w:val="20"/>
                <w:szCs w:val="20"/>
              </w:rPr>
              <w:t>7</w:t>
            </w:r>
          </w:p>
        </w:tc>
        <w:tc>
          <w:tcPr>
            <w:tcW w:w="1244" w:type="dxa"/>
            <w:tcBorders>
              <w:top w:val="nil"/>
              <w:left w:val="nil"/>
              <w:bottom w:val="nil"/>
              <w:right w:val="single" w:sz="8" w:space="0" w:color="800000"/>
            </w:tcBorders>
            <w:shd w:val="clear" w:color="auto" w:fill="FFFFCC"/>
            <w:noWrap/>
            <w:vAlign w:val="bottom"/>
          </w:tcPr>
          <w:p w:rsidR="00AD04C8" w:rsidRDefault="00AD04C8" w:rsidP="00AD04C8">
            <w:pPr>
              <w:jc w:val="right"/>
              <w:rPr>
                <w:sz w:val="20"/>
                <w:szCs w:val="20"/>
              </w:rPr>
            </w:pPr>
            <w:r>
              <w:rPr>
                <w:sz w:val="20"/>
                <w:szCs w:val="20"/>
              </w:rPr>
              <w:t>139,6%</w:t>
            </w:r>
          </w:p>
        </w:tc>
        <w:tc>
          <w:tcPr>
            <w:tcW w:w="1244" w:type="dxa"/>
            <w:tcBorders>
              <w:top w:val="nil"/>
              <w:left w:val="nil"/>
              <w:bottom w:val="nil"/>
              <w:right w:val="double" w:sz="6" w:space="0" w:color="800000"/>
            </w:tcBorders>
            <w:shd w:val="clear" w:color="auto" w:fill="FFFFCC"/>
            <w:noWrap/>
            <w:vAlign w:val="bottom"/>
          </w:tcPr>
          <w:p w:rsidR="00AD04C8" w:rsidRDefault="00AD04C8" w:rsidP="00AD04C8">
            <w:pPr>
              <w:jc w:val="right"/>
              <w:rPr>
                <w:sz w:val="20"/>
                <w:szCs w:val="20"/>
              </w:rPr>
            </w:pPr>
            <w:r>
              <w:rPr>
                <w:sz w:val="20"/>
                <w:szCs w:val="20"/>
              </w:rPr>
              <w:t>107,5%</w:t>
            </w:r>
          </w:p>
        </w:tc>
      </w:tr>
      <w:tr w:rsidR="00AD04C8" w:rsidRPr="001F6421"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AD04C8" w:rsidRPr="007C32AE" w:rsidRDefault="00AD04C8" w:rsidP="00EC7A58">
            <w:pPr>
              <w:rPr>
                <w:sz w:val="20"/>
                <w:szCs w:val="20"/>
              </w:rPr>
            </w:pPr>
            <w:r w:rsidRPr="007C32AE">
              <w:rPr>
                <w:sz w:val="20"/>
                <w:szCs w:val="20"/>
              </w:rPr>
              <w:t xml:space="preserve">   -Лихви</w:t>
            </w:r>
          </w:p>
        </w:tc>
        <w:tc>
          <w:tcPr>
            <w:tcW w:w="840" w:type="dxa"/>
            <w:tcBorders>
              <w:top w:val="nil"/>
              <w:left w:val="nil"/>
              <w:bottom w:val="nil"/>
              <w:right w:val="single" w:sz="8" w:space="0" w:color="800000"/>
            </w:tcBorders>
            <w:shd w:val="clear" w:color="auto" w:fill="FFFFCC"/>
            <w:noWrap/>
            <w:vAlign w:val="bottom"/>
          </w:tcPr>
          <w:p w:rsidR="00AD04C8" w:rsidRPr="00C26647" w:rsidRDefault="00AD04C8" w:rsidP="001418A3">
            <w:pPr>
              <w:jc w:val="right"/>
              <w:rPr>
                <w:sz w:val="20"/>
                <w:szCs w:val="20"/>
              </w:rPr>
            </w:pPr>
            <w:r w:rsidRPr="00C26647">
              <w:rPr>
                <w:sz w:val="20"/>
                <w:szCs w:val="20"/>
              </w:rPr>
              <w:t>579,9</w:t>
            </w:r>
          </w:p>
        </w:tc>
        <w:tc>
          <w:tcPr>
            <w:tcW w:w="1206"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871,8</w:t>
            </w:r>
          </w:p>
        </w:tc>
        <w:tc>
          <w:tcPr>
            <w:tcW w:w="1260"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698,3</w:t>
            </w:r>
          </w:p>
        </w:tc>
        <w:tc>
          <w:tcPr>
            <w:tcW w:w="1244" w:type="dxa"/>
            <w:tcBorders>
              <w:top w:val="nil"/>
              <w:left w:val="nil"/>
              <w:bottom w:val="nil"/>
              <w:right w:val="single" w:sz="8" w:space="0" w:color="800000"/>
            </w:tcBorders>
            <w:shd w:val="clear" w:color="auto" w:fill="FFFFCC"/>
            <w:noWrap/>
            <w:vAlign w:val="bottom"/>
          </w:tcPr>
          <w:p w:rsidR="00AD04C8" w:rsidRDefault="00AD04C8" w:rsidP="00AD04C8">
            <w:pPr>
              <w:jc w:val="right"/>
              <w:rPr>
                <w:sz w:val="20"/>
                <w:szCs w:val="20"/>
              </w:rPr>
            </w:pPr>
            <w:r>
              <w:rPr>
                <w:sz w:val="20"/>
                <w:szCs w:val="20"/>
              </w:rPr>
              <w:t>120,4%</w:t>
            </w:r>
          </w:p>
        </w:tc>
        <w:tc>
          <w:tcPr>
            <w:tcW w:w="1244" w:type="dxa"/>
            <w:tcBorders>
              <w:top w:val="nil"/>
              <w:left w:val="nil"/>
              <w:bottom w:val="nil"/>
              <w:right w:val="double" w:sz="6" w:space="0" w:color="800000"/>
            </w:tcBorders>
            <w:shd w:val="clear" w:color="auto" w:fill="FFFFCC"/>
            <w:noWrap/>
            <w:vAlign w:val="bottom"/>
          </w:tcPr>
          <w:p w:rsidR="00AD04C8" w:rsidRDefault="00AD04C8" w:rsidP="00AD04C8">
            <w:pPr>
              <w:jc w:val="right"/>
              <w:rPr>
                <w:sz w:val="20"/>
                <w:szCs w:val="20"/>
              </w:rPr>
            </w:pPr>
            <w:r>
              <w:rPr>
                <w:sz w:val="20"/>
                <w:szCs w:val="20"/>
              </w:rPr>
              <w:t>80,1%</w:t>
            </w:r>
          </w:p>
        </w:tc>
      </w:tr>
      <w:tr w:rsidR="00AD04C8" w:rsidRPr="001F6421" w:rsidTr="00EC7A58">
        <w:trPr>
          <w:trHeight w:val="178"/>
        </w:trPr>
        <w:tc>
          <w:tcPr>
            <w:tcW w:w="3420" w:type="dxa"/>
            <w:tcBorders>
              <w:top w:val="nil"/>
              <w:left w:val="double" w:sz="6" w:space="0" w:color="800000"/>
              <w:bottom w:val="nil"/>
              <w:right w:val="single" w:sz="8" w:space="0" w:color="800000"/>
            </w:tcBorders>
            <w:shd w:val="clear" w:color="auto" w:fill="FFFFCC"/>
            <w:noWrap/>
            <w:vAlign w:val="bottom"/>
          </w:tcPr>
          <w:p w:rsidR="00AD04C8" w:rsidRPr="007C32AE" w:rsidRDefault="00AD04C8" w:rsidP="00EC7A58">
            <w:pPr>
              <w:rPr>
                <w:sz w:val="20"/>
                <w:szCs w:val="20"/>
              </w:rPr>
            </w:pPr>
            <w:r w:rsidRPr="007C32AE">
              <w:rPr>
                <w:sz w:val="20"/>
                <w:szCs w:val="20"/>
              </w:rPr>
              <w:t xml:space="preserve">      Външни лихви</w:t>
            </w:r>
          </w:p>
        </w:tc>
        <w:tc>
          <w:tcPr>
            <w:tcW w:w="840" w:type="dxa"/>
            <w:tcBorders>
              <w:top w:val="nil"/>
              <w:left w:val="nil"/>
              <w:bottom w:val="nil"/>
              <w:right w:val="single" w:sz="8" w:space="0" w:color="800000"/>
            </w:tcBorders>
            <w:shd w:val="clear" w:color="auto" w:fill="FFFFCC"/>
            <w:noWrap/>
            <w:vAlign w:val="bottom"/>
          </w:tcPr>
          <w:p w:rsidR="00AD04C8" w:rsidRPr="00C26647" w:rsidRDefault="00AD04C8" w:rsidP="001418A3">
            <w:pPr>
              <w:jc w:val="right"/>
              <w:rPr>
                <w:sz w:val="20"/>
                <w:szCs w:val="20"/>
              </w:rPr>
            </w:pPr>
            <w:r w:rsidRPr="00C26647">
              <w:rPr>
                <w:sz w:val="20"/>
                <w:szCs w:val="20"/>
              </w:rPr>
              <w:t>336,9</w:t>
            </w:r>
          </w:p>
        </w:tc>
        <w:tc>
          <w:tcPr>
            <w:tcW w:w="1206"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519,7</w:t>
            </w:r>
          </w:p>
        </w:tc>
        <w:tc>
          <w:tcPr>
            <w:tcW w:w="1260"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431,2</w:t>
            </w:r>
          </w:p>
        </w:tc>
        <w:tc>
          <w:tcPr>
            <w:tcW w:w="1244" w:type="dxa"/>
            <w:tcBorders>
              <w:top w:val="nil"/>
              <w:left w:val="nil"/>
              <w:bottom w:val="nil"/>
              <w:right w:val="single" w:sz="8" w:space="0" w:color="800000"/>
            </w:tcBorders>
            <w:shd w:val="clear" w:color="auto" w:fill="FFFFCC"/>
            <w:noWrap/>
            <w:vAlign w:val="bottom"/>
          </w:tcPr>
          <w:p w:rsidR="00AD04C8" w:rsidRDefault="00AD04C8" w:rsidP="00AD04C8">
            <w:pPr>
              <w:jc w:val="right"/>
              <w:rPr>
                <w:sz w:val="20"/>
                <w:szCs w:val="20"/>
              </w:rPr>
            </w:pPr>
            <w:r>
              <w:rPr>
                <w:sz w:val="20"/>
                <w:szCs w:val="20"/>
              </w:rPr>
              <w:t>128,0%</w:t>
            </w:r>
          </w:p>
        </w:tc>
        <w:tc>
          <w:tcPr>
            <w:tcW w:w="1244" w:type="dxa"/>
            <w:tcBorders>
              <w:top w:val="nil"/>
              <w:left w:val="nil"/>
              <w:bottom w:val="nil"/>
              <w:right w:val="double" w:sz="6" w:space="0" w:color="800000"/>
            </w:tcBorders>
            <w:shd w:val="clear" w:color="auto" w:fill="FFFFCC"/>
            <w:noWrap/>
            <w:vAlign w:val="bottom"/>
          </w:tcPr>
          <w:p w:rsidR="00AD04C8" w:rsidRDefault="00AD04C8" w:rsidP="00AD04C8">
            <w:pPr>
              <w:jc w:val="right"/>
              <w:rPr>
                <w:sz w:val="20"/>
                <w:szCs w:val="20"/>
              </w:rPr>
            </w:pPr>
            <w:r>
              <w:rPr>
                <w:sz w:val="20"/>
                <w:szCs w:val="20"/>
              </w:rPr>
              <w:t>83,0%</w:t>
            </w:r>
          </w:p>
        </w:tc>
      </w:tr>
      <w:tr w:rsidR="00AD04C8" w:rsidRPr="001F6421" w:rsidTr="00EC7A58">
        <w:trPr>
          <w:trHeight w:val="120"/>
        </w:trPr>
        <w:tc>
          <w:tcPr>
            <w:tcW w:w="3420" w:type="dxa"/>
            <w:tcBorders>
              <w:top w:val="nil"/>
              <w:left w:val="double" w:sz="6" w:space="0" w:color="800000"/>
              <w:bottom w:val="nil"/>
              <w:right w:val="single" w:sz="8" w:space="0" w:color="800000"/>
            </w:tcBorders>
            <w:shd w:val="clear" w:color="auto" w:fill="FFFFCC"/>
            <w:noWrap/>
            <w:vAlign w:val="bottom"/>
          </w:tcPr>
          <w:p w:rsidR="00AD04C8" w:rsidRPr="007C32AE" w:rsidRDefault="00AD04C8" w:rsidP="00EC7A58">
            <w:pPr>
              <w:rPr>
                <w:sz w:val="20"/>
                <w:szCs w:val="20"/>
              </w:rPr>
            </w:pPr>
            <w:r w:rsidRPr="007C32AE">
              <w:rPr>
                <w:sz w:val="20"/>
                <w:szCs w:val="20"/>
              </w:rPr>
              <w:t xml:space="preserve">      Вътрешни лихви</w:t>
            </w:r>
          </w:p>
        </w:tc>
        <w:tc>
          <w:tcPr>
            <w:tcW w:w="840" w:type="dxa"/>
            <w:tcBorders>
              <w:top w:val="nil"/>
              <w:left w:val="nil"/>
              <w:bottom w:val="nil"/>
              <w:right w:val="single" w:sz="8" w:space="0" w:color="800000"/>
            </w:tcBorders>
            <w:shd w:val="clear" w:color="auto" w:fill="FFFFCC"/>
            <w:noWrap/>
            <w:vAlign w:val="bottom"/>
          </w:tcPr>
          <w:p w:rsidR="00AD04C8" w:rsidRPr="00C26647" w:rsidRDefault="00AD04C8" w:rsidP="001418A3">
            <w:pPr>
              <w:jc w:val="right"/>
              <w:rPr>
                <w:sz w:val="20"/>
                <w:szCs w:val="20"/>
              </w:rPr>
            </w:pPr>
            <w:r w:rsidRPr="00C26647">
              <w:rPr>
                <w:sz w:val="20"/>
                <w:szCs w:val="20"/>
              </w:rPr>
              <w:t>243,0</w:t>
            </w:r>
          </w:p>
        </w:tc>
        <w:tc>
          <w:tcPr>
            <w:tcW w:w="1206"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352,1</w:t>
            </w:r>
          </w:p>
        </w:tc>
        <w:tc>
          <w:tcPr>
            <w:tcW w:w="1260" w:type="dxa"/>
            <w:tcBorders>
              <w:top w:val="nil"/>
              <w:left w:val="nil"/>
              <w:bottom w:val="nil"/>
              <w:right w:val="single" w:sz="8" w:space="0" w:color="800000"/>
            </w:tcBorders>
            <w:shd w:val="clear" w:color="auto" w:fill="FFFFCC"/>
            <w:noWrap/>
            <w:vAlign w:val="bottom"/>
          </w:tcPr>
          <w:p w:rsidR="00AD04C8" w:rsidRDefault="00AD04C8">
            <w:pPr>
              <w:jc w:val="right"/>
              <w:rPr>
                <w:sz w:val="20"/>
                <w:szCs w:val="20"/>
              </w:rPr>
            </w:pPr>
            <w:r>
              <w:rPr>
                <w:sz w:val="20"/>
                <w:szCs w:val="20"/>
              </w:rPr>
              <w:t>267,1</w:t>
            </w:r>
          </w:p>
        </w:tc>
        <w:tc>
          <w:tcPr>
            <w:tcW w:w="1244" w:type="dxa"/>
            <w:tcBorders>
              <w:top w:val="nil"/>
              <w:left w:val="nil"/>
              <w:bottom w:val="nil"/>
              <w:right w:val="single" w:sz="8" w:space="0" w:color="800000"/>
            </w:tcBorders>
            <w:shd w:val="clear" w:color="auto" w:fill="FFFFCC"/>
            <w:noWrap/>
            <w:vAlign w:val="bottom"/>
          </w:tcPr>
          <w:p w:rsidR="00AD04C8" w:rsidRDefault="00AD04C8" w:rsidP="00AD04C8">
            <w:pPr>
              <w:jc w:val="right"/>
              <w:rPr>
                <w:sz w:val="20"/>
                <w:szCs w:val="20"/>
              </w:rPr>
            </w:pPr>
            <w:r>
              <w:rPr>
                <w:sz w:val="20"/>
                <w:szCs w:val="20"/>
              </w:rPr>
              <w:t>109,9%</w:t>
            </w:r>
          </w:p>
        </w:tc>
        <w:tc>
          <w:tcPr>
            <w:tcW w:w="1244" w:type="dxa"/>
            <w:tcBorders>
              <w:top w:val="nil"/>
              <w:left w:val="nil"/>
              <w:bottom w:val="nil"/>
              <w:right w:val="double" w:sz="6" w:space="0" w:color="800000"/>
            </w:tcBorders>
            <w:shd w:val="clear" w:color="auto" w:fill="FFFFCC"/>
            <w:noWrap/>
            <w:vAlign w:val="bottom"/>
          </w:tcPr>
          <w:p w:rsidR="00AD04C8" w:rsidRDefault="00AD04C8" w:rsidP="00AD04C8">
            <w:pPr>
              <w:jc w:val="right"/>
              <w:rPr>
                <w:sz w:val="20"/>
                <w:szCs w:val="20"/>
              </w:rPr>
            </w:pPr>
            <w:r>
              <w:rPr>
                <w:sz w:val="20"/>
                <w:szCs w:val="20"/>
              </w:rPr>
              <w:t>75,9%</w:t>
            </w:r>
          </w:p>
        </w:tc>
      </w:tr>
      <w:tr w:rsidR="00AD04C8" w:rsidRPr="001F6421"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AD04C8" w:rsidRPr="007C32AE" w:rsidRDefault="00AD04C8" w:rsidP="00EC7A58">
            <w:pPr>
              <w:rPr>
                <w:sz w:val="20"/>
                <w:szCs w:val="20"/>
              </w:rPr>
            </w:pPr>
            <w:r w:rsidRPr="007C32AE">
              <w:rPr>
                <w:sz w:val="20"/>
                <w:szCs w:val="20"/>
              </w:rPr>
              <w:t xml:space="preserve">   -Вноска в бюджета на ЕС</w:t>
            </w:r>
          </w:p>
        </w:tc>
        <w:tc>
          <w:tcPr>
            <w:tcW w:w="840" w:type="dxa"/>
            <w:tcBorders>
              <w:top w:val="nil"/>
              <w:left w:val="nil"/>
              <w:bottom w:val="nil"/>
              <w:right w:val="single" w:sz="8" w:space="0" w:color="800000"/>
            </w:tcBorders>
            <w:shd w:val="clear" w:color="auto" w:fill="FFFFCC"/>
            <w:noWrap/>
            <w:vAlign w:val="bottom"/>
          </w:tcPr>
          <w:p w:rsidR="00AD04C8" w:rsidRPr="00C26647" w:rsidRDefault="00AD04C8" w:rsidP="001418A3">
            <w:pPr>
              <w:jc w:val="right"/>
              <w:rPr>
                <w:sz w:val="18"/>
                <w:szCs w:val="18"/>
              </w:rPr>
            </w:pPr>
            <w:r w:rsidRPr="00C26647">
              <w:rPr>
                <w:sz w:val="18"/>
                <w:szCs w:val="18"/>
              </w:rPr>
              <w:t>954,9</w:t>
            </w:r>
          </w:p>
        </w:tc>
        <w:tc>
          <w:tcPr>
            <w:tcW w:w="1206" w:type="dxa"/>
            <w:tcBorders>
              <w:top w:val="nil"/>
              <w:left w:val="nil"/>
              <w:bottom w:val="nil"/>
              <w:right w:val="single" w:sz="8" w:space="0" w:color="800000"/>
            </w:tcBorders>
            <w:shd w:val="clear" w:color="auto" w:fill="FFFFCC"/>
            <w:noWrap/>
            <w:vAlign w:val="bottom"/>
          </w:tcPr>
          <w:p w:rsidR="00AD04C8" w:rsidRDefault="00AD04C8">
            <w:pPr>
              <w:jc w:val="right"/>
              <w:rPr>
                <w:sz w:val="18"/>
                <w:szCs w:val="18"/>
              </w:rPr>
            </w:pPr>
            <w:r>
              <w:rPr>
                <w:sz w:val="18"/>
                <w:szCs w:val="18"/>
              </w:rPr>
              <w:t>979,9</w:t>
            </w:r>
          </w:p>
        </w:tc>
        <w:tc>
          <w:tcPr>
            <w:tcW w:w="1260" w:type="dxa"/>
            <w:tcBorders>
              <w:top w:val="nil"/>
              <w:left w:val="nil"/>
              <w:bottom w:val="nil"/>
              <w:right w:val="single" w:sz="8" w:space="0" w:color="800000"/>
            </w:tcBorders>
            <w:shd w:val="clear" w:color="auto" w:fill="FFFFCC"/>
            <w:noWrap/>
            <w:vAlign w:val="bottom"/>
          </w:tcPr>
          <w:p w:rsidR="00AD04C8" w:rsidRDefault="00AD04C8">
            <w:pPr>
              <w:jc w:val="right"/>
              <w:rPr>
                <w:sz w:val="18"/>
                <w:szCs w:val="18"/>
              </w:rPr>
            </w:pPr>
            <w:r>
              <w:rPr>
                <w:sz w:val="18"/>
                <w:szCs w:val="18"/>
              </w:rPr>
              <w:t>946,4</w:t>
            </w:r>
          </w:p>
        </w:tc>
        <w:tc>
          <w:tcPr>
            <w:tcW w:w="1244" w:type="dxa"/>
            <w:tcBorders>
              <w:top w:val="nil"/>
              <w:left w:val="nil"/>
              <w:bottom w:val="nil"/>
              <w:right w:val="single" w:sz="8" w:space="0" w:color="800000"/>
            </w:tcBorders>
            <w:shd w:val="clear" w:color="auto" w:fill="FFFFCC"/>
            <w:noWrap/>
            <w:vAlign w:val="bottom"/>
          </w:tcPr>
          <w:p w:rsidR="00AD04C8" w:rsidRDefault="00AD04C8" w:rsidP="00AD04C8">
            <w:pPr>
              <w:jc w:val="right"/>
              <w:rPr>
                <w:sz w:val="20"/>
                <w:szCs w:val="20"/>
              </w:rPr>
            </w:pPr>
            <w:r>
              <w:rPr>
                <w:sz w:val="20"/>
                <w:szCs w:val="20"/>
              </w:rPr>
              <w:t>99,1%</w:t>
            </w:r>
          </w:p>
        </w:tc>
        <w:tc>
          <w:tcPr>
            <w:tcW w:w="1244" w:type="dxa"/>
            <w:tcBorders>
              <w:top w:val="nil"/>
              <w:left w:val="nil"/>
              <w:bottom w:val="nil"/>
              <w:right w:val="double" w:sz="6" w:space="0" w:color="800000"/>
            </w:tcBorders>
            <w:shd w:val="clear" w:color="auto" w:fill="FFFFCC"/>
            <w:noWrap/>
            <w:vAlign w:val="bottom"/>
          </w:tcPr>
          <w:p w:rsidR="00AD04C8" w:rsidRDefault="00AD04C8" w:rsidP="00AD04C8">
            <w:pPr>
              <w:jc w:val="right"/>
              <w:rPr>
                <w:sz w:val="20"/>
                <w:szCs w:val="20"/>
              </w:rPr>
            </w:pPr>
            <w:r>
              <w:rPr>
                <w:sz w:val="20"/>
                <w:szCs w:val="20"/>
              </w:rPr>
              <w:t>96,6%</w:t>
            </w:r>
          </w:p>
        </w:tc>
      </w:tr>
      <w:tr w:rsidR="00C84A27" w:rsidRPr="001F6421" w:rsidTr="00EC7A58">
        <w:trPr>
          <w:trHeight w:val="80"/>
        </w:trPr>
        <w:tc>
          <w:tcPr>
            <w:tcW w:w="3420" w:type="dxa"/>
            <w:tcBorders>
              <w:top w:val="nil"/>
              <w:left w:val="double" w:sz="6" w:space="0" w:color="800000"/>
              <w:bottom w:val="nil"/>
              <w:right w:val="single" w:sz="8" w:space="0" w:color="800000"/>
            </w:tcBorders>
            <w:shd w:val="clear" w:color="auto" w:fill="FFFFCC"/>
            <w:noWrap/>
            <w:vAlign w:val="bottom"/>
          </w:tcPr>
          <w:p w:rsidR="00C84A27" w:rsidRPr="007C32AE" w:rsidRDefault="00C84A27" w:rsidP="00EC7A58">
            <w:pPr>
              <w:rPr>
                <w:sz w:val="4"/>
                <w:szCs w:val="4"/>
              </w:rPr>
            </w:pPr>
            <w:r w:rsidRPr="007C32AE">
              <w:rPr>
                <w:sz w:val="4"/>
                <w:szCs w:val="4"/>
              </w:rPr>
              <w:t> </w:t>
            </w:r>
          </w:p>
        </w:tc>
        <w:tc>
          <w:tcPr>
            <w:tcW w:w="840" w:type="dxa"/>
            <w:tcBorders>
              <w:top w:val="nil"/>
              <w:left w:val="nil"/>
              <w:bottom w:val="nil"/>
              <w:right w:val="single" w:sz="8" w:space="0" w:color="800000"/>
            </w:tcBorders>
            <w:shd w:val="clear" w:color="auto" w:fill="FFFFCC"/>
            <w:noWrap/>
            <w:vAlign w:val="bottom"/>
          </w:tcPr>
          <w:p w:rsidR="00C84A27" w:rsidRPr="00C26647" w:rsidRDefault="00C84A27" w:rsidP="001418A3">
            <w:pPr>
              <w:rPr>
                <w:sz w:val="4"/>
                <w:szCs w:val="4"/>
              </w:rPr>
            </w:pPr>
            <w:r w:rsidRPr="00C26647">
              <w:rPr>
                <w:sz w:val="4"/>
                <w:szCs w:val="4"/>
              </w:rPr>
              <w:t> </w:t>
            </w:r>
          </w:p>
        </w:tc>
        <w:tc>
          <w:tcPr>
            <w:tcW w:w="1206" w:type="dxa"/>
            <w:tcBorders>
              <w:top w:val="nil"/>
              <w:left w:val="nil"/>
              <w:bottom w:val="nil"/>
              <w:right w:val="single" w:sz="8" w:space="0" w:color="800000"/>
            </w:tcBorders>
            <w:shd w:val="clear" w:color="auto" w:fill="FFFFCC"/>
            <w:noWrap/>
            <w:vAlign w:val="bottom"/>
          </w:tcPr>
          <w:p w:rsidR="00C84A27" w:rsidRDefault="00C84A27">
            <w:pPr>
              <w:rPr>
                <w:sz w:val="4"/>
                <w:szCs w:val="4"/>
              </w:rPr>
            </w:pPr>
            <w:r>
              <w:rPr>
                <w:sz w:val="4"/>
                <w:szCs w:val="4"/>
              </w:rPr>
              <w:t> </w:t>
            </w:r>
          </w:p>
        </w:tc>
        <w:tc>
          <w:tcPr>
            <w:tcW w:w="1260" w:type="dxa"/>
            <w:tcBorders>
              <w:top w:val="nil"/>
              <w:left w:val="nil"/>
              <w:bottom w:val="nil"/>
              <w:right w:val="single" w:sz="8" w:space="0" w:color="800000"/>
            </w:tcBorders>
            <w:shd w:val="clear" w:color="auto" w:fill="FFFFCC"/>
            <w:noWrap/>
            <w:vAlign w:val="bottom"/>
          </w:tcPr>
          <w:p w:rsidR="00C84A27" w:rsidRDefault="00C84A27">
            <w:pPr>
              <w:rPr>
                <w:sz w:val="4"/>
                <w:szCs w:val="4"/>
              </w:rPr>
            </w:pPr>
            <w:r>
              <w:rPr>
                <w:sz w:val="4"/>
                <w:szCs w:val="4"/>
              </w:rPr>
              <w:t> </w:t>
            </w:r>
          </w:p>
        </w:tc>
        <w:tc>
          <w:tcPr>
            <w:tcW w:w="1244" w:type="dxa"/>
            <w:tcBorders>
              <w:top w:val="nil"/>
              <w:left w:val="nil"/>
              <w:bottom w:val="nil"/>
              <w:right w:val="single" w:sz="8" w:space="0" w:color="800000"/>
            </w:tcBorders>
            <w:shd w:val="clear" w:color="auto" w:fill="FFFFCC"/>
            <w:noWrap/>
            <w:vAlign w:val="bottom"/>
          </w:tcPr>
          <w:p w:rsidR="00C84A27" w:rsidRPr="001F6421" w:rsidRDefault="00C84A27" w:rsidP="00EC7A58">
            <w:pPr>
              <w:rPr>
                <w:color w:val="0070C0"/>
                <w:sz w:val="4"/>
                <w:szCs w:val="4"/>
              </w:rPr>
            </w:pPr>
            <w:r w:rsidRPr="001F6421">
              <w:rPr>
                <w:color w:val="0070C0"/>
                <w:sz w:val="4"/>
                <w:szCs w:val="4"/>
              </w:rPr>
              <w:t> </w:t>
            </w:r>
          </w:p>
        </w:tc>
        <w:tc>
          <w:tcPr>
            <w:tcW w:w="1244" w:type="dxa"/>
            <w:tcBorders>
              <w:top w:val="nil"/>
              <w:left w:val="nil"/>
              <w:bottom w:val="nil"/>
              <w:right w:val="double" w:sz="6" w:space="0" w:color="800000"/>
            </w:tcBorders>
            <w:shd w:val="clear" w:color="auto" w:fill="FFFFCC"/>
            <w:noWrap/>
            <w:vAlign w:val="bottom"/>
          </w:tcPr>
          <w:p w:rsidR="00C84A27" w:rsidRDefault="00C84A27" w:rsidP="00C26647">
            <w:pPr>
              <w:jc w:val="right"/>
              <w:rPr>
                <w:b/>
                <w:bCs/>
                <w:sz w:val="20"/>
                <w:szCs w:val="20"/>
              </w:rPr>
            </w:pPr>
          </w:p>
        </w:tc>
      </w:tr>
      <w:tr w:rsidR="00C84A27" w:rsidRPr="001F6421" w:rsidTr="00EC7A58">
        <w:trPr>
          <w:trHeight w:val="157"/>
        </w:trPr>
        <w:tc>
          <w:tcPr>
            <w:tcW w:w="3420" w:type="dxa"/>
            <w:tcBorders>
              <w:top w:val="nil"/>
              <w:left w:val="double" w:sz="6" w:space="0" w:color="800000"/>
              <w:bottom w:val="double" w:sz="6" w:space="0" w:color="800000"/>
              <w:right w:val="single" w:sz="8" w:space="0" w:color="800000"/>
            </w:tcBorders>
            <w:shd w:val="clear" w:color="auto" w:fill="FFFFCC"/>
            <w:noWrap/>
            <w:vAlign w:val="bottom"/>
          </w:tcPr>
          <w:p w:rsidR="00C84A27" w:rsidRPr="007C32AE" w:rsidRDefault="00C84A27" w:rsidP="00EC7A58">
            <w:pPr>
              <w:rPr>
                <w:b/>
                <w:bCs/>
                <w:sz w:val="20"/>
                <w:szCs w:val="20"/>
              </w:rPr>
            </w:pPr>
            <w:r w:rsidRPr="007C32AE">
              <w:rPr>
                <w:b/>
                <w:bCs/>
                <w:sz w:val="20"/>
                <w:szCs w:val="20"/>
              </w:rPr>
              <w:t>Дефицит/излишък</w:t>
            </w:r>
          </w:p>
        </w:tc>
        <w:tc>
          <w:tcPr>
            <w:tcW w:w="840" w:type="dxa"/>
            <w:tcBorders>
              <w:top w:val="nil"/>
              <w:left w:val="nil"/>
              <w:bottom w:val="double" w:sz="6" w:space="0" w:color="800000"/>
              <w:right w:val="single" w:sz="8" w:space="0" w:color="800000"/>
            </w:tcBorders>
            <w:shd w:val="clear" w:color="auto" w:fill="FFFFCC"/>
            <w:noWrap/>
            <w:vAlign w:val="bottom"/>
          </w:tcPr>
          <w:p w:rsidR="00C84A27" w:rsidRPr="00C26647" w:rsidRDefault="00C84A27" w:rsidP="001418A3">
            <w:pPr>
              <w:jc w:val="right"/>
              <w:rPr>
                <w:b/>
                <w:bCs/>
                <w:sz w:val="20"/>
                <w:szCs w:val="20"/>
              </w:rPr>
            </w:pPr>
            <w:r w:rsidRPr="00C26647">
              <w:rPr>
                <w:b/>
                <w:bCs/>
                <w:sz w:val="20"/>
                <w:szCs w:val="20"/>
              </w:rPr>
              <w:t>-3 072,9</w:t>
            </w:r>
          </w:p>
        </w:tc>
        <w:tc>
          <w:tcPr>
            <w:tcW w:w="1206" w:type="dxa"/>
            <w:tcBorders>
              <w:top w:val="nil"/>
              <w:left w:val="nil"/>
              <w:bottom w:val="double" w:sz="6" w:space="0" w:color="800000"/>
              <w:right w:val="single" w:sz="8" w:space="0" w:color="800000"/>
            </w:tcBorders>
            <w:shd w:val="clear" w:color="auto" w:fill="FFFFCC"/>
            <w:noWrap/>
            <w:vAlign w:val="bottom"/>
          </w:tcPr>
          <w:p w:rsidR="00C84A27" w:rsidRDefault="00C84A27">
            <w:pPr>
              <w:jc w:val="right"/>
              <w:rPr>
                <w:b/>
                <w:bCs/>
                <w:sz w:val="20"/>
                <w:szCs w:val="20"/>
              </w:rPr>
            </w:pPr>
            <w:r>
              <w:rPr>
                <w:b/>
                <w:bCs/>
                <w:sz w:val="20"/>
                <w:szCs w:val="20"/>
              </w:rPr>
              <w:t>-2 874,3</w:t>
            </w:r>
          </w:p>
        </w:tc>
        <w:tc>
          <w:tcPr>
            <w:tcW w:w="1260" w:type="dxa"/>
            <w:tcBorders>
              <w:top w:val="nil"/>
              <w:left w:val="nil"/>
              <w:bottom w:val="double" w:sz="6" w:space="0" w:color="800000"/>
              <w:right w:val="single" w:sz="8" w:space="0" w:color="800000"/>
            </w:tcBorders>
            <w:shd w:val="clear" w:color="auto" w:fill="FFFFCC"/>
            <w:noWrap/>
            <w:vAlign w:val="bottom"/>
          </w:tcPr>
          <w:p w:rsidR="00C84A27" w:rsidRDefault="00C84A27" w:rsidP="0035799E">
            <w:pPr>
              <w:jc w:val="right"/>
              <w:rPr>
                <w:b/>
                <w:bCs/>
                <w:sz w:val="20"/>
                <w:szCs w:val="20"/>
              </w:rPr>
            </w:pPr>
            <w:r>
              <w:rPr>
                <w:b/>
                <w:bCs/>
                <w:sz w:val="20"/>
                <w:szCs w:val="20"/>
              </w:rPr>
              <w:t>-2 48</w:t>
            </w:r>
            <w:r w:rsidR="0035799E">
              <w:rPr>
                <w:b/>
                <w:bCs/>
                <w:sz w:val="20"/>
                <w:szCs w:val="20"/>
              </w:rPr>
              <w:t>5</w:t>
            </w:r>
            <w:r>
              <w:rPr>
                <w:b/>
                <w:bCs/>
                <w:sz w:val="20"/>
                <w:szCs w:val="20"/>
              </w:rPr>
              <w:t>,2</w:t>
            </w:r>
          </w:p>
        </w:tc>
        <w:tc>
          <w:tcPr>
            <w:tcW w:w="1244" w:type="dxa"/>
            <w:tcBorders>
              <w:top w:val="nil"/>
              <w:left w:val="nil"/>
              <w:bottom w:val="double" w:sz="6" w:space="0" w:color="800000"/>
              <w:right w:val="single" w:sz="8" w:space="0" w:color="800000"/>
            </w:tcBorders>
            <w:shd w:val="clear" w:color="auto" w:fill="FFFFCC"/>
            <w:noWrap/>
            <w:vAlign w:val="bottom"/>
          </w:tcPr>
          <w:p w:rsidR="00C84A27" w:rsidRPr="001F6421" w:rsidRDefault="00C84A27" w:rsidP="00EC7A58">
            <w:pPr>
              <w:rPr>
                <w:b/>
                <w:bCs/>
                <w:color w:val="0070C0"/>
                <w:sz w:val="20"/>
                <w:szCs w:val="20"/>
              </w:rPr>
            </w:pPr>
            <w:r w:rsidRPr="001F6421">
              <w:rPr>
                <w:b/>
                <w:bCs/>
                <w:color w:val="0070C0"/>
                <w:sz w:val="20"/>
                <w:szCs w:val="20"/>
              </w:rPr>
              <w:t> </w:t>
            </w:r>
          </w:p>
        </w:tc>
        <w:tc>
          <w:tcPr>
            <w:tcW w:w="1244" w:type="dxa"/>
            <w:tcBorders>
              <w:top w:val="nil"/>
              <w:left w:val="nil"/>
              <w:bottom w:val="double" w:sz="6" w:space="0" w:color="800000"/>
              <w:right w:val="double" w:sz="6" w:space="0" w:color="800000"/>
            </w:tcBorders>
            <w:shd w:val="clear" w:color="auto" w:fill="FFFFCC"/>
            <w:noWrap/>
            <w:vAlign w:val="bottom"/>
          </w:tcPr>
          <w:p w:rsidR="00C84A27" w:rsidRDefault="00C84A27" w:rsidP="00C26647">
            <w:pPr>
              <w:jc w:val="right"/>
              <w:rPr>
                <w:sz w:val="20"/>
                <w:szCs w:val="20"/>
              </w:rPr>
            </w:pPr>
          </w:p>
        </w:tc>
      </w:tr>
    </w:tbl>
    <w:p w:rsidR="005328CD" w:rsidRPr="001F6421" w:rsidRDefault="005328CD" w:rsidP="005328CD">
      <w:pPr>
        <w:tabs>
          <w:tab w:val="left" w:pos="720"/>
        </w:tabs>
        <w:ind w:firstLine="540"/>
        <w:jc w:val="both"/>
        <w:rPr>
          <w:color w:val="0070C0"/>
          <w:sz w:val="8"/>
          <w:szCs w:val="8"/>
        </w:rPr>
      </w:pPr>
    </w:p>
    <w:p w:rsidR="005328CD" w:rsidRPr="001F6421" w:rsidRDefault="005328CD" w:rsidP="005328CD">
      <w:pPr>
        <w:ind w:firstLine="720"/>
        <w:jc w:val="both"/>
        <w:rPr>
          <w:b/>
          <w:color w:val="0070C0"/>
          <w:sz w:val="8"/>
          <w:szCs w:val="8"/>
        </w:rPr>
      </w:pPr>
    </w:p>
    <w:p w:rsidR="005328CD" w:rsidRPr="001418A3" w:rsidRDefault="005328CD" w:rsidP="005328CD">
      <w:pPr>
        <w:ind w:firstLine="720"/>
        <w:jc w:val="both"/>
        <w:rPr>
          <w:b/>
        </w:rPr>
      </w:pPr>
    </w:p>
    <w:p w:rsidR="00B24ED2" w:rsidRDefault="00B24ED2" w:rsidP="00B24ED2">
      <w:pPr>
        <w:ind w:firstLine="720"/>
        <w:jc w:val="both"/>
      </w:pPr>
      <w:r>
        <w:rPr>
          <w:b/>
        </w:rPr>
        <w:t>Приходите и помощите по консолидираната фискална програма за 2015 г. са в размер на 32 </w:t>
      </w:r>
      <w:r w:rsidR="007355D9">
        <w:rPr>
          <w:b/>
        </w:rPr>
        <w:t>199</w:t>
      </w:r>
      <w:r>
        <w:rPr>
          <w:b/>
        </w:rPr>
        <w:t>,</w:t>
      </w:r>
      <w:r w:rsidR="007355D9">
        <w:rPr>
          <w:b/>
        </w:rPr>
        <w:t>5</w:t>
      </w:r>
      <w:r>
        <w:rPr>
          <w:b/>
        </w:rPr>
        <w:t xml:space="preserve"> млн. лв.</w:t>
      </w:r>
      <w:r>
        <w:t xml:space="preserve">, което представлява 37,3 % от БВП при 35,2 % от БВП за  2014 г. Постъпилите приходи по КФП за 2015 г. представляват </w:t>
      </w:r>
      <w:r>
        <w:rPr>
          <w:lang w:val="en-US"/>
        </w:rPr>
        <w:t>1</w:t>
      </w:r>
      <w:r>
        <w:t>01,7 % спрямо годишните разчети към ЗДБРБ за 2015 г.</w:t>
      </w:r>
      <w:r>
        <w:rPr>
          <w:rStyle w:val="FootnoteReference"/>
        </w:rPr>
        <w:footnoteReference w:id="20"/>
      </w:r>
      <w:r>
        <w:t xml:space="preserve"> Изпълнението на приходите по държавния бюджет е </w:t>
      </w:r>
      <w:r w:rsidR="00F9561C" w:rsidRPr="0027234E">
        <w:t>99,2</w:t>
      </w:r>
      <w:r w:rsidR="00F9561C">
        <w:t> </w:t>
      </w:r>
      <w:r w:rsidR="00F9561C" w:rsidRPr="0027234E">
        <w:t>%</w:t>
      </w:r>
      <w:r>
        <w:t>, по бюджета на ДОО – 105,9 %, по бюджета на НЗОК – 103,5 %, по бюджетите на общините – 100,1 %, Разплащателна агенция към ДФ ”Земеделие”</w:t>
      </w:r>
      <w:r w:rsidR="00F6011C">
        <w:t>(вкл. по бюджетите на бенефициентите)</w:t>
      </w:r>
      <w:r>
        <w:t xml:space="preserve"> – 106,3 %, Национален фонд</w:t>
      </w:r>
      <w:r w:rsidR="00F6011C">
        <w:t xml:space="preserve"> (вкл. по бюджетите на бенефициентите по  оперативните програми) </w:t>
      </w:r>
      <w:r>
        <w:t>– 108,2 %. Съпоставени с 2014 г. постъпленията по консолидираната фискална програма бележат номинален ръст от 9,5 % (2 </w:t>
      </w:r>
      <w:r w:rsidR="00572C16">
        <w:t>790,4</w:t>
      </w:r>
      <w:r>
        <w:t xml:space="preserve"> млн. лева).</w:t>
      </w:r>
    </w:p>
    <w:p w:rsidR="00B24ED2" w:rsidRDefault="00B24ED2" w:rsidP="00B24ED2">
      <w:pPr>
        <w:ind w:firstLine="720"/>
        <w:jc w:val="both"/>
      </w:pPr>
      <w:r>
        <w:t xml:space="preserve">Общата сума на </w:t>
      </w:r>
      <w:r>
        <w:rPr>
          <w:b/>
          <w:i/>
        </w:rPr>
        <w:t>данъчните постъпления</w:t>
      </w:r>
      <w:r>
        <w:t xml:space="preserve"> (вкл. приходите от осигурителни вноски) за годината възлиза на 24 855,6 млн. лв. (100,5 % спрямо годишните разчети). Относителният дял на данъчните приходи към общите постъпления по КФП е 77,2 %. Данъчните постъпления за 2015 г. представляват 28,8 % от БВП за годината, при 27,5 % от БВП за 2014 г. Съпоставени с предходната година, данъчните приходи нарастват номинално с 1 827,9 млн. лв. </w:t>
      </w:r>
      <w:r>
        <w:rPr>
          <w:lang w:val="en-US"/>
        </w:rPr>
        <w:t>(</w:t>
      </w:r>
      <w:r>
        <w:t>7,9 %</w:t>
      </w:r>
      <w:r>
        <w:rPr>
          <w:lang w:val="en-US"/>
        </w:rPr>
        <w:t>)</w:t>
      </w:r>
      <w:r>
        <w:t xml:space="preserve">. В номинален размер приходите от преки данъци </w:t>
      </w:r>
      <w:r>
        <w:lastRenderedPageBreak/>
        <w:t>възлизат на 4 591,6 млн. лв., приходите от косвени данъци са в размер на 12 450,5 млн. лв., приходите от осигурителни вноски са в размер на 6 947,1 млн. лв., а постъпленията от други данъци (включват други данъци по ЗКПО, имуществени данъци и др.) са в размер на 866,4 млн. лева.</w:t>
      </w:r>
    </w:p>
    <w:p w:rsidR="00B24ED2" w:rsidRDefault="00B24ED2" w:rsidP="00B24ED2">
      <w:pPr>
        <w:spacing w:after="60"/>
        <w:ind w:firstLine="720"/>
        <w:jc w:val="both"/>
      </w:pPr>
      <w:r>
        <w:t xml:space="preserve">Приходите в частта на </w:t>
      </w:r>
      <w:r>
        <w:rPr>
          <w:i/>
          <w:u w:val="single"/>
        </w:rPr>
        <w:t>преките данъци</w:t>
      </w:r>
      <w:r>
        <w:t xml:space="preserve"> възлизат 4 591,6 млн. лв., което представлява 103,1 % спрямо планираните за годината. Постъпленията от преки данъци за 2015 г. представляват 5,3 % от БВП при 5,1 % от БВП за 2014 г. Приходите от </w:t>
      </w:r>
      <w:r>
        <w:rPr>
          <w:i/>
          <w:u w:val="single"/>
        </w:rPr>
        <w:t>косвени данъци</w:t>
      </w:r>
      <w:r>
        <w:t xml:space="preserve"> са в размер на </w:t>
      </w:r>
      <w:r>
        <w:rPr>
          <w:bCs/>
        </w:rPr>
        <w:t>12 450,5</w:t>
      </w:r>
      <w:r>
        <w:t xml:space="preserve"> млн. лв., което представлява 97,6 % от актуализирания годишен разчет. Постъпленията от косвени данъци за 2015 г. представляват 14,4 % от БВП, при 13,7 % за 2014 г. В номинална стойност неизпълнението на разчетите за годината е в размер на 305,4 млн. лева. Постъпленията от </w:t>
      </w:r>
      <w:r>
        <w:rPr>
          <w:i/>
          <w:u w:val="single"/>
        </w:rPr>
        <w:t>други данъци</w:t>
      </w:r>
      <w:r>
        <w:t xml:space="preserve"> (включват други данъци по ЗКПО, имуществени данъци и др.) са в размер на 866,4 млн. лв., което представлява 100,3 % спрямо годишните разчети за 2015 г. </w:t>
      </w:r>
    </w:p>
    <w:p w:rsidR="00B24ED2" w:rsidRDefault="00B24ED2" w:rsidP="00B24ED2">
      <w:pPr>
        <w:spacing w:after="60"/>
        <w:ind w:firstLine="720"/>
        <w:jc w:val="both"/>
        <w:rPr>
          <w:bCs/>
        </w:rPr>
      </w:pPr>
      <w:r>
        <w:t xml:space="preserve">Приходите от </w:t>
      </w:r>
      <w:r>
        <w:rPr>
          <w:i/>
          <w:u w:val="single"/>
        </w:rPr>
        <w:t>социалноосигурителни и здравни вноски</w:t>
      </w:r>
      <w:r>
        <w:t xml:space="preserve"> за 2015 г. са в размер на 6 947,1 млн. лв., 104,5 % спрямо планираните за 2015 г. и с 498,3 млн. лв. (7,7 %) повече спрямо предходната година. Отнесени към БВП приходите от социално и здравноосигурителни вноски за 2015 г. </w:t>
      </w:r>
      <w:r>
        <w:rPr>
          <w:bCs/>
        </w:rPr>
        <w:t>представляват 8,0 %, при 7,7 % от БВП за 2014 г.</w:t>
      </w:r>
      <w:r>
        <w:t xml:space="preserve"> Постъпилите през 2015 година приходи от социалноосигурителни вноски са в размер на 4 836,6 млн. лв., което е 104,9 % изпълнение на заложените за 2015 г. разчети и с 315,7 млн. лв. </w:t>
      </w:r>
      <w:r>
        <w:rPr>
          <w:lang w:val="en-US"/>
        </w:rPr>
        <w:t>(</w:t>
      </w:r>
      <w:r>
        <w:t>7,0 %</w:t>
      </w:r>
      <w:r>
        <w:rPr>
          <w:lang w:val="en-US"/>
        </w:rPr>
        <w:t>)</w:t>
      </w:r>
      <w:r>
        <w:t xml:space="preserve"> повече спрямо 2014 г.</w:t>
      </w:r>
      <w:r>
        <w:rPr>
          <w:bCs/>
        </w:rPr>
        <w:t xml:space="preserve"> Приходите от здравноосигурителни вноски, постъпили по бюджета на НЗОК, са в размер на 2 110,5 млн. лв., което е 103,4 % изпълнение на заложените в ЗБНЗОК за 2015 г. средства и със 182,6 млн. лв. </w:t>
      </w:r>
      <w:r>
        <w:rPr>
          <w:bCs/>
          <w:lang w:val="en-US"/>
        </w:rPr>
        <w:t>(</w:t>
      </w:r>
      <w:r>
        <w:rPr>
          <w:bCs/>
        </w:rPr>
        <w:t>9,5 %</w:t>
      </w:r>
      <w:r>
        <w:rPr>
          <w:bCs/>
          <w:lang w:val="en-US"/>
        </w:rPr>
        <w:t>)</w:t>
      </w:r>
      <w:r>
        <w:rPr>
          <w:bCs/>
        </w:rPr>
        <w:t xml:space="preserve"> повече спрямо 2014 г. </w:t>
      </w:r>
    </w:p>
    <w:p w:rsidR="00B24ED2" w:rsidRDefault="00B24ED2" w:rsidP="00B24ED2">
      <w:pPr>
        <w:spacing w:after="60"/>
        <w:ind w:firstLine="720"/>
        <w:jc w:val="both"/>
        <w:rPr>
          <w:color w:val="0070C0"/>
        </w:rPr>
      </w:pPr>
      <w:r>
        <w:rPr>
          <w:b/>
          <w:i/>
          <w:u w:val="single"/>
        </w:rPr>
        <w:t>Неданъчните приходи</w:t>
      </w:r>
      <w:r>
        <w:rPr>
          <w:b/>
        </w:rPr>
        <w:t xml:space="preserve"> </w:t>
      </w:r>
      <w:r>
        <w:t xml:space="preserve">са </w:t>
      </w:r>
      <w:r>
        <w:rPr>
          <w:b/>
          <w:bCs/>
          <w:i/>
        </w:rPr>
        <w:t>3 </w:t>
      </w:r>
      <w:r>
        <w:rPr>
          <w:b/>
          <w:bCs/>
          <w:i/>
          <w:lang w:val="en-US"/>
        </w:rPr>
        <w:t>69</w:t>
      </w:r>
      <w:r w:rsidR="0072689D">
        <w:rPr>
          <w:b/>
          <w:bCs/>
          <w:i/>
        </w:rPr>
        <w:t>6</w:t>
      </w:r>
      <w:r>
        <w:rPr>
          <w:b/>
          <w:bCs/>
          <w:i/>
        </w:rPr>
        <w:t>,</w:t>
      </w:r>
      <w:r w:rsidR="0072689D">
        <w:rPr>
          <w:b/>
          <w:bCs/>
          <w:i/>
        </w:rPr>
        <w:t>2</w:t>
      </w:r>
      <w:r>
        <w:rPr>
          <w:b/>
          <w:i/>
        </w:rPr>
        <w:t xml:space="preserve"> млн. лв.</w:t>
      </w:r>
      <w:r>
        <w:t>, което представлява 102,1 % изпълнение на актуализираните годишни разчети. Относителният дял на неданъчните приходи към общите постъпления по КФП е 11,5 %. Неданъчните постъпления за 2015 г. представляват 4,3 % от БВП за годината, при 4,1 % от БВП за 2014 г. Това е с 23</w:t>
      </w:r>
      <w:r w:rsidR="0072689D">
        <w:t>6</w:t>
      </w:r>
      <w:r>
        <w:t>,</w:t>
      </w:r>
      <w:r w:rsidR="0072689D">
        <w:t>3</w:t>
      </w:r>
      <w:r>
        <w:t xml:space="preserve"> млн. лв. повече от предходната година.</w:t>
      </w:r>
      <w:r>
        <w:rPr>
          <w:color w:val="0070C0"/>
        </w:rPr>
        <w:t xml:space="preserve"> </w:t>
      </w:r>
    </w:p>
    <w:p w:rsidR="00B24ED2" w:rsidRDefault="00B24ED2" w:rsidP="00B24ED2">
      <w:pPr>
        <w:spacing w:after="60"/>
        <w:ind w:firstLine="720"/>
        <w:jc w:val="both"/>
        <w:rPr>
          <w:lang w:val="en-US"/>
        </w:rPr>
      </w:pPr>
      <w:r>
        <w:rPr>
          <w:b/>
          <w:i/>
          <w:u w:val="single"/>
        </w:rPr>
        <w:t xml:space="preserve">Помощите </w:t>
      </w:r>
      <w:r>
        <w:t xml:space="preserve">(основно средства </w:t>
      </w:r>
      <w:r>
        <w:rPr>
          <w:bCs/>
        </w:rPr>
        <w:t>от Структурните и Кохезионния фондове, от</w:t>
      </w:r>
      <w:r>
        <w:t xml:space="preserve"> ЕЗФРСР и ЕФР</w:t>
      </w:r>
      <w:r>
        <w:rPr>
          <w:bCs/>
        </w:rPr>
        <w:t>, от средства за директни плащания към земеделските производители и плащания по пазарни мерки и др.</w:t>
      </w:r>
      <w:r>
        <w:t xml:space="preserve">) за 2015 г. са в размер </w:t>
      </w:r>
      <w:r>
        <w:rPr>
          <w:b/>
          <w:i/>
        </w:rPr>
        <w:t>3 647,7 млн. лв.</w:t>
      </w:r>
      <w:r>
        <w:t>, което представлява 110,4 % спрямо разчета за годината. Постъпилите помощи за 2015 г. представляват 4,2 % от БВП за годината, при 3,5 % от БВП за 2014 г. Спрямо 2014 г. помощите са нараснали със 726,3 млн. лева.</w:t>
      </w: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Default="00FA4A95" w:rsidP="00B24ED2">
      <w:pPr>
        <w:spacing w:after="60"/>
        <w:ind w:firstLine="720"/>
        <w:jc w:val="both"/>
        <w:rPr>
          <w:lang w:val="en-US"/>
        </w:rPr>
      </w:pPr>
    </w:p>
    <w:p w:rsidR="00FA4A95" w:rsidRPr="00FA4A95" w:rsidRDefault="00FA4A95" w:rsidP="00B24ED2">
      <w:pPr>
        <w:spacing w:after="60"/>
        <w:ind w:firstLine="720"/>
        <w:jc w:val="both"/>
        <w:rPr>
          <w:lang w:val="en-US"/>
        </w:rPr>
      </w:pPr>
    </w:p>
    <w:p w:rsidR="00B24ED2" w:rsidRDefault="00B24ED2" w:rsidP="00B24ED2">
      <w:pPr>
        <w:tabs>
          <w:tab w:val="left" w:pos="720"/>
        </w:tabs>
        <w:ind w:firstLine="540"/>
        <w:jc w:val="both"/>
        <w:rPr>
          <w:b/>
          <w:bCs/>
          <w:i/>
        </w:rPr>
      </w:pPr>
      <w:r>
        <w:rPr>
          <w:b/>
          <w:bCs/>
          <w:i/>
        </w:rPr>
        <w:lastRenderedPageBreak/>
        <w:t>Приходи по КФП за 2014 г. и 2015 г., представени като процент от БВП</w:t>
      </w:r>
    </w:p>
    <w:p w:rsidR="00B24ED2" w:rsidRDefault="00D37B0F" w:rsidP="00B24ED2">
      <w:pPr>
        <w:ind w:left="360"/>
        <w:jc w:val="both"/>
        <w:rPr>
          <w:sz w:val="16"/>
          <w:szCs w:val="16"/>
        </w:rPr>
      </w:pPr>
      <w:bookmarkStart w:id="113" w:name="_MON_1529841387"/>
      <w:bookmarkStart w:id="114" w:name="_MON_1526740328"/>
      <w:bookmarkEnd w:id="113"/>
      <w:bookmarkEnd w:id="114"/>
      <w:r>
        <w:rPr>
          <w:noProof/>
        </w:rPr>
        <w:drawing>
          <wp:inline distT="0" distB="0" distL="0" distR="0" wp14:anchorId="67DA1A95" wp14:editId="353AB420">
            <wp:extent cx="5866130" cy="2760345"/>
            <wp:effectExtent l="0" t="0" r="20320" b="20955"/>
            <wp:docPr id="9" name="Objec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B24ED2">
        <w:rPr>
          <w:sz w:val="16"/>
          <w:szCs w:val="16"/>
        </w:rPr>
        <w:t>*В частта на преките данъци са включени и другите данъци</w:t>
      </w:r>
    </w:p>
    <w:p w:rsidR="005328CD" w:rsidRPr="001F6421" w:rsidRDefault="005328CD" w:rsidP="005328CD">
      <w:pPr>
        <w:tabs>
          <w:tab w:val="left" w:pos="1080"/>
        </w:tabs>
        <w:autoSpaceDE w:val="0"/>
        <w:autoSpaceDN w:val="0"/>
        <w:adjustRightInd w:val="0"/>
        <w:jc w:val="both"/>
        <w:rPr>
          <w:color w:val="0070C0"/>
          <w:sz w:val="8"/>
          <w:szCs w:val="8"/>
        </w:rPr>
      </w:pPr>
    </w:p>
    <w:p w:rsidR="005328CD" w:rsidRPr="00035629" w:rsidRDefault="005328CD" w:rsidP="00005346">
      <w:pPr>
        <w:numPr>
          <w:ilvl w:val="0"/>
          <w:numId w:val="4"/>
        </w:numPr>
        <w:tabs>
          <w:tab w:val="num" w:pos="0"/>
          <w:tab w:val="left" w:pos="1080"/>
        </w:tabs>
        <w:autoSpaceDE w:val="0"/>
        <w:autoSpaceDN w:val="0"/>
        <w:adjustRightInd w:val="0"/>
        <w:ind w:left="0" w:firstLine="720"/>
        <w:jc w:val="both"/>
      </w:pPr>
      <w:r w:rsidRPr="004B424B">
        <w:rPr>
          <w:b/>
        </w:rPr>
        <w:t>Общият размер на разходите по КФП</w:t>
      </w:r>
      <w:r w:rsidRPr="0021467F">
        <w:t xml:space="preserve"> (вкл. вноската  на Република България в бюджета на ЕС) за годината </w:t>
      </w:r>
      <w:r w:rsidRPr="004B424B">
        <w:rPr>
          <w:b/>
        </w:rPr>
        <w:t>възлиза на 3</w:t>
      </w:r>
      <w:r w:rsidR="00553670" w:rsidRPr="004B424B">
        <w:rPr>
          <w:b/>
          <w:lang w:val="en-US"/>
        </w:rPr>
        <w:t>4 684</w:t>
      </w:r>
      <w:r w:rsidR="00553670" w:rsidRPr="004B424B">
        <w:rPr>
          <w:b/>
        </w:rPr>
        <w:t>,</w:t>
      </w:r>
      <w:r w:rsidR="00473772">
        <w:rPr>
          <w:b/>
        </w:rPr>
        <w:t>8</w:t>
      </w:r>
      <w:r w:rsidRPr="004B424B">
        <w:rPr>
          <w:b/>
        </w:rPr>
        <w:t xml:space="preserve"> млн. лв.</w:t>
      </w:r>
      <w:r w:rsidRPr="0021467F">
        <w:t xml:space="preserve">, което представлява </w:t>
      </w:r>
      <w:r w:rsidR="00553670" w:rsidRPr="0021467F">
        <w:t>100,5</w:t>
      </w:r>
      <w:r w:rsidRPr="0021467F">
        <w:t xml:space="preserve"> % </w:t>
      </w:r>
      <w:r w:rsidR="00553670" w:rsidRPr="0021467F">
        <w:t>спрямо</w:t>
      </w:r>
      <w:r w:rsidRPr="0021467F">
        <w:t xml:space="preserve"> актуализирания годишен разчет за 201</w:t>
      </w:r>
      <w:r w:rsidR="00553670" w:rsidRPr="0021467F">
        <w:t>5</w:t>
      </w:r>
      <w:r w:rsidRPr="0021467F">
        <w:t xml:space="preserve"> г. </w:t>
      </w:r>
      <w:r w:rsidRPr="004B424B">
        <w:rPr>
          <w:i/>
        </w:rPr>
        <w:t xml:space="preserve">Лихвените плащания </w:t>
      </w:r>
      <w:r w:rsidRPr="0021467F">
        <w:t xml:space="preserve">възлизат на </w:t>
      </w:r>
      <w:r w:rsidR="00553670" w:rsidRPr="0021467F">
        <w:t>698,3</w:t>
      </w:r>
      <w:r w:rsidRPr="004B424B">
        <w:rPr>
          <w:lang w:val="ru-RU"/>
        </w:rPr>
        <w:t xml:space="preserve"> </w:t>
      </w:r>
      <w:r w:rsidRPr="0021467F">
        <w:t>млн. лв. (8</w:t>
      </w:r>
      <w:r w:rsidR="00553670" w:rsidRPr="0021467F">
        <w:t>0,1</w:t>
      </w:r>
      <w:r w:rsidRPr="0021467F">
        <w:t xml:space="preserve"> % от планираните за 201</w:t>
      </w:r>
      <w:r w:rsidR="00553670" w:rsidRPr="0021467F">
        <w:t>5</w:t>
      </w:r>
      <w:r w:rsidRPr="0021467F">
        <w:t> г.)</w:t>
      </w:r>
      <w:r w:rsidRPr="004B424B">
        <w:rPr>
          <w:b/>
        </w:rPr>
        <w:t xml:space="preserve">, </w:t>
      </w:r>
      <w:r w:rsidRPr="004B424B">
        <w:rPr>
          <w:i/>
        </w:rPr>
        <w:t>текущите нелихвени разходи</w:t>
      </w:r>
      <w:r w:rsidRPr="004B424B">
        <w:rPr>
          <w:b/>
        </w:rPr>
        <w:t xml:space="preserve"> – </w:t>
      </w:r>
      <w:r w:rsidRPr="0021467F">
        <w:t>на 2</w:t>
      </w:r>
      <w:r w:rsidR="0021467F" w:rsidRPr="0021467F">
        <w:t>6 140,</w:t>
      </w:r>
      <w:r w:rsidR="00473772">
        <w:t>3</w:t>
      </w:r>
      <w:r w:rsidRPr="0021467F">
        <w:t xml:space="preserve"> млн. лв</w:t>
      </w:r>
      <w:r w:rsidRPr="004B424B">
        <w:rPr>
          <w:b/>
        </w:rPr>
        <w:t xml:space="preserve">. </w:t>
      </w:r>
      <w:r w:rsidRPr="0021467F">
        <w:t>(</w:t>
      </w:r>
      <w:r w:rsidR="0021467F" w:rsidRPr="0021467F">
        <w:t>99,6</w:t>
      </w:r>
      <w:r w:rsidRPr="0021467F">
        <w:t xml:space="preserve"> % о</w:t>
      </w:r>
      <w:r w:rsidR="0021467F" w:rsidRPr="0021467F">
        <w:t>т</w:t>
      </w:r>
      <w:r w:rsidRPr="0021467F">
        <w:t xml:space="preserve"> разчета за годината) </w:t>
      </w:r>
      <w:r w:rsidRPr="004B424B">
        <w:rPr>
          <w:i/>
        </w:rPr>
        <w:t xml:space="preserve">и капиталови разходи </w:t>
      </w:r>
      <w:r w:rsidRPr="0021467F">
        <w:t xml:space="preserve">(вкл. нетния прираст на държавния </w:t>
      </w:r>
      <w:r w:rsidRPr="00F140AE">
        <w:t xml:space="preserve">резерв) </w:t>
      </w:r>
      <w:r w:rsidRPr="00525313">
        <w:t xml:space="preserve">– </w:t>
      </w:r>
      <w:r w:rsidR="0021467F" w:rsidRPr="00525313">
        <w:t>6 899,</w:t>
      </w:r>
      <w:r w:rsidR="00473772">
        <w:t>7</w:t>
      </w:r>
      <w:r w:rsidRPr="00F140AE">
        <w:t xml:space="preserve"> млн. лв. (</w:t>
      </w:r>
      <w:r w:rsidR="0021467F" w:rsidRPr="00F140AE">
        <w:t>107,5</w:t>
      </w:r>
      <w:r w:rsidRPr="00F140AE">
        <w:t xml:space="preserve"> % </w:t>
      </w:r>
      <w:r w:rsidR="0021467F" w:rsidRPr="00F140AE">
        <w:t>спрямо</w:t>
      </w:r>
      <w:r w:rsidRPr="00F140AE">
        <w:t xml:space="preserve"> разчетите към ЗДБРБ за 201</w:t>
      </w:r>
      <w:r w:rsidR="0021467F" w:rsidRPr="00F140AE">
        <w:t>5</w:t>
      </w:r>
      <w:r w:rsidRPr="00F140AE">
        <w:t xml:space="preserve"> г.). </w:t>
      </w:r>
      <w:r w:rsidRPr="004B424B">
        <w:rPr>
          <w:bCs/>
        </w:rPr>
        <w:t>Разходите</w:t>
      </w:r>
      <w:r w:rsidRPr="00F140AE">
        <w:t xml:space="preserve"> по КФП за 201</w:t>
      </w:r>
      <w:r w:rsidR="00F140AE" w:rsidRPr="00F140AE">
        <w:t>5</w:t>
      </w:r>
      <w:r w:rsidRPr="00F140AE">
        <w:t> г., представени като процент от БВП, нарастват с 1,</w:t>
      </w:r>
      <w:r w:rsidR="00F140AE" w:rsidRPr="00F140AE">
        <w:t>4</w:t>
      </w:r>
      <w:r w:rsidRPr="00F140AE">
        <w:t xml:space="preserve"> п.п. спрямо 201</w:t>
      </w:r>
      <w:r w:rsidR="00F140AE" w:rsidRPr="00F140AE">
        <w:t>4</w:t>
      </w:r>
      <w:r w:rsidRPr="00F140AE">
        <w:t xml:space="preserve"> г. – </w:t>
      </w:r>
      <w:r w:rsidR="00F140AE" w:rsidRPr="00F140AE">
        <w:t>40</w:t>
      </w:r>
      <w:r w:rsidRPr="00F140AE">
        <w:t>,</w:t>
      </w:r>
      <w:r w:rsidR="00F140AE" w:rsidRPr="00F140AE">
        <w:t>2</w:t>
      </w:r>
      <w:r w:rsidRPr="00F140AE">
        <w:t xml:space="preserve"> % от БВП за 201</w:t>
      </w:r>
      <w:r w:rsidR="00F140AE" w:rsidRPr="00F140AE">
        <w:t>5</w:t>
      </w:r>
      <w:r w:rsidRPr="00F140AE">
        <w:t> г. срещу 3</w:t>
      </w:r>
      <w:r w:rsidR="00F140AE" w:rsidRPr="00F140AE">
        <w:t>8,8</w:t>
      </w:r>
      <w:r w:rsidRPr="00F140AE">
        <w:t xml:space="preserve"> % от БВП за 201</w:t>
      </w:r>
      <w:r w:rsidR="00F140AE" w:rsidRPr="00F140AE">
        <w:t>4</w:t>
      </w:r>
      <w:r w:rsidRPr="00F140AE">
        <w:t xml:space="preserve"> г. </w:t>
      </w:r>
      <w:r w:rsidR="00005346" w:rsidRPr="00B812FC">
        <w:t>Съпоставено с предходната година общите разходи по КФП нарастват с 2</w:t>
      </w:r>
      <w:r w:rsidR="00005346">
        <w:t> 202,</w:t>
      </w:r>
      <w:r w:rsidR="00473772">
        <w:t>7</w:t>
      </w:r>
      <w:r w:rsidR="00005346" w:rsidRPr="00B812FC">
        <w:t xml:space="preserve"> млн. лв. (6,8 %). В структурно отношение ръст се отчита основно при капиталовите разходи (3</w:t>
      </w:r>
      <w:r w:rsidR="00396BB5">
        <w:t>9,6</w:t>
      </w:r>
      <w:r w:rsidR="00005346" w:rsidRPr="00B812FC">
        <w:t xml:space="preserve"> %) и лихвените разходи (20,</w:t>
      </w:r>
      <w:r w:rsidR="00396BB5">
        <w:t>4</w:t>
      </w:r>
      <w:r w:rsidR="00005346" w:rsidRPr="00B812FC">
        <w:t xml:space="preserve"> %), докато текущите нелихвени разходи нарастват едва с 0,</w:t>
      </w:r>
      <w:r w:rsidR="004B424B">
        <w:t>5</w:t>
      </w:r>
      <w:r w:rsidR="00005346" w:rsidRPr="00B812FC">
        <w:t xml:space="preserve"> %.</w:t>
      </w:r>
      <w:r w:rsidR="00005346" w:rsidRPr="004B424B">
        <w:rPr>
          <w:color w:val="4F81BD"/>
        </w:rPr>
        <w:t xml:space="preserve"> </w:t>
      </w:r>
      <w:r w:rsidR="00005346">
        <w:t xml:space="preserve">Основната част от отчетения ръст на разходите по КФП спрямо предходната година се отчита в частта на капиталовите разходи, които нарастват с </w:t>
      </w:r>
      <w:r w:rsidR="006E7A09">
        <w:t>близо</w:t>
      </w:r>
      <w:r w:rsidR="00473772">
        <w:t xml:space="preserve"> </w:t>
      </w:r>
      <w:r w:rsidR="004B424B">
        <w:t>2</w:t>
      </w:r>
      <w:r w:rsidR="00005346">
        <w:t xml:space="preserve"> млрд. лв. в номинално изражение. Това се дължи на по-високите инвестиционни разходи по оперативните програми, Програмата за развитие на селските райони и Програмата за развитие на сектор „Рибарство“ през последната година за финализиране на разплащанията по проектите, </w:t>
      </w:r>
      <w:r w:rsidR="00005346" w:rsidRPr="004B424B">
        <w:t>съфинансирани от ЕК за програмния период 2007-2013 г.</w:t>
      </w:r>
      <w:r w:rsidR="004B424B" w:rsidRPr="004B424B">
        <w:t xml:space="preserve"> </w:t>
      </w:r>
      <w:r w:rsidRPr="004B424B">
        <w:rPr>
          <w:bCs/>
        </w:rPr>
        <w:t>Разходите по сметките за европейски средства (вкл. националното съфинансиране) нарастват с 3</w:t>
      </w:r>
      <w:r w:rsidR="004B424B" w:rsidRPr="004B424B">
        <w:rPr>
          <w:bCs/>
        </w:rPr>
        <w:t>9</w:t>
      </w:r>
      <w:r w:rsidRPr="004B424B">
        <w:rPr>
          <w:bCs/>
        </w:rPr>
        <w:t>,</w:t>
      </w:r>
      <w:r w:rsidR="00D75D92">
        <w:rPr>
          <w:bCs/>
        </w:rPr>
        <w:t>8</w:t>
      </w:r>
      <w:r w:rsidRPr="004B424B">
        <w:rPr>
          <w:bCs/>
        </w:rPr>
        <w:t xml:space="preserve"> % (</w:t>
      </w:r>
      <w:r w:rsidR="004B424B" w:rsidRPr="004B424B">
        <w:rPr>
          <w:bCs/>
        </w:rPr>
        <w:t>1 8</w:t>
      </w:r>
      <w:r w:rsidR="00D75D92">
        <w:rPr>
          <w:bCs/>
        </w:rPr>
        <w:t>1</w:t>
      </w:r>
      <w:r w:rsidR="004B424B" w:rsidRPr="004B424B">
        <w:rPr>
          <w:bCs/>
        </w:rPr>
        <w:t>3,</w:t>
      </w:r>
      <w:r w:rsidR="00D75D92">
        <w:rPr>
          <w:bCs/>
        </w:rPr>
        <w:t>3</w:t>
      </w:r>
      <w:r w:rsidRPr="004B424B">
        <w:rPr>
          <w:bCs/>
        </w:rPr>
        <w:t xml:space="preserve"> млн. лв.) спрямо 201</w:t>
      </w:r>
      <w:r w:rsidR="004B424B" w:rsidRPr="004B424B">
        <w:rPr>
          <w:bCs/>
        </w:rPr>
        <w:t>4</w:t>
      </w:r>
      <w:r w:rsidRPr="004B424B">
        <w:rPr>
          <w:bCs/>
        </w:rPr>
        <w:t xml:space="preserve"> г., а социалните и здравноосигурителните разходи – с </w:t>
      </w:r>
      <w:r w:rsidR="004B424B" w:rsidRPr="004B424B">
        <w:rPr>
          <w:bCs/>
        </w:rPr>
        <w:t>1,9</w:t>
      </w:r>
      <w:r w:rsidRPr="004B424B">
        <w:rPr>
          <w:bCs/>
        </w:rPr>
        <w:t xml:space="preserve"> % (</w:t>
      </w:r>
      <w:r w:rsidR="004B424B" w:rsidRPr="004B424B">
        <w:rPr>
          <w:bCs/>
        </w:rPr>
        <w:t>261,4</w:t>
      </w:r>
      <w:r w:rsidRPr="004B424B">
        <w:rPr>
          <w:bCs/>
        </w:rPr>
        <w:t xml:space="preserve"> млн. лв.) спрямо отчетените за 201</w:t>
      </w:r>
      <w:r w:rsidR="004B424B" w:rsidRPr="004B424B">
        <w:rPr>
          <w:bCs/>
        </w:rPr>
        <w:t>4</w:t>
      </w:r>
      <w:r w:rsidRPr="004B424B">
        <w:rPr>
          <w:bCs/>
        </w:rPr>
        <w:t xml:space="preserve"> година</w:t>
      </w:r>
      <w:r w:rsidRPr="00035629">
        <w:rPr>
          <w:bCs/>
        </w:rPr>
        <w:t>.</w:t>
      </w:r>
      <w:r w:rsidRPr="00035629">
        <w:rPr>
          <w:bCs/>
          <w:lang w:val="en-US"/>
        </w:rPr>
        <w:t xml:space="preserve"> </w:t>
      </w:r>
      <w:r w:rsidRPr="00035629">
        <w:t xml:space="preserve">В структурно отношение социалните и здравноосигурителните разходи са с най-висок относителен дял </w:t>
      </w:r>
      <w:r w:rsidRPr="00946406">
        <w:t>(</w:t>
      </w:r>
      <w:r w:rsidR="007B0DB3" w:rsidRPr="00946406">
        <w:t>41</w:t>
      </w:r>
      <w:r w:rsidR="00502008" w:rsidRPr="00946406">
        <w:t>,</w:t>
      </w:r>
      <w:r w:rsidR="007B0DB3" w:rsidRPr="00946406">
        <w:t>0</w:t>
      </w:r>
      <w:r w:rsidRPr="00035629">
        <w:t xml:space="preserve"> %) в общите разходи по КФП (без вноската в бюджета на ЕС). </w:t>
      </w:r>
    </w:p>
    <w:p w:rsidR="00201151" w:rsidRDefault="00201151" w:rsidP="00201151">
      <w:pPr>
        <w:tabs>
          <w:tab w:val="left" w:pos="1080"/>
        </w:tabs>
        <w:autoSpaceDE w:val="0"/>
        <w:autoSpaceDN w:val="0"/>
        <w:adjustRightInd w:val="0"/>
        <w:ind w:left="720"/>
        <w:jc w:val="both"/>
        <w:rPr>
          <w:color w:val="0070C0"/>
          <w:lang w:val="en-US"/>
        </w:rPr>
      </w:pPr>
    </w:p>
    <w:p w:rsidR="005E0347" w:rsidRDefault="005E0347" w:rsidP="00201151">
      <w:pPr>
        <w:tabs>
          <w:tab w:val="left" w:pos="1080"/>
        </w:tabs>
        <w:autoSpaceDE w:val="0"/>
        <w:autoSpaceDN w:val="0"/>
        <w:adjustRightInd w:val="0"/>
        <w:ind w:left="720"/>
        <w:jc w:val="both"/>
        <w:rPr>
          <w:color w:val="0070C0"/>
          <w:lang w:val="en-US"/>
        </w:rPr>
      </w:pPr>
    </w:p>
    <w:p w:rsidR="005E0347" w:rsidRDefault="005E0347" w:rsidP="00201151">
      <w:pPr>
        <w:tabs>
          <w:tab w:val="left" w:pos="1080"/>
        </w:tabs>
        <w:autoSpaceDE w:val="0"/>
        <w:autoSpaceDN w:val="0"/>
        <w:adjustRightInd w:val="0"/>
        <w:ind w:left="720"/>
        <w:jc w:val="both"/>
        <w:rPr>
          <w:color w:val="0070C0"/>
          <w:lang w:val="en-US"/>
        </w:rPr>
      </w:pPr>
    </w:p>
    <w:p w:rsidR="00FA4A95" w:rsidRDefault="00FA4A95" w:rsidP="00201151">
      <w:pPr>
        <w:tabs>
          <w:tab w:val="left" w:pos="1080"/>
        </w:tabs>
        <w:autoSpaceDE w:val="0"/>
        <w:autoSpaceDN w:val="0"/>
        <w:adjustRightInd w:val="0"/>
        <w:ind w:left="720"/>
        <w:jc w:val="both"/>
        <w:rPr>
          <w:color w:val="0070C0"/>
          <w:lang w:val="en-US"/>
        </w:rPr>
      </w:pPr>
    </w:p>
    <w:p w:rsidR="00FA4A95" w:rsidRDefault="00FA4A95" w:rsidP="00201151">
      <w:pPr>
        <w:tabs>
          <w:tab w:val="left" w:pos="1080"/>
        </w:tabs>
        <w:autoSpaceDE w:val="0"/>
        <w:autoSpaceDN w:val="0"/>
        <w:adjustRightInd w:val="0"/>
        <w:ind w:left="720"/>
        <w:jc w:val="both"/>
        <w:rPr>
          <w:color w:val="0070C0"/>
          <w:lang w:val="en-US"/>
        </w:rPr>
      </w:pPr>
    </w:p>
    <w:p w:rsidR="00FA4A95" w:rsidRDefault="00FA4A95" w:rsidP="00201151">
      <w:pPr>
        <w:tabs>
          <w:tab w:val="left" w:pos="1080"/>
        </w:tabs>
        <w:autoSpaceDE w:val="0"/>
        <w:autoSpaceDN w:val="0"/>
        <w:adjustRightInd w:val="0"/>
        <w:ind w:left="720"/>
        <w:jc w:val="both"/>
        <w:rPr>
          <w:color w:val="0070C0"/>
          <w:lang w:val="en-US"/>
        </w:rPr>
      </w:pPr>
    </w:p>
    <w:p w:rsidR="00FA4A95" w:rsidRDefault="00FA4A95" w:rsidP="00201151">
      <w:pPr>
        <w:tabs>
          <w:tab w:val="left" w:pos="1080"/>
        </w:tabs>
        <w:autoSpaceDE w:val="0"/>
        <w:autoSpaceDN w:val="0"/>
        <w:adjustRightInd w:val="0"/>
        <w:ind w:left="720"/>
        <w:jc w:val="both"/>
        <w:rPr>
          <w:color w:val="0070C0"/>
          <w:lang w:val="en-US"/>
        </w:rPr>
      </w:pPr>
    </w:p>
    <w:p w:rsidR="005E0347" w:rsidRDefault="005E0347" w:rsidP="00201151">
      <w:pPr>
        <w:tabs>
          <w:tab w:val="left" w:pos="1080"/>
        </w:tabs>
        <w:autoSpaceDE w:val="0"/>
        <w:autoSpaceDN w:val="0"/>
        <w:adjustRightInd w:val="0"/>
        <w:ind w:left="720"/>
        <w:jc w:val="both"/>
        <w:rPr>
          <w:color w:val="0070C0"/>
          <w:lang w:val="en-US"/>
        </w:rPr>
      </w:pPr>
    </w:p>
    <w:p w:rsidR="005E0347" w:rsidRDefault="005E0347" w:rsidP="00201151">
      <w:pPr>
        <w:tabs>
          <w:tab w:val="left" w:pos="1080"/>
        </w:tabs>
        <w:autoSpaceDE w:val="0"/>
        <w:autoSpaceDN w:val="0"/>
        <w:adjustRightInd w:val="0"/>
        <w:ind w:left="720"/>
        <w:jc w:val="both"/>
        <w:rPr>
          <w:color w:val="0070C0"/>
          <w:lang w:val="en-US"/>
        </w:rPr>
      </w:pPr>
    </w:p>
    <w:p w:rsidR="005E0347" w:rsidRDefault="005E0347" w:rsidP="00201151">
      <w:pPr>
        <w:tabs>
          <w:tab w:val="left" w:pos="1080"/>
        </w:tabs>
        <w:autoSpaceDE w:val="0"/>
        <w:autoSpaceDN w:val="0"/>
        <w:adjustRightInd w:val="0"/>
        <w:ind w:left="720"/>
        <w:jc w:val="both"/>
        <w:rPr>
          <w:color w:val="0070C0"/>
          <w:lang w:val="en-US"/>
        </w:rPr>
      </w:pPr>
    </w:p>
    <w:p w:rsidR="005E0347" w:rsidRPr="00EC33FC" w:rsidRDefault="005E0347" w:rsidP="00201151">
      <w:pPr>
        <w:tabs>
          <w:tab w:val="left" w:pos="1080"/>
        </w:tabs>
        <w:autoSpaceDE w:val="0"/>
        <w:autoSpaceDN w:val="0"/>
        <w:adjustRightInd w:val="0"/>
        <w:ind w:left="720"/>
        <w:jc w:val="both"/>
        <w:rPr>
          <w:color w:val="0070C0"/>
          <w:lang w:val="en-US"/>
        </w:rPr>
      </w:pPr>
    </w:p>
    <w:p w:rsidR="005328CD" w:rsidRPr="001F6421" w:rsidRDefault="005328CD" w:rsidP="005328CD">
      <w:pPr>
        <w:tabs>
          <w:tab w:val="left" w:pos="1080"/>
        </w:tabs>
        <w:autoSpaceDE w:val="0"/>
        <w:autoSpaceDN w:val="0"/>
        <w:adjustRightInd w:val="0"/>
        <w:jc w:val="both"/>
        <w:rPr>
          <w:color w:val="0070C0"/>
          <w:sz w:val="8"/>
          <w:szCs w:val="8"/>
        </w:rPr>
      </w:pPr>
    </w:p>
    <w:p w:rsidR="005328CD" w:rsidRPr="00390E9A" w:rsidRDefault="005328CD" w:rsidP="005328CD">
      <w:pPr>
        <w:tabs>
          <w:tab w:val="left" w:pos="720"/>
        </w:tabs>
        <w:ind w:firstLine="540"/>
        <w:jc w:val="center"/>
        <w:rPr>
          <w:b/>
          <w:i/>
          <w:noProof/>
          <w:lang w:val="en-US"/>
        </w:rPr>
      </w:pPr>
      <w:r w:rsidRPr="00390E9A">
        <w:rPr>
          <w:b/>
          <w:i/>
          <w:noProof/>
        </w:rPr>
        <w:lastRenderedPageBreak/>
        <w:t>Разходи по икономически елементи за 201</w:t>
      </w:r>
      <w:r w:rsidR="00390E9A" w:rsidRPr="00390E9A">
        <w:rPr>
          <w:b/>
          <w:i/>
          <w:noProof/>
          <w:lang w:val="en-US"/>
        </w:rPr>
        <w:t>4</w:t>
      </w:r>
      <w:r w:rsidRPr="00390E9A">
        <w:rPr>
          <w:b/>
          <w:i/>
          <w:noProof/>
        </w:rPr>
        <w:t xml:space="preserve"> г. и 201</w:t>
      </w:r>
      <w:r w:rsidR="00390E9A" w:rsidRPr="00390E9A">
        <w:rPr>
          <w:b/>
          <w:i/>
          <w:noProof/>
          <w:lang w:val="en-US"/>
        </w:rPr>
        <w:t>5</w:t>
      </w:r>
      <w:r w:rsidRPr="00390E9A">
        <w:rPr>
          <w:b/>
          <w:i/>
          <w:noProof/>
        </w:rPr>
        <w:t xml:space="preserve"> г. отнесени към БВП</w:t>
      </w:r>
    </w:p>
    <w:p w:rsidR="00201151" w:rsidRPr="001F6421" w:rsidRDefault="00201151" w:rsidP="005328CD">
      <w:pPr>
        <w:tabs>
          <w:tab w:val="left" w:pos="720"/>
        </w:tabs>
        <w:ind w:firstLine="540"/>
        <w:jc w:val="center"/>
        <w:rPr>
          <w:b/>
          <w:i/>
          <w:noProof/>
          <w:color w:val="0070C0"/>
          <w:lang w:val="en-US"/>
        </w:rPr>
      </w:pPr>
    </w:p>
    <w:p w:rsidR="005328CD" w:rsidRPr="001F6421" w:rsidRDefault="005328CD" w:rsidP="005328CD">
      <w:pPr>
        <w:tabs>
          <w:tab w:val="left" w:pos="720"/>
        </w:tabs>
        <w:ind w:firstLine="540"/>
        <w:jc w:val="center"/>
        <w:rPr>
          <w:color w:val="0070C0"/>
          <w:sz w:val="8"/>
          <w:szCs w:val="8"/>
        </w:rPr>
      </w:pPr>
    </w:p>
    <w:p w:rsidR="005328CD" w:rsidRPr="001F6421" w:rsidRDefault="00D37B0F" w:rsidP="005328CD">
      <w:pPr>
        <w:jc w:val="both"/>
        <w:rPr>
          <w:color w:val="0070C0"/>
          <w:sz w:val="10"/>
          <w:szCs w:val="10"/>
        </w:rPr>
      </w:pPr>
      <w:r>
        <w:rPr>
          <w:noProof/>
        </w:rPr>
        <w:drawing>
          <wp:inline distT="0" distB="0" distL="0" distR="0" wp14:anchorId="281CFBFB" wp14:editId="7AFB832D">
            <wp:extent cx="5847080" cy="3103880"/>
            <wp:effectExtent l="0" t="0" r="20320" b="20320"/>
            <wp:docPr id="10" name="Picture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328CD" w:rsidRPr="001F6421" w:rsidRDefault="005328CD" w:rsidP="005328CD">
      <w:pPr>
        <w:jc w:val="both"/>
        <w:rPr>
          <w:color w:val="0070C0"/>
          <w:sz w:val="10"/>
          <w:szCs w:val="10"/>
        </w:rPr>
      </w:pPr>
    </w:p>
    <w:p w:rsidR="005328CD" w:rsidRPr="001F6421" w:rsidRDefault="005328CD" w:rsidP="005328CD">
      <w:pPr>
        <w:jc w:val="both"/>
        <w:rPr>
          <w:color w:val="0070C0"/>
          <w:sz w:val="10"/>
          <w:szCs w:val="10"/>
        </w:rPr>
      </w:pPr>
    </w:p>
    <w:p w:rsidR="005328CD" w:rsidRPr="001F6421" w:rsidRDefault="005328CD" w:rsidP="005328CD">
      <w:pPr>
        <w:jc w:val="both"/>
        <w:rPr>
          <w:color w:val="0070C0"/>
          <w:sz w:val="10"/>
          <w:szCs w:val="10"/>
        </w:rPr>
      </w:pPr>
    </w:p>
    <w:p w:rsidR="00201151" w:rsidRDefault="00201151" w:rsidP="00201151">
      <w:pPr>
        <w:ind w:left="360"/>
        <w:jc w:val="both"/>
        <w:rPr>
          <w:color w:val="0070C0"/>
        </w:rPr>
      </w:pPr>
    </w:p>
    <w:p w:rsidR="009B6F7E" w:rsidRPr="001F6421" w:rsidRDefault="009B6F7E" w:rsidP="00201151">
      <w:pPr>
        <w:ind w:left="360"/>
        <w:jc w:val="both"/>
        <w:rPr>
          <w:color w:val="0070C0"/>
        </w:rPr>
      </w:pPr>
    </w:p>
    <w:p w:rsidR="005328CD" w:rsidRPr="00FF13FA" w:rsidRDefault="005328CD" w:rsidP="00781B85">
      <w:pPr>
        <w:numPr>
          <w:ilvl w:val="0"/>
          <w:numId w:val="5"/>
        </w:numPr>
        <w:tabs>
          <w:tab w:val="clear" w:pos="1440"/>
          <w:tab w:val="num" w:pos="540"/>
        </w:tabs>
        <w:ind w:left="0" w:firstLine="360"/>
        <w:jc w:val="both"/>
      </w:pPr>
      <w:r w:rsidRPr="00FF13FA">
        <w:rPr>
          <w:b/>
        </w:rPr>
        <w:t>Разходите по КФП, разгледани по функционален признак,</w:t>
      </w:r>
      <w:r w:rsidRPr="00FF13FA">
        <w:t xml:space="preserve"> отразяват основните направления </w:t>
      </w:r>
      <w:r w:rsidR="005A4423" w:rsidRPr="00FF13FA">
        <w:t xml:space="preserve">и приоритети </w:t>
      </w:r>
      <w:r w:rsidRPr="00FF13FA">
        <w:t xml:space="preserve">в </w:t>
      </w:r>
      <w:r w:rsidR="005A4423" w:rsidRPr="00FF13FA">
        <w:t xml:space="preserve">секторните </w:t>
      </w:r>
      <w:r w:rsidRPr="00FF13FA">
        <w:t xml:space="preserve">политиката </w:t>
      </w:r>
      <w:r w:rsidR="005A4423" w:rsidRPr="00FF13FA">
        <w:t xml:space="preserve">през </w:t>
      </w:r>
      <w:r w:rsidRPr="00FF13FA">
        <w:t>201</w:t>
      </w:r>
      <w:r w:rsidR="00FF13FA" w:rsidRPr="00FF13FA">
        <w:rPr>
          <w:lang w:val="en-US"/>
        </w:rPr>
        <w:t>5</w:t>
      </w:r>
      <w:r w:rsidRPr="00FF13FA">
        <w:t xml:space="preserve"> г. </w:t>
      </w:r>
    </w:p>
    <w:p w:rsidR="00193609" w:rsidRPr="007C32AE" w:rsidRDefault="00193609" w:rsidP="00193609">
      <w:pPr>
        <w:ind w:firstLine="7740"/>
        <w:jc w:val="right"/>
        <w:rPr>
          <w:b/>
          <w:sz w:val="18"/>
          <w:szCs w:val="18"/>
        </w:rPr>
      </w:pPr>
    </w:p>
    <w:tbl>
      <w:tblPr>
        <w:tblW w:w="9540" w:type="dxa"/>
        <w:tblInd w:w="70" w:type="dxa"/>
        <w:tblCellMar>
          <w:left w:w="70" w:type="dxa"/>
          <w:right w:w="70" w:type="dxa"/>
        </w:tblCellMar>
        <w:tblLook w:val="04A0" w:firstRow="1" w:lastRow="0" w:firstColumn="1" w:lastColumn="0" w:noHBand="0" w:noVBand="1"/>
      </w:tblPr>
      <w:tblGrid>
        <w:gridCol w:w="3889"/>
        <w:gridCol w:w="947"/>
        <w:gridCol w:w="1075"/>
        <w:gridCol w:w="929"/>
        <w:gridCol w:w="900"/>
        <w:gridCol w:w="955"/>
        <w:gridCol w:w="845"/>
      </w:tblGrid>
      <w:tr w:rsidR="00FF13FA" w:rsidRPr="00FF13FA" w:rsidTr="00FF13FA">
        <w:trPr>
          <w:trHeight w:val="285"/>
        </w:trPr>
        <w:tc>
          <w:tcPr>
            <w:tcW w:w="3889" w:type="dxa"/>
            <w:tcBorders>
              <w:top w:val="double" w:sz="6" w:space="0" w:color="800000"/>
              <w:left w:val="double" w:sz="6" w:space="0" w:color="800000"/>
              <w:bottom w:val="single" w:sz="8" w:space="0" w:color="800000"/>
              <w:right w:val="single" w:sz="8" w:space="0" w:color="FFFFFF"/>
            </w:tcBorders>
            <w:shd w:val="clear" w:color="auto" w:fill="800000"/>
            <w:noWrap/>
            <w:vAlign w:val="bottom"/>
            <w:hideMark/>
          </w:tcPr>
          <w:p w:rsidR="00FF13FA" w:rsidRPr="00FF13FA" w:rsidRDefault="00FF13FA" w:rsidP="00FF13FA">
            <w:pPr>
              <w:rPr>
                <w:rFonts w:ascii="Arial" w:hAnsi="Arial" w:cs="Arial"/>
                <w:color w:val="FFFFFF"/>
                <w:sz w:val="20"/>
                <w:szCs w:val="20"/>
              </w:rPr>
            </w:pPr>
            <w:r w:rsidRPr="00FF13FA">
              <w:rPr>
                <w:rFonts w:ascii="Arial" w:hAnsi="Arial" w:cs="Arial"/>
                <w:color w:val="FFFFFF"/>
                <w:sz w:val="20"/>
                <w:szCs w:val="20"/>
              </w:rPr>
              <w:t> </w:t>
            </w:r>
          </w:p>
        </w:tc>
        <w:tc>
          <w:tcPr>
            <w:tcW w:w="2951" w:type="dxa"/>
            <w:gridSpan w:val="3"/>
            <w:tcBorders>
              <w:top w:val="double" w:sz="6" w:space="0" w:color="800000"/>
              <w:left w:val="nil"/>
              <w:bottom w:val="single" w:sz="8" w:space="0" w:color="FFFFFF"/>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млн. лв.</w:t>
            </w:r>
          </w:p>
        </w:tc>
        <w:tc>
          <w:tcPr>
            <w:tcW w:w="2700" w:type="dxa"/>
            <w:gridSpan w:val="3"/>
            <w:tcBorders>
              <w:top w:val="double" w:sz="6" w:space="0" w:color="800000"/>
              <w:left w:val="nil"/>
              <w:bottom w:val="single" w:sz="8" w:space="0" w:color="FFFFFF"/>
              <w:right w:val="double" w:sz="6" w:space="0" w:color="800000"/>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 от БВП</w:t>
            </w:r>
          </w:p>
        </w:tc>
      </w:tr>
      <w:tr w:rsidR="00FF13FA" w:rsidRPr="00FF13FA" w:rsidTr="00FF13FA">
        <w:trPr>
          <w:trHeight w:val="285"/>
        </w:trPr>
        <w:tc>
          <w:tcPr>
            <w:tcW w:w="3889" w:type="dxa"/>
            <w:tcBorders>
              <w:top w:val="nil"/>
              <w:left w:val="double" w:sz="6" w:space="0" w:color="800000"/>
              <w:bottom w:val="single" w:sz="8" w:space="0" w:color="800000"/>
              <w:right w:val="single" w:sz="8" w:space="0" w:color="FFFFFF"/>
            </w:tcBorders>
            <w:shd w:val="clear" w:color="auto" w:fill="800000"/>
            <w:hideMark/>
          </w:tcPr>
          <w:p w:rsidR="00FF13FA" w:rsidRPr="00FF13FA" w:rsidRDefault="00FF13FA" w:rsidP="00FF13FA">
            <w:pPr>
              <w:jc w:val="center"/>
              <w:rPr>
                <w:rFonts w:ascii="Arial" w:hAnsi="Arial" w:cs="Arial"/>
                <w:color w:val="FFFFFF"/>
                <w:sz w:val="20"/>
                <w:szCs w:val="20"/>
                <w:u w:val="single"/>
              </w:rPr>
            </w:pPr>
            <w:r w:rsidRPr="00FF13FA">
              <w:rPr>
                <w:b/>
                <w:bCs/>
                <w:color w:val="FFFFFF"/>
                <w:sz w:val="18"/>
                <w:szCs w:val="18"/>
              </w:rPr>
              <w:t>РАЗХОДИ ПО ФУНКЦИИ</w:t>
            </w:r>
            <w:r w:rsidRPr="00FF13FA">
              <w:rPr>
                <w:b/>
                <w:bCs/>
                <w:color w:val="FFFFFF"/>
                <w:sz w:val="18"/>
                <w:szCs w:val="18"/>
                <w:vertAlign w:val="superscript"/>
              </w:rPr>
              <w:footnoteReference w:id="21"/>
            </w:r>
          </w:p>
        </w:tc>
        <w:tc>
          <w:tcPr>
            <w:tcW w:w="947" w:type="dxa"/>
            <w:tcBorders>
              <w:top w:val="nil"/>
              <w:left w:val="nil"/>
              <w:bottom w:val="single" w:sz="8" w:space="0" w:color="800000"/>
              <w:right w:val="single" w:sz="8" w:space="0" w:color="FFFFFF"/>
            </w:tcBorders>
            <w:shd w:val="clear" w:color="auto" w:fill="800000"/>
            <w:noWrap/>
            <w:vAlign w:val="bottom"/>
            <w:hideMark/>
          </w:tcPr>
          <w:p w:rsidR="00FF13FA" w:rsidRPr="00FF13FA" w:rsidRDefault="00FF13FA" w:rsidP="00FF13FA">
            <w:pPr>
              <w:jc w:val="center"/>
              <w:rPr>
                <w:color w:val="FFFFFF"/>
                <w:sz w:val="20"/>
                <w:szCs w:val="20"/>
                <w:u w:val="single"/>
              </w:rPr>
            </w:pPr>
            <w:r w:rsidRPr="00FF13FA">
              <w:rPr>
                <w:b/>
                <w:bCs/>
                <w:color w:val="FFFFFF"/>
                <w:sz w:val="18"/>
                <w:szCs w:val="18"/>
              </w:rPr>
              <w:footnoteReference w:customMarkFollows="1" w:id="22"/>
              <w:t>Отчет</w:t>
            </w:r>
          </w:p>
        </w:tc>
        <w:tc>
          <w:tcPr>
            <w:tcW w:w="1075" w:type="dxa"/>
            <w:tcBorders>
              <w:top w:val="nil"/>
              <w:left w:val="nil"/>
              <w:bottom w:val="single" w:sz="8" w:space="0" w:color="800000"/>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vertAlign w:val="superscript"/>
              </w:rPr>
            </w:pPr>
            <w:r w:rsidRPr="00FF13FA">
              <w:rPr>
                <w:b/>
                <w:bCs/>
                <w:color w:val="FFFFFF"/>
                <w:sz w:val="18"/>
                <w:szCs w:val="18"/>
              </w:rPr>
              <w:t>Програма</w:t>
            </w:r>
            <w:r w:rsidRPr="00FF13FA">
              <w:rPr>
                <w:b/>
                <w:bCs/>
                <w:color w:val="FFFFFF"/>
                <w:sz w:val="18"/>
                <w:szCs w:val="18"/>
                <w:vertAlign w:val="superscript"/>
              </w:rPr>
              <w:footnoteReference w:id="23"/>
            </w:r>
          </w:p>
        </w:tc>
        <w:tc>
          <w:tcPr>
            <w:tcW w:w="929" w:type="dxa"/>
            <w:tcBorders>
              <w:top w:val="nil"/>
              <w:left w:val="nil"/>
              <w:bottom w:val="single" w:sz="8" w:space="0" w:color="800000"/>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 xml:space="preserve">Отчет </w:t>
            </w:r>
          </w:p>
        </w:tc>
        <w:tc>
          <w:tcPr>
            <w:tcW w:w="900" w:type="dxa"/>
            <w:tcBorders>
              <w:top w:val="nil"/>
              <w:left w:val="nil"/>
              <w:bottom w:val="single" w:sz="8" w:space="0" w:color="800000"/>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 xml:space="preserve">Отчет </w:t>
            </w:r>
          </w:p>
        </w:tc>
        <w:tc>
          <w:tcPr>
            <w:tcW w:w="955" w:type="dxa"/>
            <w:tcBorders>
              <w:top w:val="nil"/>
              <w:left w:val="nil"/>
              <w:bottom w:val="single" w:sz="8" w:space="0" w:color="800000"/>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Програма</w:t>
            </w:r>
          </w:p>
        </w:tc>
        <w:tc>
          <w:tcPr>
            <w:tcW w:w="845" w:type="dxa"/>
            <w:tcBorders>
              <w:top w:val="nil"/>
              <w:left w:val="nil"/>
              <w:bottom w:val="single" w:sz="8" w:space="0" w:color="800000"/>
              <w:right w:val="double" w:sz="6" w:space="0" w:color="800000"/>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 xml:space="preserve">Отчет </w:t>
            </w:r>
          </w:p>
        </w:tc>
      </w:tr>
      <w:tr w:rsidR="00FF13FA" w:rsidRPr="00FF13FA" w:rsidTr="00FF13FA">
        <w:trPr>
          <w:trHeight w:val="270"/>
        </w:trPr>
        <w:tc>
          <w:tcPr>
            <w:tcW w:w="3889" w:type="dxa"/>
            <w:tcBorders>
              <w:top w:val="nil"/>
              <w:left w:val="double" w:sz="6" w:space="0" w:color="800000"/>
              <w:bottom w:val="double" w:sz="6" w:space="0" w:color="800000"/>
              <w:right w:val="single" w:sz="8" w:space="0" w:color="FFFFFF"/>
            </w:tcBorders>
            <w:shd w:val="clear" w:color="auto" w:fill="800000"/>
            <w:noWrap/>
            <w:vAlign w:val="bottom"/>
            <w:hideMark/>
          </w:tcPr>
          <w:p w:rsidR="00FF13FA" w:rsidRPr="00FF13FA" w:rsidRDefault="00FF13FA" w:rsidP="00FF13FA">
            <w:pPr>
              <w:rPr>
                <w:rFonts w:ascii="Arial" w:hAnsi="Arial" w:cs="Arial"/>
                <w:color w:val="FFFFFF"/>
                <w:sz w:val="20"/>
                <w:szCs w:val="20"/>
              </w:rPr>
            </w:pPr>
            <w:r w:rsidRPr="00FF13FA">
              <w:rPr>
                <w:rFonts w:ascii="Arial" w:hAnsi="Arial" w:cs="Arial"/>
                <w:color w:val="FFFFFF"/>
                <w:sz w:val="20"/>
                <w:szCs w:val="20"/>
              </w:rPr>
              <w:t> </w:t>
            </w:r>
          </w:p>
        </w:tc>
        <w:tc>
          <w:tcPr>
            <w:tcW w:w="947" w:type="dxa"/>
            <w:tcBorders>
              <w:top w:val="nil"/>
              <w:left w:val="nil"/>
              <w:bottom w:val="double" w:sz="6" w:space="0" w:color="800000"/>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201</w:t>
            </w:r>
            <w:r w:rsidRPr="00FF13FA">
              <w:rPr>
                <w:b/>
                <w:bCs/>
                <w:color w:val="FFFFFF"/>
                <w:sz w:val="18"/>
                <w:szCs w:val="18"/>
                <w:lang w:val="en-US"/>
              </w:rPr>
              <w:t>4</w:t>
            </w:r>
            <w:r w:rsidRPr="00FF13FA">
              <w:rPr>
                <w:b/>
                <w:bCs/>
                <w:color w:val="FFFFFF"/>
                <w:sz w:val="18"/>
                <w:szCs w:val="18"/>
              </w:rPr>
              <w:t xml:space="preserve"> г.</w:t>
            </w:r>
          </w:p>
        </w:tc>
        <w:tc>
          <w:tcPr>
            <w:tcW w:w="1075" w:type="dxa"/>
            <w:tcBorders>
              <w:top w:val="nil"/>
              <w:left w:val="nil"/>
              <w:bottom w:val="double" w:sz="6" w:space="0" w:color="800000"/>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201</w:t>
            </w:r>
            <w:r w:rsidRPr="00FF13FA">
              <w:rPr>
                <w:b/>
                <w:bCs/>
                <w:color w:val="FFFFFF"/>
                <w:sz w:val="18"/>
                <w:szCs w:val="18"/>
                <w:lang w:val="en-US"/>
              </w:rPr>
              <w:t>5</w:t>
            </w:r>
            <w:r w:rsidRPr="00FF13FA">
              <w:rPr>
                <w:b/>
                <w:bCs/>
                <w:color w:val="FFFFFF"/>
                <w:sz w:val="18"/>
                <w:szCs w:val="18"/>
              </w:rPr>
              <w:t xml:space="preserve"> г.</w:t>
            </w:r>
          </w:p>
        </w:tc>
        <w:tc>
          <w:tcPr>
            <w:tcW w:w="929" w:type="dxa"/>
            <w:tcBorders>
              <w:top w:val="nil"/>
              <w:left w:val="nil"/>
              <w:bottom w:val="double" w:sz="6" w:space="0" w:color="800000"/>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201</w:t>
            </w:r>
            <w:r w:rsidRPr="00FF13FA">
              <w:rPr>
                <w:b/>
                <w:bCs/>
                <w:color w:val="FFFFFF"/>
                <w:sz w:val="18"/>
                <w:szCs w:val="18"/>
                <w:lang w:val="en-US"/>
              </w:rPr>
              <w:t>5</w:t>
            </w:r>
            <w:r w:rsidRPr="00FF13FA">
              <w:rPr>
                <w:b/>
                <w:bCs/>
                <w:color w:val="FFFFFF"/>
                <w:sz w:val="18"/>
                <w:szCs w:val="18"/>
              </w:rPr>
              <w:t xml:space="preserve"> г.</w:t>
            </w:r>
          </w:p>
        </w:tc>
        <w:tc>
          <w:tcPr>
            <w:tcW w:w="900" w:type="dxa"/>
            <w:tcBorders>
              <w:top w:val="nil"/>
              <w:left w:val="nil"/>
              <w:bottom w:val="double" w:sz="6" w:space="0" w:color="800000"/>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201</w:t>
            </w:r>
            <w:r w:rsidRPr="00FF13FA">
              <w:rPr>
                <w:b/>
                <w:bCs/>
                <w:color w:val="FFFFFF"/>
                <w:sz w:val="18"/>
                <w:szCs w:val="18"/>
                <w:lang w:val="en-US"/>
              </w:rPr>
              <w:t>4</w:t>
            </w:r>
            <w:r w:rsidRPr="00FF13FA">
              <w:rPr>
                <w:b/>
                <w:bCs/>
                <w:color w:val="FFFFFF"/>
                <w:sz w:val="18"/>
                <w:szCs w:val="18"/>
              </w:rPr>
              <w:t xml:space="preserve"> г.</w:t>
            </w:r>
          </w:p>
        </w:tc>
        <w:tc>
          <w:tcPr>
            <w:tcW w:w="955" w:type="dxa"/>
            <w:tcBorders>
              <w:top w:val="nil"/>
              <w:left w:val="nil"/>
              <w:bottom w:val="double" w:sz="6" w:space="0" w:color="800000"/>
              <w:right w:val="single" w:sz="8" w:space="0" w:color="FFFFFF"/>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201</w:t>
            </w:r>
            <w:r w:rsidRPr="00FF13FA">
              <w:rPr>
                <w:b/>
                <w:bCs/>
                <w:color w:val="FFFFFF"/>
                <w:sz w:val="18"/>
                <w:szCs w:val="18"/>
                <w:lang w:val="en-US"/>
              </w:rPr>
              <w:t>5</w:t>
            </w:r>
            <w:r w:rsidRPr="00FF13FA">
              <w:rPr>
                <w:b/>
                <w:bCs/>
                <w:color w:val="FFFFFF"/>
                <w:sz w:val="18"/>
                <w:szCs w:val="18"/>
              </w:rPr>
              <w:t xml:space="preserve"> г.</w:t>
            </w:r>
          </w:p>
        </w:tc>
        <w:tc>
          <w:tcPr>
            <w:tcW w:w="845" w:type="dxa"/>
            <w:tcBorders>
              <w:top w:val="nil"/>
              <w:left w:val="nil"/>
              <w:bottom w:val="double" w:sz="6" w:space="0" w:color="800000"/>
              <w:right w:val="double" w:sz="6" w:space="0" w:color="800000"/>
            </w:tcBorders>
            <w:shd w:val="clear" w:color="auto" w:fill="800000"/>
            <w:noWrap/>
            <w:vAlign w:val="bottom"/>
            <w:hideMark/>
          </w:tcPr>
          <w:p w:rsidR="00FF13FA" w:rsidRPr="00FF13FA" w:rsidRDefault="00FF13FA" w:rsidP="00FF13FA">
            <w:pPr>
              <w:jc w:val="center"/>
              <w:rPr>
                <w:b/>
                <w:bCs/>
                <w:color w:val="FFFFFF"/>
                <w:sz w:val="18"/>
                <w:szCs w:val="18"/>
              </w:rPr>
            </w:pPr>
            <w:r w:rsidRPr="00FF13FA">
              <w:rPr>
                <w:b/>
                <w:bCs/>
                <w:color w:val="FFFFFF"/>
                <w:sz w:val="18"/>
                <w:szCs w:val="18"/>
              </w:rPr>
              <w:t>201</w:t>
            </w:r>
            <w:r w:rsidRPr="00FF13FA">
              <w:rPr>
                <w:b/>
                <w:bCs/>
                <w:color w:val="FFFFFF"/>
                <w:sz w:val="18"/>
                <w:szCs w:val="18"/>
                <w:lang w:val="en-US"/>
              </w:rPr>
              <w:t>5</w:t>
            </w:r>
            <w:r w:rsidRPr="00FF13FA">
              <w:rPr>
                <w:b/>
                <w:bCs/>
                <w:color w:val="FFFFFF"/>
                <w:sz w:val="18"/>
                <w:szCs w:val="18"/>
              </w:rPr>
              <w:t xml:space="preserve"> г.</w:t>
            </w:r>
          </w:p>
        </w:tc>
      </w:tr>
      <w:tr w:rsidR="00FF13FA" w:rsidRPr="00FF13FA" w:rsidTr="00FF13FA">
        <w:trPr>
          <w:trHeight w:val="80"/>
        </w:trPr>
        <w:tc>
          <w:tcPr>
            <w:tcW w:w="3889" w:type="dxa"/>
            <w:tcBorders>
              <w:top w:val="nil"/>
              <w:left w:val="double" w:sz="6" w:space="0" w:color="800000"/>
              <w:bottom w:val="nil"/>
              <w:right w:val="single" w:sz="8" w:space="0" w:color="800000"/>
            </w:tcBorders>
            <w:shd w:val="clear" w:color="auto" w:fill="FFFFCC"/>
            <w:noWrap/>
            <w:vAlign w:val="bottom"/>
            <w:hideMark/>
          </w:tcPr>
          <w:p w:rsidR="00FF13FA" w:rsidRPr="00FF13FA" w:rsidRDefault="00FF13FA" w:rsidP="00FF13FA">
            <w:pPr>
              <w:rPr>
                <w:rFonts w:ascii="Arial" w:hAnsi="Arial" w:cs="Arial"/>
                <w:color w:val="0070C0"/>
                <w:sz w:val="4"/>
                <w:szCs w:val="4"/>
              </w:rPr>
            </w:pPr>
            <w:r w:rsidRPr="00FF13FA">
              <w:rPr>
                <w:rFonts w:ascii="Arial" w:hAnsi="Arial" w:cs="Arial"/>
                <w:color w:val="0070C0"/>
                <w:sz w:val="4"/>
                <w:szCs w:val="4"/>
              </w:rPr>
              <w:t> </w:t>
            </w:r>
          </w:p>
        </w:tc>
        <w:tc>
          <w:tcPr>
            <w:tcW w:w="947" w:type="dxa"/>
            <w:tcBorders>
              <w:top w:val="nil"/>
              <w:left w:val="nil"/>
              <w:bottom w:val="nil"/>
              <w:right w:val="single" w:sz="8" w:space="0" w:color="800000"/>
            </w:tcBorders>
            <w:shd w:val="clear" w:color="auto" w:fill="FFFFCC"/>
            <w:noWrap/>
            <w:vAlign w:val="bottom"/>
          </w:tcPr>
          <w:p w:rsidR="00FF13FA" w:rsidRPr="00FF13FA" w:rsidRDefault="00FF13FA" w:rsidP="00FF13FA">
            <w:pPr>
              <w:jc w:val="right"/>
              <w:rPr>
                <w:color w:val="0070C0"/>
                <w:sz w:val="8"/>
                <w:szCs w:val="8"/>
              </w:rPr>
            </w:pPr>
          </w:p>
        </w:tc>
        <w:tc>
          <w:tcPr>
            <w:tcW w:w="1075" w:type="dxa"/>
            <w:tcBorders>
              <w:top w:val="nil"/>
              <w:left w:val="nil"/>
              <w:bottom w:val="nil"/>
              <w:right w:val="single" w:sz="8" w:space="0" w:color="800000"/>
            </w:tcBorders>
            <w:shd w:val="clear" w:color="auto" w:fill="FFFFCC"/>
            <w:noWrap/>
            <w:vAlign w:val="bottom"/>
          </w:tcPr>
          <w:p w:rsidR="00FF13FA" w:rsidRPr="00FF13FA" w:rsidRDefault="00FF13FA" w:rsidP="00FF13FA">
            <w:pPr>
              <w:jc w:val="right"/>
              <w:rPr>
                <w:color w:val="0070C0"/>
                <w:sz w:val="8"/>
                <w:szCs w:val="8"/>
              </w:rPr>
            </w:pPr>
          </w:p>
        </w:tc>
        <w:tc>
          <w:tcPr>
            <w:tcW w:w="929" w:type="dxa"/>
            <w:tcBorders>
              <w:top w:val="nil"/>
              <w:left w:val="nil"/>
              <w:bottom w:val="nil"/>
              <w:right w:val="single" w:sz="8" w:space="0" w:color="800000"/>
            </w:tcBorders>
            <w:shd w:val="clear" w:color="auto" w:fill="FFFFCC"/>
            <w:noWrap/>
            <w:vAlign w:val="bottom"/>
          </w:tcPr>
          <w:p w:rsidR="00FF13FA" w:rsidRPr="00FF13FA" w:rsidRDefault="00FF13FA" w:rsidP="00FF13FA">
            <w:pPr>
              <w:jc w:val="right"/>
              <w:rPr>
                <w:color w:val="0070C0"/>
                <w:sz w:val="8"/>
                <w:szCs w:val="8"/>
              </w:rPr>
            </w:pPr>
          </w:p>
        </w:tc>
        <w:tc>
          <w:tcPr>
            <w:tcW w:w="900" w:type="dxa"/>
            <w:tcBorders>
              <w:top w:val="nil"/>
              <w:left w:val="nil"/>
              <w:bottom w:val="nil"/>
              <w:right w:val="single" w:sz="8" w:space="0" w:color="800000"/>
            </w:tcBorders>
            <w:shd w:val="clear" w:color="auto" w:fill="FFFFCC"/>
            <w:noWrap/>
            <w:vAlign w:val="bottom"/>
          </w:tcPr>
          <w:p w:rsidR="00FF13FA" w:rsidRPr="00FF13FA" w:rsidRDefault="00FF13FA" w:rsidP="00FF13FA">
            <w:pPr>
              <w:jc w:val="right"/>
              <w:rPr>
                <w:color w:val="0070C0"/>
                <w:sz w:val="8"/>
                <w:szCs w:val="8"/>
              </w:rPr>
            </w:pPr>
          </w:p>
        </w:tc>
        <w:tc>
          <w:tcPr>
            <w:tcW w:w="955" w:type="dxa"/>
            <w:tcBorders>
              <w:top w:val="nil"/>
              <w:left w:val="nil"/>
              <w:bottom w:val="nil"/>
              <w:right w:val="single" w:sz="8" w:space="0" w:color="800000"/>
            </w:tcBorders>
            <w:shd w:val="clear" w:color="auto" w:fill="FFFFCC"/>
            <w:noWrap/>
            <w:vAlign w:val="bottom"/>
          </w:tcPr>
          <w:p w:rsidR="00FF13FA" w:rsidRPr="00FF13FA" w:rsidRDefault="00FF13FA" w:rsidP="00FF13FA">
            <w:pPr>
              <w:jc w:val="right"/>
              <w:rPr>
                <w:color w:val="0070C0"/>
                <w:sz w:val="8"/>
                <w:szCs w:val="8"/>
              </w:rPr>
            </w:pPr>
          </w:p>
        </w:tc>
        <w:tc>
          <w:tcPr>
            <w:tcW w:w="845" w:type="dxa"/>
            <w:tcBorders>
              <w:top w:val="nil"/>
              <w:left w:val="nil"/>
              <w:bottom w:val="nil"/>
              <w:right w:val="double" w:sz="6" w:space="0" w:color="800000"/>
            </w:tcBorders>
            <w:shd w:val="clear" w:color="auto" w:fill="FFFFCC"/>
            <w:noWrap/>
            <w:vAlign w:val="bottom"/>
          </w:tcPr>
          <w:p w:rsidR="00FF13FA" w:rsidRPr="00FF13FA" w:rsidRDefault="00FF13FA" w:rsidP="00FF13FA">
            <w:pPr>
              <w:jc w:val="right"/>
              <w:rPr>
                <w:color w:val="0070C0"/>
                <w:sz w:val="8"/>
                <w:szCs w:val="8"/>
              </w:rPr>
            </w:pPr>
          </w:p>
        </w:tc>
      </w:tr>
      <w:tr w:rsidR="00BF6A0E" w:rsidRPr="00FF13FA" w:rsidTr="00FF13FA">
        <w:trPr>
          <w:trHeight w:val="80"/>
        </w:trPr>
        <w:tc>
          <w:tcPr>
            <w:tcW w:w="3889" w:type="dxa"/>
            <w:tcBorders>
              <w:top w:val="nil"/>
              <w:left w:val="double" w:sz="6" w:space="0" w:color="800000"/>
              <w:bottom w:val="nil"/>
              <w:right w:val="single" w:sz="8" w:space="0" w:color="800000"/>
            </w:tcBorders>
            <w:shd w:val="clear" w:color="auto" w:fill="FFFFCC"/>
            <w:vAlign w:val="bottom"/>
            <w:hideMark/>
          </w:tcPr>
          <w:p w:rsidR="00BF6A0E" w:rsidRPr="00FF13FA" w:rsidRDefault="00BF6A0E" w:rsidP="00FF13FA">
            <w:pPr>
              <w:rPr>
                <w:b/>
                <w:bCs/>
                <w:sz w:val="18"/>
                <w:szCs w:val="18"/>
              </w:rPr>
            </w:pPr>
            <w:r w:rsidRPr="00FF13FA">
              <w:rPr>
                <w:b/>
                <w:bCs/>
                <w:sz w:val="18"/>
                <w:szCs w:val="18"/>
              </w:rPr>
              <w:t>I. ОБЩИ ДЪРЖАВНИ СЛУЖБИ</w:t>
            </w:r>
          </w:p>
        </w:tc>
        <w:tc>
          <w:tcPr>
            <w:tcW w:w="947" w:type="dxa"/>
            <w:tcBorders>
              <w:top w:val="nil"/>
              <w:left w:val="nil"/>
              <w:bottom w:val="nil"/>
              <w:right w:val="single" w:sz="8" w:space="0" w:color="800000"/>
            </w:tcBorders>
            <w:shd w:val="clear" w:color="auto" w:fill="FFFFCC"/>
            <w:noWrap/>
            <w:vAlign w:val="center"/>
            <w:hideMark/>
          </w:tcPr>
          <w:p w:rsidR="00BF6A0E" w:rsidRDefault="00BF6A0E">
            <w:pPr>
              <w:jc w:val="right"/>
              <w:rPr>
                <w:color w:val="000000"/>
                <w:sz w:val="18"/>
                <w:szCs w:val="18"/>
              </w:rPr>
            </w:pPr>
            <w:r>
              <w:rPr>
                <w:color w:val="000000"/>
                <w:sz w:val="18"/>
                <w:szCs w:val="18"/>
              </w:rPr>
              <w:t>1 867,2</w:t>
            </w:r>
          </w:p>
        </w:tc>
        <w:tc>
          <w:tcPr>
            <w:tcW w:w="107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1 881,4</w:t>
            </w:r>
          </w:p>
        </w:tc>
        <w:tc>
          <w:tcPr>
            <w:tcW w:w="929" w:type="dxa"/>
            <w:tcBorders>
              <w:top w:val="nil"/>
              <w:left w:val="nil"/>
              <w:bottom w:val="nil"/>
              <w:right w:val="single" w:sz="8" w:space="0" w:color="800000"/>
            </w:tcBorders>
            <w:shd w:val="clear" w:color="auto" w:fill="FFFFCC"/>
            <w:noWrap/>
            <w:vAlign w:val="center"/>
            <w:hideMark/>
          </w:tcPr>
          <w:p w:rsidR="00BF6A0E" w:rsidRDefault="00BF6A0E" w:rsidP="009477D6">
            <w:pPr>
              <w:jc w:val="right"/>
              <w:rPr>
                <w:sz w:val="18"/>
                <w:szCs w:val="18"/>
              </w:rPr>
            </w:pPr>
            <w:r>
              <w:rPr>
                <w:sz w:val="18"/>
                <w:szCs w:val="18"/>
              </w:rPr>
              <w:t>1 793,</w:t>
            </w:r>
            <w:r w:rsidR="009477D6">
              <w:rPr>
                <w:sz w:val="18"/>
                <w:szCs w:val="18"/>
              </w:rPr>
              <w:t>6</w:t>
            </w:r>
          </w:p>
        </w:tc>
        <w:tc>
          <w:tcPr>
            <w:tcW w:w="900"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2,2%</w:t>
            </w:r>
          </w:p>
        </w:tc>
        <w:tc>
          <w:tcPr>
            <w:tcW w:w="95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2,2%</w:t>
            </w:r>
          </w:p>
        </w:tc>
        <w:tc>
          <w:tcPr>
            <w:tcW w:w="845" w:type="dxa"/>
            <w:tcBorders>
              <w:top w:val="nil"/>
              <w:left w:val="nil"/>
              <w:bottom w:val="nil"/>
              <w:right w:val="double" w:sz="6" w:space="0" w:color="800000"/>
            </w:tcBorders>
            <w:shd w:val="clear" w:color="auto" w:fill="FFFFCC"/>
            <w:noWrap/>
            <w:vAlign w:val="center"/>
            <w:hideMark/>
          </w:tcPr>
          <w:p w:rsidR="00BF6A0E" w:rsidRDefault="00BF6A0E">
            <w:pPr>
              <w:jc w:val="right"/>
              <w:rPr>
                <w:sz w:val="18"/>
                <w:szCs w:val="18"/>
              </w:rPr>
            </w:pPr>
            <w:r>
              <w:rPr>
                <w:sz w:val="18"/>
                <w:szCs w:val="18"/>
              </w:rPr>
              <w:t>2,1%</w:t>
            </w:r>
          </w:p>
        </w:tc>
      </w:tr>
      <w:tr w:rsidR="00BF6A0E" w:rsidRPr="00FF13FA" w:rsidTr="00FF13FA">
        <w:trPr>
          <w:trHeight w:val="80"/>
        </w:trPr>
        <w:tc>
          <w:tcPr>
            <w:tcW w:w="3889" w:type="dxa"/>
            <w:tcBorders>
              <w:top w:val="nil"/>
              <w:left w:val="double" w:sz="6" w:space="0" w:color="800000"/>
              <w:bottom w:val="nil"/>
              <w:right w:val="single" w:sz="8" w:space="0" w:color="800000"/>
            </w:tcBorders>
            <w:shd w:val="clear" w:color="auto" w:fill="FFFFCC"/>
            <w:vAlign w:val="bottom"/>
            <w:hideMark/>
          </w:tcPr>
          <w:p w:rsidR="00BF6A0E" w:rsidRPr="00FF13FA" w:rsidRDefault="00BF6A0E" w:rsidP="00FF13FA">
            <w:pPr>
              <w:rPr>
                <w:b/>
                <w:bCs/>
                <w:sz w:val="18"/>
                <w:szCs w:val="18"/>
              </w:rPr>
            </w:pPr>
            <w:r w:rsidRPr="00FF13FA">
              <w:rPr>
                <w:b/>
                <w:bCs/>
                <w:sz w:val="18"/>
                <w:szCs w:val="18"/>
              </w:rPr>
              <w:t>II. ОТБРАНА И СИГУРНОСТ</w:t>
            </w:r>
          </w:p>
        </w:tc>
        <w:tc>
          <w:tcPr>
            <w:tcW w:w="947" w:type="dxa"/>
            <w:tcBorders>
              <w:top w:val="nil"/>
              <w:left w:val="nil"/>
              <w:bottom w:val="nil"/>
              <w:right w:val="single" w:sz="8" w:space="0" w:color="800000"/>
            </w:tcBorders>
            <w:shd w:val="clear" w:color="auto" w:fill="FFFFCC"/>
            <w:noWrap/>
            <w:vAlign w:val="center"/>
            <w:hideMark/>
          </w:tcPr>
          <w:p w:rsidR="00BF6A0E" w:rsidRDefault="00BF6A0E">
            <w:pPr>
              <w:jc w:val="right"/>
              <w:rPr>
                <w:color w:val="000000"/>
                <w:sz w:val="18"/>
                <w:szCs w:val="18"/>
              </w:rPr>
            </w:pPr>
            <w:r>
              <w:rPr>
                <w:color w:val="000000"/>
                <w:sz w:val="18"/>
                <w:szCs w:val="18"/>
              </w:rPr>
              <w:t>3 302,3</w:t>
            </w:r>
          </w:p>
        </w:tc>
        <w:tc>
          <w:tcPr>
            <w:tcW w:w="107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3 205,9</w:t>
            </w:r>
          </w:p>
        </w:tc>
        <w:tc>
          <w:tcPr>
            <w:tcW w:w="929"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3 306,9</w:t>
            </w:r>
          </w:p>
        </w:tc>
        <w:tc>
          <w:tcPr>
            <w:tcW w:w="900"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3,9%</w:t>
            </w:r>
          </w:p>
        </w:tc>
        <w:tc>
          <w:tcPr>
            <w:tcW w:w="95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3,7%</w:t>
            </w:r>
          </w:p>
        </w:tc>
        <w:tc>
          <w:tcPr>
            <w:tcW w:w="845" w:type="dxa"/>
            <w:tcBorders>
              <w:top w:val="nil"/>
              <w:left w:val="nil"/>
              <w:bottom w:val="nil"/>
              <w:right w:val="double" w:sz="6" w:space="0" w:color="800000"/>
            </w:tcBorders>
            <w:shd w:val="clear" w:color="auto" w:fill="FFFFCC"/>
            <w:noWrap/>
            <w:vAlign w:val="center"/>
            <w:hideMark/>
          </w:tcPr>
          <w:p w:rsidR="00BF6A0E" w:rsidRDefault="00BF6A0E">
            <w:pPr>
              <w:jc w:val="right"/>
              <w:rPr>
                <w:sz w:val="18"/>
                <w:szCs w:val="18"/>
              </w:rPr>
            </w:pPr>
            <w:r>
              <w:rPr>
                <w:sz w:val="18"/>
                <w:szCs w:val="18"/>
              </w:rPr>
              <w:t>3,8%</w:t>
            </w:r>
          </w:p>
        </w:tc>
      </w:tr>
      <w:tr w:rsidR="00BF6A0E" w:rsidRPr="00FF13FA" w:rsidTr="00FF13FA">
        <w:trPr>
          <w:trHeight w:val="102"/>
        </w:trPr>
        <w:tc>
          <w:tcPr>
            <w:tcW w:w="3889" w:type="dxa"/>
            <w:tcBorders>
              <w:top w:val="nil"/>
              <w:left w:val="double" w:sz="6" w:space="0" w:color="800000"/>
              <w:bottom w:val="nil"/>
              <w:right w:val="single" w:sz="8" w:space="0" w:color="800000"/>
            </w:tcBorders>
            <w:shd w:val="clear" w:color="auto" w:fill="FFFFCC"/>
            <w:vAlign w:val="bottom"/>
            <w:hideMark/>
          </w:tcPr>
          <w:p w:rsidR="00BF6A0E" w:rsidRPr="00FF13FA" w:rsidRDefault="00BF6A0E" w:rsidP="00FF13FA">
            <w:pPr>
              <w:rPr>
                <w:b/>
                <w:bCs/>
                <w:sz w:val="18"/>
                <w:szCs w:val="18"/>
              </w:rPr>
            </w:pPr>
            <w:r w:rsidRPr="00FF13FA">
              <w:rPr>
                <w:b/>
                <w:bCs/>
                <w:sz w:val="18"/>
                <w:szCs w:val="18"/>
              </w:rPr>
              <w:t>III. ОБРАЗОВАНИЕ</w:t>
            </w:r>
          </w:p>
        </w:tc>
        <w:tc>
          <w:tcPr>
            <w:tcW w:w="947" w:type="dxa"/>
            <w:tcBorders>
              <w:top w:val="nil"/>
              <w:left w:val="nil"/>
              <w:bottom w:val="nil"/>
              <w:right w:val="single" w:sz="8" w:space="0" w:color="800000"/>
            </w:tcBorders>
            <w:shd w:val="clear" w:color="auto" w:fill="FFFFCC"/>
            <w:noWrap/>
            <w:vAlign w:val="center"/>
            <w:hideMark/>
          </w:tcPr>
          <w:p w:rsidR="00BF6A0E" w:rsidRDefault="00BF6A0E">
            <w:pPr>
              <w:jc w:val="right"/>
              <w:rPr>
                <w:color w:val="000000"/>
                <w:sz w:val="18"/>
                <w:szCs w:val="18"/>
              </w:rPr>
            </w:pPr>
            <w:r>
              <w:rPr>
                <w:color w:val="000000"/>
                <w:sz w:val="18"/>
                <w:szCs w:val="18"/>
              </w:rPr>
              <w:t>3 271,0</w:t>
            </w:r>
          </w:p>
        </w:tc>
        <w:tc>
          <w:tcPr>
            <w:tcW w:w="107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3 063,2</w:t>
            </w:r>
          </w:p>
        </w:tc>
        <w:tc>
          <w:tcPr>
            <w:tcW w:w="929" w:type="dxa"/>
            <w:tcBorders>
              <w:top w:val="nil"/>
              <w:left w:val="nil"/>
              <w:bottom w:val="nil"/>
              <w:right w:val="single" w:sz="8" w:space="0" w:color="800000"/>
            </w:tcBorders>
            <w:shd w:val="clear" w:color="auto" w:fill="FFFFCC"/>
            <w:noWrap/>
            <w:vAlign w:val="center"/>
            <w:hideMark/>
          </w:tcPr>
          <w:p w:rsidR="00BF6A0E" w:rsidRDefault="00BF6A0E" w:rsidP="009477D6">
            <w:pPr>
              <w:jc w:val="right"/>
              <w:rPr>
                <w:sz w:val="18"/>
                <w:szCs w:val="18"/>
              </w:rPr>
            </w:pPr>
            <w:r>
              <w:rPr>
                <w:sz w:val="18"/>
                <w:szCs w:val="18"/>
              </w:rPr>
              <w:t>3 11</w:t>
            </w:r>
            <w:r w:rsidR="009477D6">
              <w:rPr>
                <w:sz w:val="18"/>
                <w:szCs w:val="18"/>
              </w:rPr>
              <w:t>8</w:t>
            </w:r>
            <w:r>
              <w:rPr>
                <w:sz w:val="18"/>
                <w:szCs w:val="18"/>
              </w:rPr>
              <w:t>,</w:t>
            </w:r>
            <w:r w:rsidR="009477D6">
              <w:rPr>
                <w:sz w:val="18"/>
                <w:szCs w:val="18"/>
              </w:rPr>
              <w:t>3</w:t>
            </w:r>
          </w:p>
        </w:tc>
        <w:tc>
          <w:tcPr>
            <w:tcW w:w="900"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3,9%</w:t>
            </w:r>
          </w:p>
        </w:tc>
        <w:tc>
          <w:tcPr>
            <w:tcW w:w="95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3,6%</w:t>
            </w:r>
          </w:p>
        </w:tc>
        <w:tc>
          <w:tcPr>
            <w:tcW w:w="845" w:type="dxa"/>
            <w:tcBorders>
              <w:top w:val="nil"/>
              <w:left w:val="nil"/>
              <w:bottom w:val="nil"/>
              <w:right w:val="double" w:sz="6" w:space="0" w:color="800000"/>
            </w:tcBorders>
            <w:shd w:val="clear" w:color="auto" w:fill="FFFFCC"/>
            <w:noWrap/>
            <w:vAlign w:val="center"/>
            <w:hideMark/>
          </w:tcPr>
          <w:p w:rsidR="00BF6A0E" w:rsidRDefault="00BF6A0E">
            <w:pPr>
              <w:jc w:val="right"/>
              <w:rPr>
                <w:sz w:val="18"/>
                <w:szCs w:val="18"/>
              </w:rPr>
            </w:pPr>
            <w:r>
              <w:rPr>
                <w:sz w:val="18"/>
                <w:szCs w:val="18"/>
              </w:rPr>
              <w:t>3,6%</w:t>
            </w:r>
          </w:p>
        </w:tc>
      </w:tr>
      <w:tr w:rsidR="00BF6A0E" w:rsidRPr="00FF13FA" w:rsidTr="00FF13FA">
        <w:trPr>
          <w:trHeight w:val="255"/>
        </w:trPr>
        <w:tc>
          <w:tcPr>
            <w:tcW w:w="3889" w:type="dxa"/>
            <w:tcBorders>
              <w:top w:val="nil"/>
              <w:left w:val="double" w:sz="6" w:space="0" w:color="800000"/>
              <w:bottom w:val="nil"/>
              <w:right w:val="single" w:sz="8" w:space="0" w:color="800000"/>
            </w:tcBorders>
            <w:shd w:val="clear" w:color="auto" w:fill="FFFFCC"/>
            <w:vAlign w:val="bottom"/>
            <w:hideMark/>
          </w:tcPr>
          <w:p w:rsidR="00BF6A0E" w:rsidRPr="00FF13FA" w:rsidRDefault="00BF6A0E" w:rsidP="00FF13FA">
            <w:pPr>
              <w:rPr>
                <w:b/>
                <w:bCs/>
                <w:sz w:val="18"/>
                <w:szCs w:val="18"/>
              </w:rPr>
            </w:pPr>
            <w:r w:rsidRPr="00FF13FA">
              <w:rPr>
                <w:b/>
                <w:bCs/>
                <w:sz w:val="18"/>
                <w:szCs w:val="18"/>
              </w:rPr>
              <w:t>IV. ЗДРАВЕОПАЗВАНЕ</w:t>
            </w:r>
          </w:p>
        </w:tc>
        <w:tc>
          <w:tcPr>
            <w:tcW w:w="947" w:type="dxa"/>
            <w:tcBorders>
              <w:top w:val="nil"/>
              <w:left w:val="nil"/>
              <w:bottom w:val="nil"/>
              <w:right w:val="single" w:sz="8" w:space="0" w:color="800000"/>
            </w:tcBorders>
            <w:shd w:val="clear" w:color="auto" w:fill="FFFFCC"/>
            <w:noWrap/>
            <w:vAlign w:val="center"/>
            <w:hideMark/>
          </w:tcPr>
          <w:p w:rsidR="00BF6A0E" w:rsidRDefault="00BF6A0E">
            <w:pPr>
              <w:jc w:val="right"/>
              <w:rPr>
                <w:color w:val="000000"/>
                <w:sz w:val="18"/>
                <w:szCs w:val="18"/>
              </w:rPr>
            </w:pPr>
            <w:r>
              <w:rPr>
                <w:color w:val="000000"/>
                <w:sz w:val="18"/>
                <w:szCs w:val="18"/>
              </w:rPr>
              <w:t>3 985,8</w:t>
            </w:r>
          </w:p>
        </w:tc>
        <w:tc>
          <w:tcPr>
            <w:tcW w:w="107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3 894,3</w:t>
            </w:r>
          </w:p>
        </w:tc>
        <w:tc>
          <w:tcPr>
            <w:tcW w:w="929"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3 971,5</w:t>
            </w:r>
          </w:p>
        </w:tc>
        <w:tc>
          <w:tcPr>
            <w:tcW w:w="900"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4,8%</w:t>
            </w:r>
          </w:p>
        </w:tc>
        <w:tc>
          <w:tcPr>
            <w:tcW w:w="95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4,5%</w:t>
            </w:r>
          </w:p>
        </w:tc>
        <w:tc>
          <w:tcPr>
            <w:tcW w:w="845" w:type="dxa"/>
            <w:tcBorders>
              <w:top w:val="nil"/>
              <w:left w:val="nil"/>
              <w:bottom w:val="nil"/>
              <w:right w:val="double" w:sz="6" w:space="0" w:color="800000"/>
            </w:tcBorders>
            <w:shd w:val="clear" w:color="auto" w:fill="FFFFCC"/>
            <w:noWrap/>
            <w:vAlign w:val="center"/>
            <w:hideMark/>
          </w:tcPr>
          <w:p w:rsidR="00BF6A0E" w:rsidRDefault="00BF6A0E">
            <w:pPr>
              <w:jc w:val="right"/>
              <w:rPr>
                <w:sz w:val="18"/>
                <w:szCs w:val="18"/>
              </w:rPr>
            </w:pPr>
            <w:r>
              <w:rPr>
                <w:sz w:val="18"/>
                <w:szCs w:val="18"/>
              </w:rPr>
              <w:t>4,6%</w:t>
            </w:r>
          </w:p>
        </w:tc>
      </w:tr>
      <w:tr w:rsidR="00BF6A0E" w:rsidRPr="00FF13FA" w:rsidTr="00FF13FA">
        <w:trPr>
          <w:trHeight w:val="255"/>
        </w:trPr>
        <w:tc>
          <w:tcPr>
            <w:tcW w:w="3889" w:type="dxa"/>
            <w:tcBorders>
              <w:top w:val="nil"/>
              <w:left w:val="double" w:sz="6" w:space="0" w:color="800000"/>
              <w:bottom w:val="nil"/>
              <w:right w:val="single" w:sz="8" w:space="0" w:color="800000"/>
            </w:tcBorders>
            <w:shd w:val="clear" w:color="auto" w:fill="FFFFCC"/>
            <w:vAlign w:val="bottom"/>
            <w:hideMark/>
          </w:tcPr>
          <w:p w:rsidR="00BF6A0E" w:rsidRPr="00FF13FA" w:rsidRDefault="00BF6A0E" w:rsidP="00FF13FA">
            <w:pPr>
              <w:rPr>
                <w:b/>
                <w:bCs/>
                <w:sz w:val="18"/>
                <w:szCs w:val="18"/>
              </w:rPr>
            </w:pPr>
            <w:r w:rsidRPr="00FF13FA">
              <w:rPr>
                <w:b/>
                <w:bCs/>
                <w:sz w:val="18"/>
                <w:szCs w:val="18"/>
              </w:rPr>
              <w:t>V.СОЦИАЛНО ОСИГУРЯВАНЕ, ПОДПОМАГАНЕ И ГРИЖИ</w:t>
            </w:r>
          </w:p>
        </w:tc>
        <w:tc>
          <w:tcPr>
            <w:tcW w:w="947" w:type="dxa"/>
            <w:tcBorders>
              <w:top w:val="nil"/>
              <w:left w:val="nil"/>
              <w:bottom w:val="nil"/>
              <w:right w:val="single" w:sz="8" w:space="0" w:color="800000"/>
            </w:tcBorders>
            <w:shd w:val="clear" w:color="auto" w:fill="FFFFCC"/>
            <w:noWrap/>
            <w:vAlign w:val="center"/>
            <w:hideMark/>
          </w:tcPr>
          <w:p w:rsidR="00BF6A0E" w:rsidRDefault="00BF6A0E">
            <w:pPr>
              <w:jc w:val="right"/>
              <w:rPr>
                <w:color w:val="000000"/>
                <w:sz w:val="18"/>
                <w:szCs w:val="18"/>
              </w:rPr>
            </w:pPr>
            <w:r>
              <w:rPr>
                <w:color w:val="000000"/>
                <w:sz w:val="18"/>
                <w:szCs w:val="18"/>
              </w:rPr>
              <w:t>11 393,5</w:t>
            </w:r>
          </w:p>
        </w:tc>
        <w:tc>
          <w:tcPr>
            <w:tcW w:w="107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11 336,1</w:t>
            </w:r>
          </w:p>
        </w:tc>
        <w:tc>
          <w:tcPr>
            <w:tcW w:w="929" w:type="dxa"/>
            <w:tcBorders>
              <w:top w:val="nil"/>
              <w:left w:val="nil"/>
              <w:bottom w:val="nil"/>
              <w:right w:val="single" w:sz="8" w:space="0" w:color="800000"/>
            </w:tcBorders>
            <w:shd w:val="clear" w:color="auto" w:fill="FFFFCC"/>
            <w:noWrap/>
            <w:vAlign w:val="center"/>
            <w:hideMark/>
          </w:tcPr>
          <w:p w:rsidR="00BF6A0E" w:rsidRDefault="00BF6A0E" w:rsidP="009477D6">
            <w:pPr>
              <w:jc w:val="right"/>
              <w:rPr>
                <w:sz w:val="18"/>
                <w:szCs w:val="18"/>
              </w:rPr>
            </w:pPr>
            <w:r>
              <w:rPr>
                <w:sz w:val="18"/>
                <w:szCs w:val="18"/>
              </w:rPr>
              <w:t>11 654,</w:t>
            </w:r>
            <w:r w:rsidR="009477D6">
              <w:rPr>
                <w:sz w:val="18"/>
                <w:szCs w:val="18"/>
              </w:rPr>
              <w:t>3</w:t>
            </w:r>
          </w:p>
        </w:tc>
        <w:tc>
          <w:tcPr>
            <w:tcW w:w="900"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13,6%</w:t>
            </w:r>
          </w:p>
        </w:tc>
        <w:tc>
          <w:tcPr>
            <w:tcW w:w="95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13,2%</w:t>
            </w:r>
          </w:p>
        </w:tc>
        <w:tc>
          <w:tcPr>
            <w:tcW w:w="845" w:type="dxa"/>
            <w:tcBorders>
              <w:top w:val="nil"/>
              <w:left w:val="nil"/>
              <w:bottom w:val="nil"/>
              <w:right w:val="double" w:sz="6" w:space="0" w:color="800000"/>
            </w:tcBorders>
            <w:shd w:val="clear" w:color="auto" w:fill="FFFFCC"/>
            <w:noWrap/>
            <w:vAlign w:val="center"/>
            <w:hideMark/>
          </w:tcPr>
          <w:p w:rsidR="00BF6A0E" w:rsidRDefault="00BF6A0E">
            <w:pPr>
              <w:jc w:val="right"/>
              <w:rPr>
                <w:sz w:val="18"/>
                <w:szCs w:val="18"/>
              </w:rPr>
            </w:pPr>
            <w:r>
              <w:rPr>
                <w:sz w:val="18"/>
                <w:szCs w:val="18"/>
              </w:rPr>
              <w:t>13,5%</w:t>
            </w:r>
          </w:p>
        </w:tc>
      </w:tr>
      <w:tr w:rsidR="00BF6A0E" w:rsidRPr="00FF13FA" w:rsidTr="00FF13FA">
        <w:trPr>
          <w:trHeight w:val="388"/>
        </w:trPr>
        <w:tc>
          <w:tcPr>
            <w:tcW w:w="3889" w:type="dxa"/>
            <w:tcBorders>
              <w:top w:val="nil"/>
              <w:left w:val="double" w:sz="6" w:space="0" w:color="800000"/>
              <w:bottom w:val="nil"/>
              <w:right w:val="single" w:sz="8" w:space="0" w:color="800000"/>
            </w:tcBorders>
            <w:shd w:val="clear" w:color="auto" w:fill="FFFFCC"/>
            <w:vAlign w:val="bottom"/>
            <w:hideMark/>
          </w:tcPr>
          <w:p w:rsidR="00BF6A0E" w:rsidRPr="00FF13FA" w:rsidRDefault="00BF6A0E" w:rsidP="00FF13FA">
            <w:pPr>
              <w:rPr>
                <w:b/>
                <w:bCs/>
                <w:sz w:val="17"/>
                <w:szCs w:val="17"/>
              </w:rPr>
            </w:pPr>
            <w:r w:rsidRPr="00FF13FA">
              <w:rPr>
                <w:b/>
                <w:bCs/>
                <w:sz w:val="17"/>
                <w:szCs w:val="17"/>
              </w:rPr>
              <w:t>VI. ЖИЛИЩНО СТРОИТЕЛСТВО, БЛАГОУСТРОЙСТВО, КОМУНАЛНО СТОПАНСТВО И ОПАЗВАНЕ НА ОКОЛНАТА СРЕДА</w:t>
            </w:r>
          </w:p>
        </w:tc>
        <w:tc>
          <w:tcPr>
            <w:tcW w:w="947" w:type="dxa"/>
            <w:tcBorders>
              <w:top w:val="nil"/>
              <w:left w:val="nil"/>
              <w:bottom w:val="nil"/>
              <w:right w:val="single" w:sz="8" w:space="0" w:color="800000"/>
            </w:tcBorders>
            <w:shd w:val="clear" w:color="auto" w:fill="FFFFCC"/>
            <w:noWrap/>
            <w:vAlign w:val="center"/>
            <w:hideMark/>
          </w:tcPr>
          <w:p w:rsidR="00BF6A0E" w:rsidRDefault="00BF6A0E">
            <w:pPr>
              <w:jc w:val="right"/>
              <w:rPr>
                <w:color w:val="000000"/>
                <w:sz w:val="18"/>
                <w:szCs w:val="18"/>
              </w:rPr>
            </w:pPr>
            <w:r>
              <w:rPr>
                <w:color w:val="000000"/>
                <w:sz w:val="18"/>
                <w:szCs w:val="18"/>
              </w:rPr>
              <w:t>2 539,5</w:t>
            </w:r>
          </w:p>
        </w:tc>
        <w:tc>
          <w:tcPr>
            <w:tcW w:w="107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3 136,8</w:t>
            </w:r>
          </w:p>
        </w:tc>
        <w:tc>
          <w:tcPr>
            <w:tcW w:w="929" w:type="dxa"/>
            <w:tcBorders>
              <w:top w:val="nil"/>
              <w:left w:val="nil"/>
              <w:bottom w:val="nil"/>
              <w:right w:val="single" w:sz="8" w:space="0" w:color="800000"/>
            </w:tcBorders>
            <w:shd w:val="clear" w:color="auto" w:fill="FFFFCC"/>
            <w:noWrap/>
            <w:vAlign w:val="center"/>
            <w:hideMark/>
          </w:tcPr>
          <w:p w:rsidR="00BF6A0E" w:rsidRDefault="00BF6A0E" w:rsidP="009477D6">
            <w:pPr>
              <w:jc w:val="right"/>
              <w:rPr>
                <w:sz w:val="18"/>
                <w:szCs w:val="18"/>
              </w:rPr>
            </w:pPr>
            <w:r>
              <w:rPr>
                <w:sz w:val="18"/>
                <w:szCs w:val="18"/>
              </w:rPr>
              <w:t>3 102,</w:t>
            </w:r>
            <w:r w:rsidR="009477D6">
              <w:rPr>
                <w:sz w:val="18"/>
                <w:szCs w:val="18"/>
              </w:rPr>
              <w:t>0</w:t>
            </w:r>
          </w:p>
        </w:tc>
        <w:tc>
          <w:tcPr>
            <w:tcW w:w="900"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3,0%</w:t>
            </w:r>
          </w:p>
        </w:tc>
        <w:tc>
          <w:tcPr>
            <w:tcW w:w="95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3,6%</w:t>
            </w:r>
          </w:p>
        </w:tc>
        <w:tc>
          <w:tcPr>
            <w:tcW w:w="845" w:type="dxa"/>
            <w:tcBorders>
              <w:top w:val="nil"/>
              <w:left w:val="nil"/>
              <w:bottom w:val="nil"/>
              <w:right w:val="double" w:sz="6" w:space="0" w:color="800000"/>
            </w:tcBorders>
            <w:shd w:val="clear" w:color="auto" w:fill="FFFFCC"/>
            <w:noWrap/>
            <w:vAlign w:val="center"/>
            <w:hideMark/>
          </w:tcPr>
          <w:p w:rsidR="00BF6A0E" w:rsidRDefault="00BF6A0E">
            <w:pPr>
              <w:jc w:val="right"/>
              <w:rPr>
                <w:sz w:val="18"/>
                <w:szCs w:val="18"/>
              </w:rPr>
            </w:pPr>
            <w:r>
              <w:rPr>
                <w:sz w:val="18"/>
                <w:szCs w:val="18"/>
              </w:rPr>
              <w:t>3,6%</w:t>
            </w:r>
          </w:p>
        </w:tc>
      </w:tr>
      <w:tr w:rsidR="00BF6A0E" w:rsidRPr="00FF13FA" w:rsidTr="00FF13FA">
        <w:trPr>
          <w:trHeight w:val="480"/>
        </w:trPr>
        <w:tc>
          <w:tcPr>
            <w:tcW w:w="3889" w:type="dxa"/>
            <w:tcBorders>
              <w:top w:val="nil"/>
              <w:left w:val="double" w:sz="6" w:space="0" w:color="800000"/>
              <w:bottom w:val="nil"/>
              <w:right w:val="single" w:sz="8" w:space="0" w:color="800000"/>
            </w:tcBorders>
            <w:shd w:val="clear" w:color="auto" w:fill="FFFFCC"/>
            <w:vAlign w:val="bottom"/>
            <w:hideMark/>
          </w:tcPr>
          <w:p w:rsidR="00BF6A0E" w:rsidRPr="00FF13FA" w:rsidRDefault="00BF6A0E" w:rsidP="00FF13FA">
            <w:pPr>
              <w:rPr>
                <w:b/>
                <w:bCs/>
                <w:sz w:val="18"/>
                <w:szCs w:val="18"/>
              </w:rPr>
            </w:pPr>
            <w:r w:rsidRPr="00FF13FA">
              <w:rPr>
                <w:b/>
                <w:bCs/>
                <w:sz w:val="18"/>
                <w:szCs w:val="18"/>
              </w:rPr>
              <w:t>VII. ПОЧИВНО ДЕЛО, КУЛТУРА И РЕЛИГИОЗНИ ДЕЙНОСТИ</w:t>
            </w:r>
          </w:p>
        </w:tc>
        <w:tc>
          <w:tcPr>
            <w:tcW w:w="947" w:type="dxa"/>
            <w:tcBorders>
              <w:top w:val="nil"/>
              <w:left w:val="nil"/>
              <w:bottom w:val="nil"/>
              <w:right w:val="single" w:sz="8" w:space="0" w:color="800000"/>
            </w:tcBorders>
            <w:shd w:val="clear" w:color="auto" w:fill="FFFFCC"/>
            <w:noWrap/>
            <w:vAlign w:val="center"/>
            <w:hideMark/>
          </w:tcPr>
          <w:p w:rsidR="00BF6A0E" w:rsidRDefault="00BF6A0E">
            <w:pPr>
              <w:jc w:val="right"/>
              <w:rPr>
                <w:color w:val="000000"/>
                <w:sz w:val="18"/>
                <w:szCs w:val="18"/>
              </w:rPr>
            </w:pPr>
            <w:r>
              <w:rPr>
                <w:color w:val="000000"/>
                <w:sz w:val="18"/>
                <w:szCs w:val="18"/>
              </w:rPr>
              <w:t>769,9</w:t>
            </w:r>
          </w:p>
        </w:tc>
        <w:tc>
          <w:tcPr>
            <w:tcW w:w="107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586,5</w:t>
            </w:r>
          </w:p>
        </w:tc>
        <w:tc>
          <w:tcPr>
            <w:tcW w:w="929"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875,4</w:t>
            </w:r>
          </w:p>
        </w:tc>
        <w:tc>
          <w:tcPr>
            <w:tcW w:w="900"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0,9%</w:t>
            </w:r>
          </w:p>
        </w:tc>
        <w:tc>
          <w:tcPr>
            <w:tcW w:w="95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0,7%</w:t>
            </w:r>
          </w:p>
        </w:tc>
        <w:tc>
          <w:tcPr>
            <w:tcW w:w="845" w:type="dxa"/>
            <w:tcBorders>
              <w:top w:val="nil"/>
              <w:left w:val="nil"/>
              <w:bottom w:val="nil"/>
              <w:right w:val="double" w:sz="6" w:space="0" w:color="800000"/>
            </w:tcBorders>
            <w:shd w:val="clear" w:color="auto" w:fill="FFFFCC"/>
            <w:noWrap/>
            <w:vAlign w:val="center"/>
            <w:hideMark/>
          </w:tcPr>
          <w:p w:rsidR="00BF6A0E" w:rsidRDefault="00BF6A0E">
            <w:pPr>
              <w:jc w:val="right"/>
              <w:rPr>
                <w:sz w:val="18"/>
                <w:szCs w:val="18"/>
              </w:rPr>
            </w:pPr>
            <w:r>
              <w:rPr>
                <w:sz w:val="18"/>
                <w:szCs w:val="18"/>
              </w:rPr>
              <w:t>1,0%</w:t>
            </w:r>
          </w:p>
        </w:tc>
      </w:tr>
      <w:tr w:rsidR="00BF6A0E" w:rsidRPr="00FF13FA" w:rsidTr="00FF13FA">
        <w:trPr>
          <w:trHeight w:val="255"/>
        </w:trPr>
        <w:tc>
          <w:tcPr>
            <w:tcW w:w="3889" w:type="dxa"/>
            <w:tcBorders>
              <w:top w:val="nil"/>
              <w:left w:val="double" w:sz="6" w:space="0" w:color="800000"/>
              <w:bottom w:val="nil"/>
              <w:right w:val="single" w:sz="8" w:space="0" w:color="800000"/>
            </w:tcBorders>
            <w:shd w:val="clear" w:color="auto" w:fill="FFFFCC"/>
            <w:vAlign w:val="bottom"/>
            <w:hideMark/>
          </w:tcPr>
          <w:p w:rsidR="00BF6A0E" w:rsidRPr="00FF13FA" w:rsidRDefault="00BF6A0E" w:rsidP="00FF13FA">
            <w:pPr>
              <w:rPr>
                <w:b/>
                <w:bCs/>
                <w:sz w:val="18"/>
                <w:szCs w:val="18"/>
              </w:rPr>
            </w:pPr>
            <w:r w:rsidRPr="00FF13FA">
              <w:rPr>
                <w:b/>
                <w:bCs/>
                <w:sz w:val="18"/>
                <w:szCs w:val="18"/>
              </w:rPr>
              <w:t>VIII. ИКОНОМИЧЕСКИ ДЕЙНОСТИ  И УСЛУГИ</w:t>
            </w:r>
          </w:p>
        </w:tc>
        <w:tc>
          <w:tcPr>
            <w:tcW w:w="947" w:type="dxa"/>
            <w:tcBorders>
              <w:top w:val="nil"/>
              <w:left w:val="nil"/>
              <w:bottom w:val="nil"/>
              <w:right w:val="single" w:sz="8" w:space="0" w:color="800000"/>
            </w:tcBorders>
            <w:shd w:val="clear" w:color="auto" w:fill="FFFFCC"/>
            <w:noWrap/>
            <w:vAlign w:val="center"/>
            <w:hideMark/>
          </w:tcPr>
          <w:p w:rsidR="00BF6A0E" w:rsidRDefault="00BF6A0E">
            <w:pPr>
              <w:jc w:val="right"/>
              <w:rPr>
                <w:color w:val="000000"/>
                <w:sz w:val="18"/>
                <w:szCs w:val="18"/>
              </w:rPr>
            </w:pPr>
            <w:r>
              <w:rPr>
                <w:color w:val="000000"/>
                <w:sz w:val="18"/>
                <w:szCs w:val="18"/>
              </w:rPr>
              <w:t>3 818,0</w:t>
            </w:r>
          </w:p>
        </w:tc>
        <w:tc>
          <w:tcPr>
            <w:tcW w:w="107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5 567,7</w:t>
            </w:r>
          </w:p>
        </w:tc>
        <w:tc>
          <w:tcPr>
            <w:tcW w:w="929" w:type="dxa"/>
            <w:tcBorders>
              <w:top w:val="nil"/>
              <w:left w:val="nil"/>
              <w:bottom w:val="nil"/>
              <w:right w:val="single" w:sz="8" w:space="0" w:color="800000"/>
            </w:tcBorders>
            <w:shd w:val="clear" w:color="auto" w:fill="FFFFCC"/>
            <w:noWrap/>
            <w:vAlign w:val="center"/>
            <w:hideMark/>
          </w:tcPr>
          <w:p w:rsidR="00BF6A0E" w:rsidRDefault="00BF6A0E" w:rsidP="009477D6">
            <w:pPr>
              <w:jc w:val="right"/>
              <w:rPr>
                <w:sz w:val="18"/>
                <w:szCs w:val="18"/>
              </w:rPr>
            </w:pPr>
            <w:r>
              <w:rPr>
                <w:sz w:val="18"/>
                <w:szCs w:val="18"/>
              </w:rPr>
              <w:t>5 217,</w:t>
            </w:r>
            <w:r w:rsidR="009477D6">
              <w:rPr>
                <w:sz w:val="18"/>
                <w:szCs w:val="18"/>
              </w:rPr>
              <w:t>9</w:t>
            </w:r>
          </w:p>
        </w:tc>
        <w:tc>
          <w:tcPr>
            <w:tcW w:w="900"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4,6%</w:t>
            </w:r>
          </w:p>
        </w:tc>
        <w:tc>
          <w:tcPr>
            <w:tcW w:w="955" w:type="dxa"/>
            <w:tcBorders>
              <w:top w:val="nil"/>
              <w:left w:val="nil"/>
              <w:bottom w:val="nil"/>
              <w:right w:val="single" w:sz="8" w:space="0" w:color="800000"/>
            </w:tcBorders>
            <w:shd w:val="clear" w:color="auto" w:fill="FFFFCC"/>
            <w:noWrap/>
            <w:vAlign w:val="center"/>
            <w:hideMark/>
          </w:tcPr>
          <w:p w:rsidR="00BF6A0E" w:rsidRDefault="00BF6A0E">
            <w:pPr>
              <w:jc w:val="right"/>
              <w:rPr>
                <w:sz w:val="18"/>
                <w:szCs w:val="18"/>
              </w:rPr>
            </w:pPr>
            <w:r>
              <w:rPr>
                <w:sz w:val="18"/>
                <w:szCs w:val="18"/>
              </w:rPr>
              <w:t>6,5%</w:t>
            </w:r>
          </w:p>
        </w:tc>
        <w:tc>
          <w:tcPr>
            <w:tcW w:w="845" w:type="dxa"/>
            <w:tcBorders>
              <w:top w:val="nil"/>
              <w:left w:val="nil"/>
              <w:bottom w:val="nil"/>
              <w:right w:val="double" w:sz="6" w:space="0" w:color="800000"/>
            </w:tcBorders>
            <w:shd w:val="clear" w:color="auto" w:fill="FFFFCC"/>
            <w:noWrap/>
            <w:vAlign w:val="center"/>
            <w:hideMark/>
          </w:tcPr>
          <w:p w:rsidR="00BF6A0E" w:rsidRDefault="00BF6A0E">
            <w:pPr>
              <w:jc w:val="right"/>
              <w:rPr>
                <w:sz w:val="18"/>
                <w:szCs w:val="18"/>
              </w:rPr>
            </w:pPr>
            <w:r>
              <w:rPr>
                <w:sz w:val="18"/>
                <w:szCs w:val="18"/>
              </w:rPr>
              <w:t>6,0%</w:t>
            </w:r>
          </w:p>
        </w:tc>
      </w:tr>
      <w:tr w:rsidR="00BF6A0E" w:rsidRPr="00FF13FA" w:rsidTr="00FF13FA">
        <w:trPr>
          <w:trHeight w:val="495"/>
        </w:trPr>
        <w:tc>
          <w:tcPr>
            <w:tcW w:w="3889" w:type="dxa"/>
            <w:tcBorders>
              <w:top w:val="nil"/>
              <w:left w:val="double" w:sz="6" w:space="0" w:color="800000"/>
              <w:bottom w:val="single" w:sz="8" w:space="0" w:color="800000"/>
              <w:right w:val="single" w:sz="8" w:space="0" w:color="800000"/>
            </w:tcBorders>
            <w:shd w:val="clear" w:color="auto" w:fill="FFFFCC"/>
            <w:vAlign w:val="bottom"/>
            <w:hideMark/>
          </w:tcPr>
          <w:p w:rsidR="00BF6A0E" w:rsidRPr="00FF13FA" w:rsidRDefault="00BF6A0E" w:rsidP="00FF13FA">
            <w:pPr>
              <w:rPr>
                <w:b/>
                <w:bCs/>
                <w:sz w:val="18"/>
                <w:szCs w:val="18"/>
              </w:rPr>
            </w:pPr>
            <w:r w:rsidRPr="00FF13FA">
              <w:rPr>
                <w:b/>
                <w:bCs/>
                <w:sz w:val="18"/>
                <w:szCs w:val="18"/>
              </w:rPr>
              <w:t>IХ. РАЗХОДИ, НЕКЛАСИФИЦИРАНИ В ДРУГИТЕ ФУНКЦИИ</w:t>
            </w:r>
          </w:p>
        </w:tc>
        <w:tc>
          <w:tcPr>
            <w:tcW w:w="947" w:type="dxa"/>
            <w:tcBorders>
              <w:top w:val="nil"/>
              <w:left w:val="nil"/>
              <w:bottom w:val="single" w:sz="8" w:space="0" w:color="800000"/>
              <w:right w:val="single" w:sz="8" w:space="0" w:color="800000"/>
            </w:tcBorders>
            <w:shd w:val="clear" w:color="auto" w:fill="FFFFCC"/>
            <w:noWrap/>
            <w:vAlign w:val="center"/>
            <w:hideMark/>
          </w:tcPr>
          <w:p w:rsidR="00BF6A0E" w:rsidRDefault="00BF6A0E">
            <w:pPr>
              <w:jc w:val="right"/>
              <w:rPr>
                <w:color w:val="000000"/>
                <w:sz w:val="18"/>
                <w:szCs w:val="18"/>
              </w:rPr>
            </w:pPr>
            <w:r>
              <w:rPr>
                <w:color w:val="000000"/>
                <w:sz w:val="18"/>
                <w:szCs w:val="18"/>
              </w:rPr>
              <w:t>580,0</w:t>
            </w:r>
          </w:p>
        </w:tc>
        <w:tc>
          <w:tcPr>
            <w:tcW w:w="1075" w:type="dxa"/>
            <w:tcBorders>
              <w:top w:val="nil"/>
              <w:left w:val="nil"/>
              <w:bottom w:val="single" w:sz="8" w:space="0" w:color="800000"/>
              <w:right w:val="single" w:sz="8" w:space="0" w:color="800000"/>
            </w:tcBorders>
            <w:shd w:val="clear" w:color="auto" w:fill="FFFFCC"/>
            <w:noWrap/>
            <w:vAlign w:val="center"/>
            <w:hideMark/>
          </w:tcPr>
          <w:p w:rsidR="00BF6A0E" w:rsidRDefault="00BF6A0E">
            <w:pPr>
              <w:jc w:val="right"/>
              <w:rPr>
                <w:sz w:val="18"/>
                <w:szCs w:val="18"/>
              </w:rPr>
            </w:pPr>
            <w:r>
              <w:rPr>
                <w:sz w:val="18"/>
                <w:szCs w:val="18"/>
              </w:rPr>
              <w:t>871,8</w:t>
            </w:r>
          </w:p>
        </w:tc>
        <w:tc>
          <w:tcPr>
            <w:tcW w:w="929" w:type="dxa"/>
            <w:tcBorders>
              <w:top w:val="nil"/>
              <w:left w:val="nil"/>
              <w:bottom w:val="single" w:sz="8" w:space="0" w:color="800000"/>
              <w:right w:val="single" w:sz="8" w:space="0" w:color="800000"/>
            </w:tcBorders>
            <w:shd w:val="clear" w:color="auto" w:fill="FFFFCC"/>
            <w:noWrap/>
            <w:vAlign w:val="center"/>
            <w:hideMark/>
          </w:tcPr>
          <w:p w:rsidR="00BF6A0E" w:rsidRDefault="00BF6A0E" w:rsidP="009477D6">
            <w:pPr>
              <w:jc w:val="right"/>
              <w:rPr>
                <w:sz w:val="18"/>
                <w:szCs w:val="18"/>
              </w:rPr>
            </w:pPr>
            <w:r>
              <w:rPr>
                <w:sz w:val="18"/>
                <w:szCs w:val="18"/>
              </w:rPr>
              <w:t>698,</w:t>
            </w:r>
            <w:r w:rsidR="009477D6">
              <w:rPr>
                <w:sz w:val="18"/>
                <w:szCs w:val="18"/>
              </w:rPr>
              <w:t>4</w:t>
            </w:r>
          </w:p>
        </w:tc>
        <w:tc>
          <w:tcPr>
            <w:tcW w:w="900" w:type="dxa"/>
            <w:tcBorders>
              <w:top w:val="nil"/>
              <w:left w:val="nil"/>
              <w:bottom w:val="single" w:sz="8" w:space="0" w:color="800000"/>
              <w:right w:val="single" w:sz="8" w:space="0" w:color="800000"/>
            </w:tcBorders>
            <w:shd w:val="clear" w:color="auto" w:fill="FFFFCC"/>
            <w:noWrap/>
            <w:vAlign w:val="center"/>
            <w:hideMark/>
          </w:tcPr>
          <w:p w:rsidR="00BF6A0E" w:rsidRDefault="00BF6A0E">
            <w:pPr>
              <w:jc w:val="right"/>
              <w:rPr>
                <w:sz w:val="18"/>
                <w:szCs w:val="18"/>
              </w:rPr>
            </w:pPr>
            <w:r>
              <w:rPr>
                <w:sz w:val="18"/>
                <w:szCs w:val="18"/>
              </w:rPr>
              <w:t>0,7%</w:t>
            </w:r>
          </w:p>
        </w:tc>
        <w:tc>
          <w:tcPr>
            <w:tcW w:w="955" w:type="dxa"/>
            <w:tcBorders>
              <w:top w:val="nil"/>
              <w:left w:val="nil"/>
              <w:bottom w:val="single" w:sz="8" w:space="0" w:color="800000"/>
              <w:right w:val="single" w:sz="8" w:space="0" w:color="800000"/>
            </w:tcBorders>
            <w:shd w:val="clear" w:color="auto" w:fill="FFFFCC"/>
            <w:noWrap/>
            <w:vAlign w:val="center"/>
            <w:hideMark/>
          </w:tcPr>
          <w:p w:rsidR="00BF6A0E" w:rsidRDefault="00BF6A0E">
            <w:pPr>
              <w:jc w:val="right"/>
              <w:rPr>
                <w:sz w:val="18"/>
                <w:szCs w:val="18"/>
              </w:rPr>
            </w:pPr>
            <w:r>
              <w:rPr>
                <w:sz w:val="18"/>
                <w:szCs w:val="18"/>
              </w:rPr>
              <w:t>1,0%</w:t>
            </w:r>
          </w:p>
        </w:tc>
        <w:tc>
          <w:tcPr>
            <w:tcW w:w="845" w:type="dxa"/>
            <w:tcBorders>
              <w:top w:val="nil"/>
              <w:left w:val="nil"/>
              <w:bottom w:val="single" w:sz="8" w:space="0" w:color="800000"/>
              <w:right w:val="double" w:sz="6" w:space="0" w:color="800000"/>
            </w:tcBorders>
            <w:shd w:val="clear" w:color="auto" w:fill="FFFFCC"/>
            <w:noWrap/>
            <w:vAlign w:val="center"/>
            <w:hideMark/>
          </w:tcPr>
          <w:p w:rsidR="00BF6A0E" w:rsidRDefault="00BF6A0E">
            <w:pPr>
              <w:jc w:val="right"/>
              <w:rPr>
                <w:sz w:val="18"/>
                <w:szCs w:val="18"/>
              </w:rPr>
            </w:pPr>
            <w:r>
              <w:rPr>
                <w:sz w:val="18"/>
                <w:szCs w:val="18"/>
              </w:rPr>
              <w:t>0,8%</w:t>
            </w:r>
          </w:p>
        </w:tc>
      </w:tr>
      <w:tr w:rsidR="00BF6A0E" w:rsidRPr="00FF13FA" w:rsidTr="00AF4B5B">
        <w:trPr>
          <w:trHeight w:val="270"/>
        </w:trPr>
        <w:tc>
          <w:tcPr>
            <w:tcW w:w="3889" w:type="dxa"/>
            <w:tcBorders>
              <w:top w:val="nil"/>
              <w:left w:val="double" w:sz="6" w:space="0" w:color="800000"/>
              <w:bottom w:val="double" w:sz="6" w:space="0" w:color="800000"/>
              <w:right w:val="single" w:sz="8" w:space="0" w:color="800000"/>
            </w:tcBorders>
            <w:shd w:val="clear" w:color="auto" w:fill="FFFFCC"/>
            <w:vAlign w:val="bottom"/>
            <w:hideMark/>
          </w:tcPr>
          <w:p w:rsidR="00BF6A0E" w:rsidRPr="00FF13FA" w:rsidRDefault="00BF6A0E" w:rsidP="00FF13FA">
            <w:pPr>
              <w:rPr>
                <w:b/>
                <w:bCs/>
                <w:sz w:val="18"/>
                <w:szCs w:val="18"/>
              </w:rPr>
            </w:pPr>
            <w:r w:rsidRPr="00FF13FA">
              <w:rPr>
                <w:b/>
                <w:bCs/>
                <w:sz w:val="18"/>
                <w:szCs w:val="18"/>
              </w:rPr>
              <w:t>ОБЩО РАЗХОДИ</w:t>
            </w:r>
          </w:p>
        </w:tc>
        <w:tc>
          <w:tcPr>
            <w:tcW w:w="947" w:type="dxa"/>
            <w:tcBorders>
              <w:top w:val="nil"/>
              <w:left w:val="nil"/>
              <w:bottom w:val="double" w:sz="6" w:space="0" w:color="800000"/>
              <w:right w:val="single" w:sz="8" w:space="0" w:color="800000"/>
            </w:tcBorders>
            <w:shd w:val="clear" w:color="auto" w:fill="FFFFCC"/>
            <w:noWrap/>
            <w:vAlign w:val="center"/>
            <w:hideMark/>
          </w:tcPr>
          <w:p w:rsidR="00BF6A0E" w:rsidRDefault="00BF6A0E">
            <w:pPr>
              <w:jc w:val="right"/>
              <w:rPr>
                <w:b/>
                <w:bCs/>
                <w:color w:val="000000"/>
                <w:sz w:val="18"/>
                <w:szCs w:val="18"/>
              </w:rPr>
            </w:pPr>
            <w:r>
              <w:rPr>
                <w:b/>
                <w:bCs/>
                <w:color w:val="000000"/>
                <w:sz w:val="18"/>
                <w:szCs w:val="18"/>
              </w:rPr>
              <w:t>31 527,2</w:t>
            </w:r>
          </w:p>
        </w:tc>
        <w:tc>
          <w:tcPr>
            <w:tcW w:w="1075" w:type="dxa"/>
            <w:tcBorders>
              <w:top w:val="nil"/>
              <w:left w:val="nil"/>
              <w:bottom w:val="double" w:sz="6" w:space="0" w:color="800000"/>
              <w:right w:val="single" w:sz="8" w:space="0" w:color="800000"/>
            </w:tcBorders>
            <w:shd w:val="clear" w:color="auto" w:fill="FFFFCC"/>
            <w:noWrap/>
            <w:vAlign w:val="center"/>
            <w:hideMark/>
          </w:tcPr>
          <w:p w:rsidR="00BF6A0E" w:rsidRDefault="00BF6A0E">
            <w:pPr>
              <w:jc w:val="right"/>
              <w:rPr>
                <w:b/>
                <w:bCs/>
                <w:sz w:val="18"/>
                <w:szCs w:val="18"/>
              </w:rPr>
            </w:pPr>
            <w:r>
              <w:rPr>
                <w:b/>
                <w:bCs/>
                <w:sz w:val="18"/>
                <w:szCs w:val="18"/>
              </w:rPr>
              <w:t>33 543,9</w:t>
            </w:r>
          </w:p>
        </w:tc>
        <w:tc>
          <w:tcPr>
            <w:tcW w:w="929" w:type="dxa"/>
            <w:tcBorders>
              <w:top w:val="nil"/>
              <w:left w:val="nil"/>
              <w:bottom w:val="double" w:sz="6" w:space="0" w:color="800000"/>
              <w:right w:val="single" w:sz="8" w:space="0" w:color="800000"/>
            </w:tcBorders>
            <w:shd w:val="clear" w:color="auto" w:fill="FFFFCC"/>
            <w:noWrap/>
            <w:vAlign w:val="center"/>
            <w:hideMark/>
          </w:tcPr>
          <w:p w:rsidR="00BF6A0E" w:rsidRDefault="00BF6A0E" w:rsidP="006F6E47">
            <w:pPr>
              <w:jc w:val="right"/>
              <w:rPr>
                <w:b/>
                <w:bCs/>
                <w:sz w:val="18"/>
                <w:szCs w:val="18"/>
              </w:rPr>
            </w:pPr>
            <w:r>
              <w:rPr>
                <w:b/>
                <w:bCs/>
                <w:sz w:val="18"/>
                <w:szCs w:val="18"/>
              </w:rPr>
              <w:t>33 738,</w:t>
            </w:r>
            <w:r w:rsidR="006F6E47">
              <w:rPr>
                <w:b/>
                <w:bCs/>
                <w:sz w:val="18"/>
                <w:szCs w:val="18"/>
              </w:rPr>
              <w:t>4</w:t>
            </w:r>
          </w:p>
        </w:tc>
        <w:tc>
          <w:tcPr>
            <w:tcW w:w="900" w:type="dxa"/>
            <w:tcBorders>
              <w:top w:val="nil"/>
              <w:left w:val="nil"/>
              <w:bottom w:val="double" w:sz="6" w:space="0" w:color="800000"/>
              <w:right w:val="single" w:sz="8" w:space="0" w:color="800000"/>
            </w:tcBorders>
            <w:shd w:val="clear" w:color="auto" w:fill="FFFFCC"/>
            <w:noWrap/>
            <w:vAlign w:val="center"/>
            <w:hideMark/>
          </w:tcPr>
          <w:p w:rsidR="00BF6A0E" w:rsidRDefault="00BF6A0E">
            <w:pPr>
              <w:rPr>
                <w:color w:val="0070C0"/>
                <w:sz w:val="18"/>
                <w:szCs w:val="18"/>
              </w:rPr>
            </w:pPr>
            <w:r>
              <w:rPr>
                <w:color w:val="0070C0"/>
                <w:sz w:val="18"/>
                <w:szCs w:val="18"/>
              </w:rPr>
              <w:t> </w:t>
            </w:r>
          </w:p>
        </w:tc>
        <w:tc>
          <w:tcPr>
            <w:tcW w:w="955" w:type="dxa"/>
            <w:tcBorders>
              <w:top w:val="nil"/>
              <w:left w:val="nil"/>
              <w:bottom w:val="double" w:sz="6" w:space="0" w:color="800000"/>
              <w:right w:val="single" w:sz="8" w:space="0" w:color="800000"/>
            </w:tcBorders>
            <w:shd w:val="clear" w:color="auto" w:fill="FFFFCC"/>
            <w:noWrap/>
            <w:vAlign w:val="center"/>
            <w:hideMark/>
          </w:tcPr>
          <w:p w:rsidR="00BF6A0E" w:rsidRDefault="00BF6A0E">
            <w:pPr>
              <w:rPr>
                <w:color w:val="0070C0"/>
                <w:sz w:val="18"/>
                <w:szCs w:val="18"/>
              </w:rPr>
            </w:pPr>
            <w:r>
              <w:rPr>
                <w:color w:val="0070C0"/>
                <w:sz w:val="18"/>
                <w:szCs w:val="18"/>
              </w:rPr>
              <w:t> </w:t>
            </w:r>
          </w:p>
        </w:tc>
        <w:tc>
          <w:tcPr>
            <w:tcW w:w="845" w:type="dxa"/>
            <w:tcBorders>
              <w:top w:val="nil"/>
              <w:left w:val="nil"/>
              <w:bottom w:val="double" w:sz="6" w:space="0" w:color="800000"/>
              <w:right w:val="double" w:sz="6" w:space="0" w:color="800000"/>
            </w:tcBorders>
            <w:shd w:val="clear" w:color="auto" w:fill="FFFFCC"/>
            <w:noWrap/>
            <w:vAlign w:val="center"/>
            <w:hideMark/>
          </w:tcPr>
          <w:p w:rsidR="00BF6A0E" w:rsidRDefault="00BF6A0E">
            <w:pPr>
              <w:rPr>
                <w:color w:val="0070C0"/>
                <w:sz w:val="18"/>
                <w:szCs w:val="18"/>
              </w:rPr>
            </w:pPr>
            <w:r>
              <w:rPr>
                <w:color w:val="0070C0"/>
                <w:sz w:val="18"/>
                <w:szCs w:val="18"/>
              </w:rPr>
              <w:t> </w:t>
            </w:r>
          </w:p>
        </w:tc>
      </w:tr>
    </w:tbl>
    <w:p w:rsidR="00201151" w:rsidRPr="001F6421" w:rsidRDefault="00201151" w:rsidP="00201151">
      <w:pPr>
        <w:jc w:val="both"/>
        <w:rPr>
          <w:color w:val="0070C0"/>
          <w:lang w:val="en-US"/>
        </w:rPr>
      </w:pPr>
    </w:p>
    <w:p w:rsidR="005328CD" w:rsidRPr="001F6421" w:rsidRDefault="005328CD" w:rsidP="005328CD">
      <w:pPr>
        <w:ind w:firstLine="8252"/>
        <w:jc w:val="both"/>
        <w:rPr>
          <w:b/>
          <w:color w:val="0070C0"/>
          <w:sz w:val="14"/>
          <w:szCs w:val="14"/>
        </w:rPr>
      </w:pPr>
    </w:p>
    <w:p w:rsidR="005328CD" w:rsidRDefault="00FF13FA" w:rsidP="00A017E4">
      <w:pPr>
        <w:ind w:firstLine="720"/>
        <w:jc w:val="both"/>
        <w:rPr>
          <w:color w:val="0070C0"/>
          <w:sz w:val="8"/>
          <w:szCs w:val="8"/>
          <w:lang w:val="en-US"/>
        </w:rPr>
      </w:pPr>
      <w:r>
        <w:t>При анализа на разходите по функции, представени като относителен дял в БВП, следва да се има предвид, че за целите на анализа отчетните данни за 201</w:t>
      </w:r>
      <w:r>
        <w:rPr>
          <w:lang w:val="en-US"/>
        </w:rPr>
        <w:t>4</w:t>
      </w:r>
      <w:r>
        <w:t xml:space="preserve"> г. и 201</w:t>
      </w:r>
      <w:r>
        <w:rPr>
          <w:lang w:val="en-US"/>
        </w:rPr>
        <w:t>5</w:t>
      </w:r>
      <w:r>
        <w:t xml:space="preserve"> г. са отнесени към БВП (по данни на НСИ – </w:t>
      </w:r>
      <w:r>
        <w:rPr>
          <w:lang w:val="en-US"/>
        </w:rPr>
        <w:t>83 612</w:t>
      </w:r>
      <w:r>
        <w:t>,</w:t>
      </w:r>
      <w:r>
        <w:rPr>
          <w:lang w:val="en-US"/>
        </w:rPr>
        <w:t>3</w:t>
      </w:r>
      <w:r>
        <w:t xml:space="preserve"> млн. лв. за 201</w:t>
      </w:r>
      <w:r>
        <w:rPr>
          <w:lang w:val="en-US"/>
        </w:rPr>
        <w:t>4</w:t>
      </w:r>
      <w:r>
        <w:t xml:space="preserve"> г. и </w:t>
      </w:r>
      <w:r>
        <w:rPr>
          <w:lang w:val="en-US"/>
        </w:rPr>
        <w:t>86 372</w:t>
      </w:r>
      <w:r>
        <w:t>,</w:t>
      </w:r>
      <w:r>
        <w:rPr>
          <w:lang w:val="en-US"/>
        </w:rPr>
        <w:t>6</w:t>
      </w:r>
      <w:r>
        <w:t xml:space="preserve"> млн. лв. за 201</w:t>
      </w:r>
      <w:r>
        <w:rPr>
          <w:lang w:val="en-US"/>
        </w:rPr>
        <w:t>5</w:t>
      </w:r>
      <w:r>
        <w:t xml:space="preserve"> г.), докато за разчета към програмата за 2015 г. е използвана оценката на БВП,</w:t>
      </w:r>
      <w:r>
        <w:rPr>
          <w:color w:val="0070C0"/>
        </w:rPr>
        <w:t xml:space="preserve"> </w:t>
      </w:r>
      <w:r>
        <w:t>заложена в актуализираната есенна макроикономическа прогноза към ЗИД на ЗДБРБ за 2015 г.</w:t>
      </w:r>
      <w:r>
        <w:rPr>
          <w:lang w:val="ru-RU"/>
        </w:rPr>
        <w:t xml:space="preserve"> (85 967</w:t>
      </w:r>
      <w:r>
        <w:t>,</w:t>
      </w:r>
      <w:r>
        <w:rPr>
          <w:lang w:val="ru-RU"/>
        </w:rPr>
        <w:t xml:space="preserve">0 </w:t>
      </w:r>
      <w:r>
        <w:t>млн. лв.</w:t>
      </w:r>
      <w:r>
        <w:rPr>
          <w:lang w:val="ru-RU"/>
        </w:rPr>
        <w:t>)</w:t>
      </w:r>
      <w:r w:rsidR="005328CD" w:rsidRPr="001F6421">
        <w:rPr>
          <w:color w:val="0070C0"/>
          <w:lang w:val="ru-RU"/>
        </w:rPr>
        <w:t>.</w:t>
      </w:r>
    </w:p>
    <w:p w:rsidR="00FF13FA" w:rsidRDefault="00D37B0F" w:rsidP="005328CD">
      <w:pPr>
        <w:rPr>
          <w:color w:val="0070C0"/>
          <w:sz w:val="8"/>
          <w:szCs w:val="8"/>
          <w:lang w:val="en-US"/>
        </w:rPr>
      </w:pPr>
      <w:r>
        <w:rPr>
          <w:noProof/>
          <w:color w:val="0070C0"/>
          <w:sz w:val="8"/>
          <w:szCs w:val="8"/>
        </w:rPr>
        <w:drawing>
          <wp:inline distT="0" distB="0" distL="0" distR="0" wp14:anchorId="1DE461FE" wp14:editId="5D8FFE80">
            <wp:extent cx="6116320" cy="2752090"/>
            <wp:effectExtent l="0" t="0" r="17780" b="10160"/>
            <wp:docPr id="11"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F13FA" w:rsidRDefault="00FF13FA" w:rsidP="005328CD">
      <w:pPr>
        <w:rPr>
          <w:color w:val="0070C0"/>
          <w:sz w:val="8"/>
          <w:szCs w:val="8"/>
          <w:lang w:val="en-US"/>
        </w:rPr>
      </w:pPr>
    </w:p>
    <w:p w:rsidR="00FF13FA" w:rsidRPr="00FF13FA" w:rsidRDefault="00FF13FA" w:rsidP="005328CD">
      <w:pPr>
        <w:rPr>
          <w:color w:val="0070C0"/>
          <w:sz w:val="8"/>
          <w:szCs w:val="8"/>
          <w:lang w:val="en-US"/>
        </w:rPr>
      </w:pPr>
    </w:p>
    <w:p w:rsidR="005328CD" w:rsidRPr="001F6421" w:rsidRDefault="005328CD" w:rsidP="005328CD">
      <w:pPr>
        <w:rPr>
          <w:color w:val="0070C0"/>
        </w:rPr>
      </w:pPr>
      <w:bookmarkStart w:id="115" w:name="_MON_1495371087"/>
      <w:bookmarkStart w:id="116" w:name="_MON_1495371134"/>
      <w:bookmarkEnd w:id="115"/>
      <w:bookmarkEnd w:id="116"/>
    </w:p>
    <w:p w:rsidR="005328CD" w:rsidRPr="001F6421" w:rsidRDefault="005328CD" w:rsidP="005328CD">
      <w:pPr>
        <w:jc w:val="both"/>
        <w:rPr>
          <w:color w:val="0070C0"/>
          <w:sz w:val="8"/>
          <w:szCs w:val="8"/>
        </w:rPr>
      </w:pPr>
    </w:p>
    <w:p w:rsidR="005328CD" w:rsidRPr="001F6421" w:rsidRDefault="00FF13FA" w:rsidP="00FF13FA">
      <w:pPr>
        <w:ind w:firstLine="567"/>
        <w:jc w:val="both"/>
        <w:rPr>
          <w:b/>
          <w:i/>
          <w:color w:val="0070C0"/>
          <w:lang w:val="en-US"/>
        </w:rPr>
      </w:pPr>
      <w:r>
        <w:t>С най-голям относителен дял в разходите по КФП за 2015 г</w:t>
      </w:r>
      <w:r>
        <w:rPr>
          <w:b/>
          <w:i/>
        </w:rPr>
        <w:t>. са средствата за сферата на социалното осигуряване, подпомагане и грижи</w:t>
      </w:r>
      <w:r>
        <w:t xml:space="preserve">. Общите разходи за функцията за годината възлизат на </w:t>
      </w:r>
      <w:r>
        <w:rPr>
          <w:b/>
          <w:i/>
          <w:lang w:val="ru-RU"/>
        </w:rPr>
        <w:t>11 </w:t>
      </w:r>
      <w:r w:rsidR="00365D8E">
        <w:rPr>
          <w:b/>
          <w:i/>
          <w:lang w:val="en-US"/>
        </w:rPr>
        <w:t>654</w:t>
      </w:r>
      <w:r>
        <w:rPr>
          <w:b/>
          <w:i/>
          <w:lang w:val="ru-RU"/>
        </w:rPr>
        <w:t>,</w:t>
      </w:r>
      <w:r w:rsidR="00F2683A">
        <w:rPr>
          <w:b/>
          <w:i/>
          <w:lang w:val="ru-RU"/>
        </w:rPr>
        <w:t>3</w:t>
      </w:r>
      <w:r>
        <w:rPr>
          <w:b/>
          <w:i/>
        </w:rPr>
        <w:t xml:space="preserve"> млн. лв</w:t>
      </w:r>
      <w:r>
        <w:t xml:space="preserve">. или </w:t>
      </w:r>
      <w:r>
        <w:rPr>
          <w:b/>
          <w:i/>
        </w:rPr>
        <w:t>13,5 % от БВП.</w:t>
      </w:r>
      <w:r>
        <w:t xml:space="preserve"> За сравнение разходите по тази функция за 2014 г. представляваха 13,6 % от БВП. </w:t>
      </w:r>
      <w:r>
        <w:rPr>
          <w:iCs/>
        </w:rPr>
        <w:t xml:space="preserve">С най-голям относителен дял във функцията са разходите </w:t>
      </w:r>
      <w:r w:rsidR="001A6C9D">
        <w:rPr>
          <w:iCs/>
        </w:rPr>
        <w:t>в група</w:t>
      </w:r>
      <w:r>
        <w:rPr>
          <w:iCs/>
        </w:rPr>
        <w:t xml:space="preserve"> </w:t>
      </w:r>
      <w:r w:rsidR="001A6C9D">
        <w:rPr>
          <w:iCs/>
        </w:rPr>
        <w:t>„П</w:t>
      </w:r>
      <w:r>
        <w:rPr>
          <w:iCs/>
        </w:rPr>
        <w:t>енсии</w:t>
      </w:r>
      <w:r w:rsidR="001A6C9D">
        <w:rPr>
          <w:iCs/>
        </w:rPr>
        <w:t>“</w:t>
      </w:r>
      <w:r>
        <w:rPr>
          <w:iCs/>
        </w:rPr>
        <w:t xml:space="preserve">, отчетени по бюджетите на ДОО и УПФ, които възлизат на 8 468,7 млн. лв. и нарастват с 295,2 млн. лв. </w:t>
      </w:r>
      <w:r>
        <w:rPr>
          <w:iCs/>
          <w:lang w:val="en-US"/>
        </w:rPr>
        <w:t>(</w:t>
      </w:r>
      <w:r>
        <w:rPr>
          <w:iCs/>
        </w:rPr>
        <w:t>3,6 %</w:t>
      </w:r>
      <w:r>
        <w:rPr>
          <w:iCs/>
          <w:lang w:val="en-US"/>
        </w:rPr>
        <w:t>)</w:t>
      </w:r>
      <w:r>
        <w:rPr>
          <w:iCs/>
        </w:rPr>
        <w:t xml:space="preserve"> спрямо предходната година.</w:t>
      </w:r>
      <w:r>
        <w:rPr>
          <w:iCs/>
          <w:color w:val="0070C0"/>
        </w:rPr>
        <w:t xml:space="preserve"> </w:t>
      </w:r>
      <w:r>
        <w:rPr>
          <w:iCs/>
        </w:rPr>
        <w:t>Увеличението на разходите се дължи на целогодишното отражение върху разходите от осъвременяването през 2014 г., на осъвременяването през 2015 г., на увеличението в резултат на по-високите размери на новоотпуснатите спрямо прекратените пенсии, както и на изплатените през м</w:t>
      </w:r>
      <w:r>
        <w:rPr>
          <w:iCs/>
          <w:lang w:val="en-US"/>
        </w:rPr>
        <w:t xml:space="preserve">. </w:t>
      </w:r>
      <w:r>
        <w:rPr>
          <w:iCs/>
        </w:rPr>
        <w:t xml:space="preserve">април и м. декември еднократни </w:t>
      </w:r>
      <w:r w:rsidRPr="00BD718D">
        <w:rPr>
          <w:iCs/>
        </w:rPr>
        <w:t>добавки към пенсиите в общ размер на 99,8 млн. лв.</w:t>
      </w:r>
      <w:r w:rsidR="005A1353" w:rsidRPr="00BD718D">
        <w:rPr>
          <w:iCs/>
        </w:rPr>
        <w:t xml:space="preserve"> </w:t>
      </w:r>
      <w:r w:rsidR="005A1353" w:rsidRPr="00BD718D">
        <w:rPr>
          <w:iCs/>
          <w:lang w:val="en-US"/>
        </w:rPr>
        <w:t>(</w:t>
      </w:r>
      <w:r w:rsidR="00BD718D" w:rsidRPr="00BD718D">
        <w:rPr>
          <w:iCs/>
        </w:rPr>
        <w:t>ПМС № 49 и ПМС № 310 от 2015 г.</w:t>
      </w:r>
      <w:r w:rsidR="005A1353" w:rsidRPr="00BD718D">
        <w:rPr>
          <w:iCs/>
          <w:lang w:val="en-US"/>
        </w:rPr>
        <w:t>)</w:t>
      </w:r>
      <w:r w:rsidR="00F54C47" w:rsidRPr="00BD718D">
        <w:rPr>
          <w:iCs/>
        </w:rPr>
        <w:t>.</w:t>
      </w:r>
      <w:r>
        <w:rPr>
          <w:iCs/>
          <w:color w:val="0070C0"/>
        </w:rPr>
        <w:t xml:space="preserve"> </w:t>
      </w:r>
      <w:r>
        <w:t xml:space="preserve">Разходите, извършени в сферата на </w:t>
      </w:r>
      <w:r>
        <w:rPr>
          <w:b/>
          <w:i/>
        </w:rPr>
        <w:t>отбраната и сигурността</w:t>
      </w:r>
      <w:r>
        <w:t xml:space="preserve"> през 201</w:t>
      </w:r>
      <w:r>
        <w:rPr>
          <w:lang w:val="en-US"/>
        </w:rPr>
        <w:t>5</w:t>
      </w:r>
      <w:r>
        <w:t xml:space="preserve"> г., са в размер на </w:t>
      </w:r>
      <w:r>
        <w:rPr>
          <w:b/>
          <w:i/>
        </w:rPr>
        <w:t>3 306,9 млн. лв.</w:t>
      </w:r>
      <w:r>
        <w:t xml:space="preserve">, което представлява </w:t>
      </w:r>
      <w:r>
        <w:rPr>
          <w:b/>
          <w:i/>
        </w:rPr>
        <w:t>3,8 % от БВП</w:t>
      </w:r>
      <w:r>
        <w:t>. С извършените разходи са обезпечени дейностите по осигуряването на националната сигурност и отбраната, опазването на обществения и правовия ред, поддържането на отбранителния потенциал на страната и издръжката на съдебната власт и администрацията на затворите.</w:t>
      </w:r>
      <w:r>
        <w:rPr>
          <w:color w:val="0070C0"/>
        </w:rPr>
        <w:t xml:space="preserve"> </w:t>
      </w:r>
      <w:r>
        <w:t>Сред основните приоритети за 2015 г. бяха и политиките в сферата на</w:t>
      </w:r>
      <w:r>
        <w:rPr>
          <w:b/>
          <w:i/>
        </w:rPr>
        <w:t xml:space="preserve"> образованието</w:t>
      </w:r>
      <w:r>
        <w:t xml:space="preserve">, като общият размер на разходите за функцията за 2015 г. е </w:t>
      </w:r>
      <w:r>
        <w:rPr>
          <w:b/>
          <w:i/>
        </w:rPr>
        <w:t>3 11</w:t>
      </w:r>
      <w:r w:rsidR="008362EE">
        <w:rPr>
          <w:b/>
          <w:i/>
        </w:rPr>
        <w:t>8</w:t>
      </w:r>
      <w:r>
        <w:rPr>
          <w:b/>
          <w:i/>
        </w:rPr>
        <w:t>,</w:t>
      </w:r>
      <w:r w:rsidR="008362EE">
        <w:rPr>
          <w:b/>
          <w:i/>
        </w:rPr>
        <w:t>3</w:t>
      </w:r>
      <w:r>
        <w:rPr>
          <w:b/>
          <w:i/>
        </w:rPr>
        <w:t xml:space="preserve"> млн. лв.</w:t>
      </w:r>
      <w:r>
        <w:t xml:space="preserve"> или </w:t>
      </w:r>
      <w:r>
        <w:rPr>
          <w:b/>
          <w:i/>
          <w:lang w:val="ru-RU"/>
        </w:rPr>
        <w:t>3,6</w:t>
      </w:r>
      <w:r>
        <w:rPr>
          <w:b/>
          <w:i/>
        </w:rPr>
        <w:t xml:space="preserve"> % от БВП</w:t>
      </w:r>
      <w:r>
        <w:t>.</w:t>
      </w:r>
      <w:r>
        <w:rPr>
          <w:color w:val="0070C0"/>
        </w:rPr>
        <w:t xml:space="preserve"> </w:t>
      </w:r>
      <w:r>
        <w:t>През 2015 г. е осигурено приоритетно изпълнението на следните политики</w:t>
      </w:r>
      <w:r>
        <w:rPr>
          <w:lang w:val="en-US"/>
        </w:rPr>
        <w:t>:</w:t>
      </w:r>
      <w:r>
        <w:t xml:space="preserve"> въвеждане на целодневна организация на учебния ден на учениците в V клас; в максимален степен са използвани възможностите за финансиране със средства от Европейския съюз на целодневната организация на учебния ден в средищните училища и на извънкласните дейности на учениците; предприети са мерки за минимизиране на несъвършенствата при разпределението на средствата по единни разходни стандарти, като е въведен механизъм за осигуряване на средствата за условно-постоянни разходи на звената в системата на средното образование. Извършените разходи през 2015 г. в сферата на </w:t>
      </w:r>
      <w:r>
        <w:rPr>
          <w:b/>
          <w:i/>
        </w:rPr>
        <w:t>здравеопазването</w:t>
      </w:r>
      <w:r>
        <w:t xml:space="preserve"> </w:t>
      </w:r>
      <w:r>
        <w:lastRenderedPageBreak/>
        <w:t xml:space="preserve">са в размер на </w:t>
      </w:r>
      <w:r>
        <w:rPr>
          <w:b/>
          <w:i/>
        </w:rPr>
        <w:t>3 9</w:t>
      </w:r>
      <w:r w:rsidR="00EE633F">
        <w:rPr>
          <w:b/>
          <w:i/>
          <w:lang w:val="en-US"/>
        </w:rPr>
        <w:t>71</w:t>
      </w:r>
      <w:r>
        <w:rPr>
          <w:b/>
          <w:i/>
        </w:rPr>
        <w:t>,5 млн. лв</w:t>
      </w:r>
      <w:r>
        <w:t xml:space="preserve">., или </w:t>
      </w:r>
      <w:r>
        <w:rPr>
          <w:b/>
          <w:i/>
        </w:rPr>
        <w:t xml:space="preserve">4,6 % от БВП. </w:t>
      </w:r>
      <w:r>
        <w:t>Разходите за функция „</w:t>
      </w:r>
      <w:r>
        <w:rPr>
          <w:b/>
          <w:i/>
        </w:rPr>
        <w:t>Икономически дейности и услуги”</w:t>
      </w:r>
      <w:r>
        <w:t xml:space="preserve"> са в размер на </w:t>
      </w:r>
      <w:r>
        <w:rPr>
          <w:b/>
          <w:i/>
        </w:rPr>
        <w:t>5 217,</w:t>
      </w:r>
      <w:r w:rsidR="008362EE">
        <w:rPr>
          <w:b/>
          <w:i/>
        </w:rPr>
        <w:t>9</w:t>
      </w:r>
      <w:r>
        <w:rPr>
          <w:b/>
          <w:i/>
        </w:rPr>
        <w:t xml:space="preserve"> млн. лв.</w:t>
      </w:r>
      <w:r>
        <w:t xml:space="preserve"> или </w:t>
      </w:r>
      <w:r>
        <w:rPr>
          <w:b/>
          <w:i/>
        </w:rPr>
        <w:t>6,0 % от БВП</w:t>
      </w:r>
      <w:r>
        <w:t>. Основните направления, в които са изразходвани средствата по тази функция, са изграждане на инфраструктурни обекти с национално значение, ремонт и поддържане на съществуващата транспортна мрежа и подпомагане на земеделските производители.</w:t>
      </w:r>
      <w:r>
        <w:rPr>
          <w:color w:val="0070C0"/>
        </w:rPr>
        <w:t xml:space="preserve"> </w:t>
      </w:r>
      <w:r>
        <w:t xml:space="preserve">Разходите за функция </w:t>
      </w:r>
      <w:r>
        <w:rPr>
          <w:b/>
          <w:i/>
        </w:rPr>
        <w:t>„Общи държавни служби”</w:t>
      </w:r>
      <w:r>
        <w:t xml:space="preserve"> са в размер на </w:t>
      </w:r>
      <w:r>
        <w:rPr>
          <w:b/>
          <w:i/>
        </w:rPr>
        <w:t>1 793,</w:t>
      </w:r>
      <w:r w:rsidR="008362EE">
        <w:rPr>
          <w:b/>
          <w:i/>
        </w:rPr>
        <w:t>6</w:t>
      </w:r>
      <w:r>
        <w:rPr>
          <w:b/>
          <w:i/>
        </w:rPr>
        <w:t xml:space="preserve"> млн. лв. (2,1 % от БВП).</w:t>
      </w:r>
      <w:r>
        <w:t xml:space="preserve"> Разходите за дейностите по</w:t>
      </w:r>
      <w:r>
        <w:rPr>
          <w:b/>
          <w:i/>
        </w:rPr>
        <w:t xml:space="preserve"> жилищно строителство, благоустройство, комунално стопанство и опазване на околната среда </w:t>
      </w:r>
      <w:r>
        <w:t xml:space="preserve">са в размер на </w:t>
      </w:r>
      <w:r>
        <w:rPr>
          <w:b/>
          <w:i/>
        </w:rPr>
        <w:t>3 102,</w:t>
      </w:r>
      <w:r w:rsidR="008362EE">
        <w:rPr>
          <w:b/>
          <w:i/>
        </w:rPr>
        <w:t>0</w:t>
      </w:r>
      <w:r>
        <w:rPr>
          <w:b/>
          <w:i/>
        </w:rPr>
        <w:t xml:space="preserve"> млн. лв</w:t>
      </w:r>
      <w:r>
        <w:t>. (</w:t>
      </w:r>
      <w:r>
        <w:rPr>
          <w:b/>
          <w:i/>
        </w:rPr>
        <w:t>3,6 % от БВП</w:t>
      </w:r>
      <w:r>
        <w:t>)</w:t>
      </w:r>
      <w:r w:rsidR="001A6C9D">
        <w:t>,</w:t>
      </w:r>
      <w:r>
        <w:t xml:space="preserve"> като нарастват с 56</w:t>
      </w:r>
      <w:r w:rsidR="008362EE">
        <w:t>2</w:t>
      </w:r>
      <w:r>
        <w:t>,</w:t>
      </w:r>
      <w:r w:rsidR="009F2FA0">
        <w:t>4</w:t>
      </w:r>
      <w:r>
        <w:t xml:space="preserve"> млн. лв. </w:t>
      </w:r>
      <w:r>
        <w:rPr>
          <w:lang w:val="en-US"/>
        </w:rPr>
        <w:t>(</w:t>
      </w:r>
      <w:r>
        <w:t>22,</w:t>
      </w:r>
      <w:r w:rsidR="009F2FA0">
        <w:t>1</w:t>
      </w:r>
      <w:r w:rsidR="009F2FA0">
        <w:rPr>
          <w:lang w:val="en-US"/>
        </w:rPr>
        <w:t xml:space="preserve"> </w:t>
      </w:r>
      <w:r>
        <w:rPr>
          <w:lang w:val="en-US"/>
        </w:rPr>
        <w:t xml:space="preserve">%) </w:t>
      </w:r>
      <w:r>
        <w:t xml:space="preserve">спрямо 2014 г. Извършените разходи през годината за финансиране на сферата на </w:t>
      </w:r>
      <w:r>
        <w:rPr>
          <w:b/>
          <w:i/>
        </w:rPr>
        <w:t>почивното дело, културата и религиозните дейности</w:t>
      </w:r>
      <w:r>
        <w:t xml:space="preserve"> са в размер на </w:t>
      </w:r>
      <w:r>
        <w:rPr>
          <w:b/>
          <w:i/>
        </w:rPr>
        <w:t>875,4 млн. лв.</w:t>
      </w:r>
      <w:r>
        <w:t xml:space="preserve"> или </w:t>
      </w:r>
      <w:r>
        <w:rPr>
          <w:b/>
          <w:i/>
        </w:rPr>
        <w:t xml:space="preserve">1,0 % от БВП </w:t>
      </w:r>
      <w:r>
        <w:t xml:space="preserve">и нарастват с 0,1 п.п. от БВП спрямо отчетените за предходната година. </w:t>
      </w:r>
      <w:r w:rsidRPr="00EC33FC">
        <w:rPr>
          <w:b/>
        </w:rPr>
        <w:t>Разходите,</w:t>
      </w:r>
      <w:r>
        <w:t xml:space="preserve"> </w:t>
      </w:r>
      <w:r>
        <w:rPr>
          <w:b/>
          <w:i/>
        </w:rPr>
        <w:t>некласифицирани в</w:t>
      </w:r>
      <w:r>
        <w:rPr>
          <w:b/>
          <w:i/>
          <w:color w:val="0070C0"/>
        </w:rPr>
        <w:t xml:space="preserve"> </w:t>
      </w:r>
      <w:r>
        <w:rPr>
          <w:b/>
          <w:i/>
        </w:rPr>
        <w:t xml:space="preserve">другите функции </w:t>
      </w:r>
      <w:r>
        <w:t>(без вноската за бюджета на ЕС)</w:t>
      </w:r>
      <w:r>
        <w:rPr>
          <w:b/>
          <w:i/>
        </w:rPr>
        <w:t>,</w:t>
      </w:r>
      <w:r>
        <w:t xml:space="preserve"> включват лихвените плащания по обслужване на държавния и общинския дълг и са в размер на </w:t>
      </w:r>
      <w:r>
        <w:rPr>
          <w:b/>
          <w:i/>
        </w:rPr>
        <w:t>698,</w:t>
      </w:r>
      <w:r w:rsidR="008362EE">
        <w:rPr>
          <w:b/>
          <w:i/>
        </w:rPr>
        <w:t>4</w:t>
      </w:r>
      <w:r>
        <w:rPr>
          <w:b/>
          <w:i/>
        </w:rPr>
        <w:t xml:space="preserve"> млн. лв</w:t>
      </w:r>
      <w:r>
        <w:t>.</w:t>
      </w:r>
      <w:r>
        <w:rPr>
          <w:b/>
        </w:rPr>
        <w:t>,</w:t>
      </w:r>
      <w:r>
        <w:t xml:space="preserve"> което представляват </w:t>
      </w:r>
      <w:r>
        <w:rPr>
          <w:b/>
          <w:i/>
        </w:rPr>
        <w:t>0,8 % от БВП</w:t>
      </w:r>
      <w:r w:rsidR="005328CD" w:rsidRPr="001F6421">
        <w:rPr>
          <w:b/>
          <w:i/>
          <w:color w:val="0070C0"/>
        </w:rPr>
        <w:t xml:space="preserve">. </w:t>
      </w:r>
    </w:p>
    <w:p w:rsidR="005328CD" w:rsidRPr="001F6421" w:rsidRDefault="005328CD" w:rsidP="005328CD">
      <w:pPr>
        <w:jc w:val="both"/>
        <w:rPr>
          <w:color w:val="0070C0"/>
          <w:sz w:val="8"/>
          <w:szCs w:val="8"/>
          <w:lang w:val="en-US"/>
        </w:rPr>
      </w:pPr>
    </w:p>
    <w:p w:rsidR="005328CD" w:rsidRPr="00F8603C" w:rsidRDefault="005328CD" w:rsidP="00781B85">
      <w:pPr>
        <w:numPr>
          <w:ilvl w:val="0"/>
          <w:numId w:val="5"/>
        </w:numPr>
        <w:tabs>
          <w:tab w:val="clear" w:pos="1440"/>
          <w:tab w:val="num" w:pos="540"/>
        </w:tabs>
        <w:ind w:left="0" w:firstLine="360"/>
        <w:jc w:val="both"/>
      </w:pPr>
      <w:r w:rsidRPr="00F8603C">
        <w:rPr>
          <w:b/>
        </w:rPr>
        <w:t>Бюджетният дефицит</w:t>
      </w:r>
      <w:r w:rsidRPr="00F8603C">
        <w:rPr>
          <w:b/>
          <w:bCs/>
        </w:rPr>
        <w:t xml:space="preserve"> </w:t>
      </w:r>
      <w:r w:rsidRPr="00F8603C">
        <w:rPr>
          <w:bCs/>
        </w:rPr>
        <w:t>по консолидираната фискална програма за 201</w:t>
      </w:r>
      <w:r w:rsidR="00F8603C" w:rsidRPr="00F8603C">
        <w:rPr>
          <w:bCs/>
        </w:rPr>
        <w:t>5</w:t>
      </w:r>
      <w:r w:rsidRPr="00F8603C">
        <w:rPr>
          <w:bCs/>
        </w:rPr>
        <w:t xml:space="preserve"> г.</w:t>
      </w:r>
      <w:r w:rsidRPr="00F8603C">
        <w:rPr>
          <w:b/>
          <w:bCs/>
        </w:rPr>
        <w:t xml:space="preserve"> </w:t>
      </w:r>
      <w:r w:rsidRPr="00F8603C">
        <w:rPr>
          <w:bCs/>
        </w:rPr>
        <w:t xml:space="preserve">е в размер на </w:t>
      </w:r>
      <w:r w:rsidRPr="00F8603C">
        <w:rPr>
          <w:b/>
          <w:bCs/>
        </w:rPr>
        <w:t>2</w:t>
      </w:r>
      <w:r w:rsidR="00F8603C" w:rsidRPr="00F8603C">
        <w:rPr>
          <w:b/>
          <w:bCs/>
        </w:rPr>
        <w:t> 48</w:t>
      </w:r>
      <w:r w:rsidR="0036671A">
        <w:rPr>
          <w:b/>
          <w:bCs/>
        </w:rPr>
        <w:t>5</w:t>
      </w:r>
      <w:r w:rsidR="00F8603C" w:rsidRPr="00F8603C">
        <w:rPr>
          <w:b/>
          <w:bCs/>
        </w:rPr>
        <w:t>,2</w:t>
      </w:r>
      <w:r w:rsidRPr="00F8603C">
        <w:rPr>
          <w:b/>
        </w:rPr>
        <w:t xml:space="preserve"> млн. лв</w:t>
      </w:r>
      <w:r w:rsidRPr="00F8603C">
        <w:t>. (</w:t>
      </w:r>
      <w:r w:rsidR="00F8603C" w:rsidRPr="00F8603C">
        <w:t>2,9</w:t>
      </w:r>
      <w:r w:rsidRPr="00F8603C">
        <w:t xml:space="preserve"> % от БВП), който </w:t>
      </w:r>
      <w:r w:rsidRPr="00F8603C">
        <w:rPr>
          <w:bCs/>
        </w:rPr>
        <w:t xml:space="preserve">се формира от </w:t>
      </w:r>
      <w:r w:rsidRPr="00F8603C">
        <w:t>дефицит по националния бюджет в размер на 2</w:t>
      </w:r>
      <w:r w:rsidR="00F8603C" w:rsidRPr="00F8603C">
        <w:t> 17</w:t>
      </w:r>
      <w:r w:rsidR="00992674">
        <w:rPr>
          <w:lang w:val="en-US"/>
        </w:rPr>
        <w:t>0</w:t>
      </w:r>
      <w:r w:rsidR="00F8603C" w:rsidRPr="00F8603C">
        <w:t>,</w:t>
      </w:r>
      <w:r w:rsidR="00992674">
        <w:rPr>
          <w:lang w:val="en-US"/>
        </w:rPr>
        <w:t>8</w:t>
      </w:r>
      <w:r w:rsidRPr="00F8603C">
        <w:t xml:space="preserve"> млн. лв. и дефицит по </w:t>
      </w:r>
      <w:r w:rsidR="000A54CC" w:rsidRPr="00F8603C">
        <w:t xml:space="preserve">сметките за средствата от Европейския съюз </w:t>
      </w:r>
      <w:r w:rsidR="00FA268C" w:rsidRPr="00F8603C">
        <w:t xml:space="preserve">в размер на </w:t>
      </w:r>
      <w:r w:rsidR="00F8603C" w:rsidRPr="00F8603C">
        <w:t>31</w:t>
      </w:r>
      <w:r w:rsidR="00461C06">
        <w:t>4</w:t>
      </w:r>
      <w:r w:rsidR="00FA268C" w:rsidRPr="00F8603C">
        <w:t>,</w:t>
      </w:r>
      <w:r w:rsidR="00461C06">
        <w:t>4</w:t>
      </w:r>
      <w:r w:rsidRPr="00F8603C">
        <w:t xml:space="preserve"> млн. лева.</w:t>
      </w:r>
    </w:p>
    <w:p w:rsidR="00201151" w:rsidRPr="00F8603C" w:rsidRDefault="00201151" w:rsidP="00201151">
      <w:pPr>
        <w:jc w:val="both"/>
        <w:rPr>
          <w:lang w:val="en-US"/>
        </w:rPr>
      </w:pPr>
    </w:p>
    <w:p w:rsidR="005328CD" w:rsidRPr="001F6421" w:rsidRDefault="005328CD" w:rsidP="005328CD">
      <w:pPr>
        <w:tabs>
          <w:tab w:val="left" w:pos="0"/>
          <w:tab w:val="left" w:pos="1080"/>
        </w:tabs>
        <w:jc w:val="both"/>
        <w:rPr>
          <w:bCs/>
          <w:color w:val="0070C0"/>
          <w:sz w:val="8"/>
          <w:szCs w:val="8"/>
        </w:rPr>
      </w:pPr>
    </w:p>
    <w:p w:rsidR="005328CD" w:rsidRPr="001F6421" w:rsidRDefault="005328CD" w:rsidP="005328CD">
      <w:pPr>
        <w:tabs>
          <w:tab w:val="left" w:pos="0"/>
          <w:tab w:val="left" w:pos="1080"/>
        </w:tabs>
        <w:jc w:val="both"/>
        <w:rPr>
          <w:bCs/>
          <w:color w:val="0070C0"/>
          <w:sz w:val="8"/>
          <w:szCs w:val="8"/>
        </w:rPr>
      </w:pPr>
    </w:p>
    <w:p w:rsidR="005328CD" w:rsidRPr="00695C2D" w:rsidRDefault="005328CD" w:rsidP="00781B85">
      <w:pPr>
        <w:pStyle w:val="Heading3"/>
        <w:numPr>
          <w:ilvl w:val="1"/>
          <w:numId w:val="10"/>
        </w:numPr>
        <w:spacing w:before="0" w:after="0"/>
        <w:rPr>
          <w:rFonts w:ascii="Times New Roman" w:hAnsi="Times New Roman"/>
          <w:sz w:val="24"/>
          <w:lang w:val="bg-BG"/>
        </w:rPr>
      </w:pPr>
      <w:bookmarkStart w:id="117" w:name="_Toc393728054"/>
      <w:bookmarkStart w:id="118" w:name="_Toc462146103"/>
      <w:r w:rsidRPr="00695C2D">
        <w:rPr>
          <w:rFonts w:ascii="Times New Roman" w:hAnsi="Times New Roman"/>
          <w:sz w:val="24"/>
          <w:lang w:val="bg-BG"/>
        </w:rPr>
        <w:t>Мерки на НАП и АМ за повишаване на събираемостта на приходите</w:t>
      </w:r>
      <w:bookmarkEnd w:id="117"/>
      <w:bookmarkEnd w:id="118"/>
    </w:p>
    <w:p w:rsidR="005328CD" w:rsidRPr="001F6421" w:rsidRDefault="005328CD" w:rsidP="005328CD">
      <w:pPr>
        <w:jc w:val="both"/>
        <w:rPr>
          <w:color w:val="0070C0"/>
          <w:sz w:val="8"/>
          <w:szCs w:val="8"/>
        </w:rPr>
      </w:pPr>
    </w:p>
    <w:p w:rsidR="00523AD6" w:rsidRDefault="00523AD6" w:rsidP="00523AD6">
      <w:pPr>
        <w:ind w:firstLine="360"/>
        <w:jc w:val="both"/>
        <w:rPr>
          <w:color w:val="0070C0"/>
        </w:rPr>
      </w:pPr>
      <w:r>
        <w:t>Превенцията и борбата с данъчните измами и отклонението от данъчно облагане е основен правителствен приоритет и стратегическите насоки по този приоритет са: законодателна политика за превенция и разкриване на данъчни измами и отклонение от данъчно облагане, тясно оперативно сътрудничество и междуинституционален подход.</w:t>
      </w:r>
    </w:p>
    <w:p w:rsidR="00523AD6" w:rsidRDefault="00523AD6" w:rsidP="00523AD6">
      <w:pPr>
        <w:pStyle w:val="BodyText"/>
        <w:spacing w:after="40"/>
        <w:ind w:firstLine="720"/>
        <w:jc w:val="both"/>
        <w:rPr>
          <w:color w:val="0070C0"/>
          <w:sz w:val="4"/>
          <w:szCs w:val="4"/>
        </w:rPr>
      </w:pPr>
    </w:p>
    <w:p w:rsidR="00523AD6" w:rsidRDefault="00523AD6" w:rsidP="00523AD6">
      <w:pPr>
        <w:pStyle w:val="BodyText"/>
        <w:spacing w:after="40"/>
        <w:ind w:firstLine="720"/>
        <w:jc w:val="both"/>
        <w:rPr>
          <w:b/>
          <w:u w:val="single"/>
        </w:rPr>
      </w:pPr>
      <w:r>
        <w:rPr>
          <w:b/>
          <w:u w:val="single"/>
        </w:rPr>
        <w:t>Мерки, предприети от НАП</w:t>
      </w:r>
    </w:p>
    <w:p w:rsidR="00523AD6" w:rsidRDefault="00523AD6" w:rsidP="00523AD6">
      <w:pPr>
        <w:pStyle w:val="BodyText"/>
        <w:spacing w:after="40"/>
        <w:ind w:firstLine="720"/>
        <w:jc w:val="both"/>
        <w:rPr>
          <w:b/>
          <w:color w:val="0070C0"/>
          <w:sz w:val="8"/>
          <w:szCs w:val="8"/>
          <w:u w:val="single"/>
        </w:rPr>
      </w:pPr>
    </w:p>
    <w:p w:rsidR="00523AD6" w:rsidRDefault="00523AD6" w:rsidP="00523AD6">
      <w:pPr>
        <w:spacing w:after="120"/>
        <w:ind w:firstLine="720"/>
        <w:jc w:val="both"/>
        <w:rPr>
          <w:b/>
          <w:i/>
          <w:u w:val="single"/>
        </w:rPr>
      </w:pPr>
      <w:r>
        <w:rPr>
          <w:b/>
          <w:color w:val="0070C0"/>
          <w:lang w:val="en-US"/>
        </w:rPr>
        <w:t xml:space="preserve">   </w:t>
      </w:r>
      <w:r>
        <w:rPr>
          <w:b/>
          <w:i/>
          <w:u w:val="single"/>
        </w:rPr>
        <w:t>І. Събиране на просрочени публични вземания</w:t>
      </w:r>
    </w:p>
    <w:p w:rsidR="00523AD6" w:rsidRDefault="00523AD6" w:rsidP="00EC33FC">
      <w:pPr>
        <w:numPr>
          <w:ilvl w:val="0"/>
          <w:numId w:val="81"/>
        </w:numPr>
        <w:spacing w:before="120" w:after="120"/>
        <w:jc w:val="both"/>
        <w:rPr>
          <w:rFonts w:eastAsia="Calibri"/>
          <w:b/>
          <w:bCs/>
          <w:lang w:eastAsia="en-US"/>
        </w:rPr>
      </w:pPr>
      <w:r>
        <w:rPr>
          <w:rFonts w:eastAsia="Calibri"/>
          <w:b/>
          <w:bCs/>
          <w:lang w:eastAsia="en-US"/>
        </w:rPr>
        <w:t xml:space="preserve"> Мерки, целящи стимулиране на доброволното изпълнение</w:t>
      </w:r>
    </w:p>
    <w:p w:rsidR="00523AD6" w:rsidRDefault="00523AD6" w:rsidP="00523AD6">
      <w:pPr>
        <w:ind w:firstLine="709"/>
        <w:jc w:val="both"/>
        <w:rPr>
          <w:rFonts w:eastAsia="Calibri"/>
          <w:lang w:eastAsia="en-US"/>
        </w:rPr>
      </w:pPr>
      <w:r>
        <w:rPr>
          <w:rFonts w:eastAsia="Calibri"/>
          <w:lang w:eastAsia="en-US"/>
        </w:rPr>
        <w:t>През 2015 г. значително беше повишен интензитет</w:t>
      </w:r>
      <w:r w:rsidR="005827F2">
        <w:rPr>
          <w:rFonts w:eastAsia="Calibri"/>
          <w:lang w:eastAsia="en-US"/>
        </w:rPr>
        <w:t>ът</w:t>
      </w:r>
      <w:r>
        <w:rPr>
          <w:rFonts w:eastAsia="Calibri"/>
          <w:lang w:eastAsia="en-US"/>
        </w:rPr>
        <w:t xml:space="preserve"> на мерките, свързани със стимулиране </w:t>
      </w:r>
      <w:r w:rsidR="005827F2">
        <w:rPr>
          <w:rFonts w:eastAsia="Calibri"/>
          <w:lang w:eastAsia="en-US"/>
        </w:rPr>
        <w:t xml:space="preserve">на </w:t>
      </w:r>
      <w:r>
        <w:rPr>
          <w:rFonts w:eastAsia="Calibri"/>
          <w:lang w:eastAsia="en-US"/>
        </w:rPr>
        <w:t xml:space="preserve">доброволното изпълнение на задълженията, чрез прилагане на така наречените „меки способи“ – уведомления, напомнителни писма, разясняване на възможностите за обезпечаване и погасяване на задълженията на лица с временно финансово затруднение, договаряне на ангажименти към приходната администрация и други. Същите, освен фискален ефект, изразяващ са в реални постъпления („бързи пари“), целят да провокират активно поведение от страна на задължените лица с оглед заплащане на задълженията, дисциплиниране и трайна промяна в поведението им с оглед намаляване на разходите за събиране на дълга чрез намаляване на броя на лицата, за които ще се предприемат действия по изпращане на писмена покана и принудително събиране. </w:t>
      </w:r>
    </w:p>
    <w:p w:rsidR="00523AD6" w:rsidRDefault="00523AD6" w:rsidP="00523AD6">
      <w:pPr>
        <w:ind w:firstLine="709"/>
        <w:jc w:val="both"/>
        <w:rPr>
          <w:rFonts w:eastAsia="Calibri"/>
          <w:b/>
          <w:lang w:eastAsia="en-US"/>
        </w:rPr>
      </w:pPr>
      <w:r>
        <w:rPr>
          <w:rFonts w:eastAsia="Calibri"/>
          <w:lang w:eastAsia="en-US"/>
        </w:rPr>
        <w:t>Постигнатите по-високи резултати при събиране на просрочени задължения с „меки способи“, се дължат както на повишената концентрация/интензитет на кампаниите, така и на по-качествената и навременна селекция на лицата, които се включват в такъв тип кампании.</w:t>
      </w:r>
    </w:p>
    <w:p w:rsidR="00523AD6" w:rsidRDefault="00523AD6" w:rsidP="00EC33FC">
      <w:pPr>
        <w:numPr>
          <w:ilvl w:val="0"/>
          <w:numId w:val="82"/>
        </w:numPr>
        <w:tabs>
          <w:tab w:val="left" w:pos="1134"/>
        </w:tabs>
        <w:spacing w:before="120" w:after="120"/>
        <w:jc w:val="both"/>
        <w:rPr>
          <w:rFonts w:eastAsia="Calibri"/>
          <w:b/>
          <w:lang w:eastAsia="en-US"/>
        </w:rPr>
      </w:pPr>
      <w:r>
        <w:rPr>
          <w:rFonts w:eastAsia="Calibri"/>
          <w:b/>
          <w:lang w:eastAsia="en-US"/>
        </w:rPr>
        <w:t xml:space="preserve"> Изпращане на съобщения до лица с новодекларирани задължения</w:t>
      </w:r>
    </w:p>
    <w:p w:rsidR="00523AD6" w:rsidRDefault="00523AD6" w:rsidP="00523AD6">
      <w:pPr>
        <w:ind w:firstLine="709"/>
        <w:jc w:val="both"/>
        <w:rPr>
          <w:rFonts w:eastAsia="Calibri"/>
          <w:b/>
          <w:lang w:eastAsia="en-US"/>
        </w:rPr>
      </w:pPr>
      <w:r>
        <w:rPr>
          <w:rFonts w:eastAsia="Calibri"/>
          <w:lang w:eastAsia="en-US"/>
        </w:rPr>
        <w:t xml:space="preserve">През 2015 г., като допълнителна мярка за стимулиране на доброволното изпълнение на нововъзникнали задължения по годишни данъчни декларации по ЗКПО и ЗДДФЛ за финансовата 2014 г., в кратки срокове след изтичане на законовия срок за плащане, бяха изпратени електронни уведомления до 38 хил. задължени лица. В следствие на изпратените съобщения постъпиха суми в размер на 44,6 млн. лв., което е 28 % от дълга на </w:t>
      </w:r>
      <w:r>
        <w:rPr>
          <w:rFonts w:eastAsia="Calibri"/>
          <w:lang w:eastAsia="en-US"/>
        </w:rPr>
        <w:lastRenderedPageBreak/>
        <w:t>лицата. Допълнителен ефект бе редуцирането с 21 % на броя на длъжниците, които бяха обект на последващи информационни телефонни кампании и действия от страна на публичните изпълнители в ТД на НАП.</w:t>
      </w:r>
    </w:p>
    <w:p w:rsidR="00523AD6" w:rsidRDefault="00523AD6" w:rsidP="00EC33FC">
      <w:pPr>
        <w:numPr>
          <w:ilvl w:val="0"/>
          <w:numId w:val="83"/>
        </w:numPr>
        <w:tabs>
          <w:tab w:val="left" w:pos="1134"/>
        </w:tabs>
        <w:spacing w:before="120" w:after="120"/>
        <w:jc w:val="both"/>
        <w:rPr>
          <w:rFonts w:eastAsia="Calibri"/>
          <w:b/>
          <w:lang w:eastAsia="en-US"/>
        </w:rPr>
      </w:pPr>
      <w:r>
        <w:rPr>
          <w:rFonts w:eastAsia="Calibri"/>
          <w:b/>
          <w:lang w:eastAsia="en-US"/>
        </w:rPr>
        <w:t xml:space="preserve"> Уведомяване по телефона на задължени лица, които не погасяват в законоустановените срокове декларираните си задължения, за които НАП е взискател</w:t>
      </w:r>
    </w:p>
    <w:p w:rsidR="00523AD6" w:rsidRDefault="00523AD6" w:rsidP="00523AD6">
      <w:pPr>
        <w:tabs>
          <w:tab w:val="left" w:pos="709"/>
        </w:tabs>
        <w:ind w:firstLine="709"/>
        <w:jc w:val="both"/>
        <w:rPr>
          <w:rFonts w:eastAsia="Calibri"/>
          <w:lang w:eastAsia="en-US"/>
        </w:rPr>
      </w:pPr>
      <w:r>
        <w:rPr>
          <w:rFonts w:eastAsia="Calibri"/>
          <w:lang w:eastAsia="en-US"/>
        </w:rPr>
        <w:t xml:space="preserve">Наред с провеждането на ежегодните планови информационни кампании на централно ниво чрез Информационния център на НАП, насочени към стимулиране на доброволното изпълнение на просрочени задължения, и през 2015 г. се инициира допълнителна мярка за осъществяване, чрез териториалните дирекции на НАП, на личен телефонен контакт с длъжници. Контактът е осъществяван незабавно след възникване на просрочено задължение за данъци или задължителни осигурителни вноски. В резултат от осъществен контакт с над 28 хил. лица, освен прекия ефект, изразяващ се в реално постъпване в бюджета на сума в размер на 61 млн. лв., е отчетен и косвен ефект, изразяващ се в икономия на процесуални действия и подобряване на организацията на работа чрез използване в териториалните дирекции на наличния свободен административен ресурс. </w:t>
      </w:r>
    </w:p>
    <w:p w:rsidR="00523AD6" w:rsidRDefault="00523AD6" w:rsidP="00EC33FC">
      <w:pPr>
        <w:numPr>
          <w:ilvl w:val="0"/>
          <w:numId w:val="84"/>
        </w:numPr>
        <w:tabs>
          <w:tab w:val="left" w:pos="1134"/>
        </w:tabs>
        <w:spacing w:before="120" w:after="120"/>
        <w:jc w:val="both"/>
        <w:rPr>
          <w:rFonts w:eastAsia="Calibri"/>
          <w:lang w:eastAsia="en-US"/>
        </w:rPr>
      </w:pPr>
      <w:r>
        <w:rPr>
          <w:rFonts w:eastAsia="Calibri"/>
          <w:b/>
          <w:lang w:eastAsia="en-US"/>
        </w:rPr>
        <w:t xml:space="preserve"> Уведомяване на длъжници с имущество, върху което са наложени обезпечения от НАП за предстояща публична продан</w:t>
      </w:r>
    </w:p>
    <w:p w:rsidR="00523AD6" w:rsidRDefault="00523AD6" w:rsidP="00523AD6">
      <w:pPr>
        <w:ind w:firstLine="709"/>
        <w:jc w:val="both"/>
        <w:rPr>
          <w:rFonts w:eastAsia="Calibri"/>
          <w:lang w:eastAsia="en-US"/>
        </w:rPr>
      </w:pPr>
      <w:r>
        <w:rPr>
          <w:rFonts w:eastAsia="Calibri"/>
          <w:lang w:eastAsia="en-US"/>
        </w:rPr>
        <w:t>Мярката се реализира през втората половина на годината и бе насочена към 1 028 длъжници, чиито задължения са обезпечени, но не ги погасяват. Длъжниците бяха уведомени, че следва да платят изцяло задълженията си или да предложат краткосрочно погасяване на части на задължението. След получаване на писмата, 455 лица са инициирали действия, като платената сума е в размер на 20,4 млн. лв. Спрямо запорираното или възбранено имущество на лицата, непредприели действия за плащане на дълга, се пристъпи към публична продан.</w:t>
      </w:r>
    </w:p>
    <w:p w:rsidR="00523AD6" w:rsidRDefault="00523AD6" w:rsidP="00EC33FC">
      <w:pPr>
        <w:numPr>
          <w:ilvl w:val="0"/>
          <w:numId w:val="85"/>
        </w:numPr>
        <w:tabs>
          <w:tab w:val="left" w:pos="1134"/>
        </w:tabs>
        <w:spacing w:before="120" w:after="120"/>
        <w:jc w:val="both"/>
        <w:rPr>
          <w:rFonts w:eastAsia="Calibri"/>
          <w:lang w:eastAsia="en-US"/>
        </w:rPr>
      </w:pPr>
      <w:r>
        <w:rPr>
          <w:rFonts w:eastAsia="Calibri"/>
          <w:b/>
          <w:lang w:eastAsia="en-US"/>
        </w:rPr>
        <w:t xml:space="preserve"> Събиране на публични задължения от лица – държавни служители</w:t>
      </w:r>
    </w:p>
    <w:p w:rsidR="00523AD6" w:rsidRDefault="00523AD6" w:rsidP="00523AD6">
      <w:pPr>
        <w:spacing w:after="120"/>
        <w:ind w:firstLine="709"/>
        <w:jc w:val="both"/>
        <w:rPr>
          <w:rFonts w:eastAsia="Calibri"/>
          <w:lang w:eastAsia="en-US"/>
        </w:rPr>
      </w:pPr>
      <w:r>
        <w:rPr>
          <w:rFonts w:eastAsia="Calibri"/>
          <w:lang w:eastAsia="en-US"/>
        </w:rPr>
        <w:t>През 2015 г. стартира и кампания за събиране на публични задължения от лица – държавни служители, първоначално за служителите на НАП. На два етапа се отправиха покани към лицата със задължения за доброволното им издължаване в рамките на кратки срокове (чрез съобщение във вътрешната страница на агенцията и чрез персонално съобщение от името на ИД на НАП, изпратено до служебните електронни пощи на неплатилите след съобщението в НАПНЕТ). Спрямо служителите, които до 20.07.2015 г. не бяха погасили публичните си задължения, се предприеха действия за принудително събиране, в т.ч. и чрез запор на трудовото им възнаграждение. В резултат от кампанията, в бюджета са постъпили суми в размер на близо 150 хил. лв., като 58 % от лицата със задължения към момента на стартирането й, са ги погасили изцяло до 31.12.2015 г.</w:t>
      </w:r>
    </w:p>
    <w:p w:rsidR="00523AD6" w:rsidRDefault="00523AD6" w:rsidP="00EC33FC">
      <w:pPr>
        <w:numPr>
          <w:ilvl w:val="0"/>
          <w:numId w:val="81"/>
        </w:numPr>
        <w:spacing w:before="120" w:after="120"/>
        <w:jc w:val="both"/>
        <w:rPr>
          <w:rFonts w:eastAsia="Calibri"/>
          <w:b/>
          <w:bCs/>
          <w:lang w:eastAsia="en-US"/>
        </w:rPr>
      </w:pPr>
      <w:r>
        <w:rPr>
          <w:rFonts w:eastAsia="Calibri"/>
          <w:b/>
          <w:bCs/>
          <w:lang w:eastAsia="en-US"/>
        </w:rPr>
        <w:t xml:space="preserve"> Целеви кампании за принудително събиране на вземанията от некоректните длъжници</w:t>
      </w:r>
    </w:p>
    <w:p w:rsidR="00523AD6" w:rsidRDefault="00523AD6" w:rsidP="00523AD6">
      <w:pPr>
        <w:ind w:firstLine="709"/>
        <w:jc w:val="both"/>
        <w:rPr>
          <w:rFonts w:eastAsia="Calibri"/>
          <w:lang w:eastAsia="en-US"/>
        </w:rPr>
      </w:pPr>
      <w:r>
        <w:rPr>
          <w:rFonts w:eastAsia="Calibri"/>
          <w:lang w:eastAsia="en-US"/>
        </w:rPr>
        <w:t>Наред с текущите действия по принудително събиране на публичните вземания, засилено се прилагат и следните мерки, целящи подобряване събираемостта на просрочените публичните вземания и намаляване на непогасения дълг:</w:t>
      </w:r>
    </w:p>
    <w:p w:rsidR="00523AD6" w:rsidRDefault="00523AD6" w:rsidP="00EC33FC">
      <w:pPr>
        <w:numPr>
          <w:ilvl w:val="0"/>
          <w:numId w:val="86"/>
        </w:numPr>
        <w:tabs>
          <w:tab w:val="left" w:pos="1134"/>
        </w:tabs>
        <w:spacing w:before="120" w:after="120"/>
        <w:jc w:val="both"/>
        <w:rPr>
          <w:rFonts w:eastAsia="Calibri"/>
          <w:b/>
          <w:lang w:eastAsia="en-US"/>
        </w:rPr>
      </w:pPr>
      <w:r>
        <w:rPr>
          <w:rFonts w:eastAsia="Calibri"/>
          <w:b/>
          <w:lang w:eastAsia="en-US"/>
        </w:rPr>
        <w:t xml:space="preserve"> Осъществяване на постоянен мониторинг по отношение на длъжници с просрочени задължения</w:t>
      </w:r>
    </w:p>
    <w:p w:rsidR="00523AD6" w:rsidRDefault="00523AD6" w:rsidP="00523AD6">
      <w:pPr>
        <w:ind w:firstLine="709"/>
        <w:jc w:val="both"/>
        <w:rPr>
          <w:rFonts w:eastAsia="Calibri"/>
          <w:lang w:eastAsia="en-US"/>
        </w:rPr>
      </w:pPr>
      <w:r>
        <w:rPr>
          <w:rFonts w:eastAsia="Calibri"/>
          <w:lang w:eastAsia="en-US"/>
        </w:rPr>
        <w:t xml:space="preserve">И през 2015 г. по отношение на длъжници с най-големите по размер просрочени задължения за данъци и задължителни осигурителни вноски, категоризирани като </w:t>
      </w:r>
      <w:r>
        <w:rPr>
          <w:rFonts w:eastAsia="Calibri"/>
          <w:lang w:eastAsia="en-US"/>
        </w:rPr>
        <w:lastRenderedPageBreak/>
        <w:t>събираеми и частично-събираеми, се осъществяваше постоянен мониторинг. Мярката включва провеждането на персонални срещи от страна на директорите на териториални дирекции на НАП в цялата страна с лицата с невнесени публични задължения в особено големи размери, с цел поемане на изрични ангажименти за предоставяне на обезпечения и/или извършване на цялостни или частични плащания на просрочените дългове, ефективно наблюдение на поетите от длъжниците ангажименти и навременен контрол за третирането им от страна на компетентните органи – актуална оценка на икономическия статус на задълженото лице, своевременно налагане на обезпечителни мерки, издаване на разрешения за неотложни плащания, разсрочване/отсрочване, реализиране на имуществото, извършване на ревизии и проверки при необходимост и други.</w:t>
      </w:r>
    </w:p>
    <w:p w:rsidR="00523AD6" w:rsidRDefault="00523AD6" w:rsidP="00523AD6">
      <w:pPr>
        <w:ind w:firstLine="709"/>
        <w:jc w:val="both"/>
        <w:rPr>
          <w:rFonts w:eastAsia="Calibri"/>
          <w:lang w:eastAsia="en-US"/>
        </w:rPr>
      </w:pPr>
      <w:r>
        <w:rPr>
          <w:rFonts w:eastAsia="Calibri"/>
          <w:lang w:eastAsia="en-US"/>
        </w:rPr>
        <w:t xml:space="preserve">В резултат от мониторинга, 614 от наблюдаваните лица са погасили изцяло просрочените си публични задължения в размер над 230 млн. лева. За 2015 г., лицата, обект на мониторинга са внесли в бюджета 707,4 млн. лв. – с 34,8 млн. лв. повече, в сравнение с 2014 г., като основната част от този допълнителен приход се дължи на дисциплиниращия ефект от прилагане на мярката. </w:t>
      </w:r>
    </w:p>
    <w:p w:rsidR="00523AD6" w:rsidRDefault="00523AD6" w:rsidP="00523AD6">
      <w:pPr>
        <w:ind w:firstLine="709"/>
        <w:jc w:val="both"/>
        <w:rPr>
          <w:rFonts w:eastAsia="Calibri"/>
          <w:color w:val="FF0000"/>
          <w:lang w:eastAsia="en-US"/>
        </w:rPr>
      </w:pPr>
      <w:r>
        <w:rPr>
          <w:rFonts w:eastAsia="Calibri"/>
          <w:lang w:eastAsia="en-US"/>
        </w:rPr>
        <w:t>Като допълнителна мярка спрямо лицата с непогасени задължения за данъци и задължителни осигурителни вноски с размер, попадащ в по-ниските диапазони, през месец август стартира и мониторинг с постоянен характер на ниво ТД на НАП. В обхвата на същия попаднаха 4 041 лица, като дългът им за четирите месеца, през които длъжниците бяха обект на наблюдение, намаля с близо 38,6 млн. лева.</w:t>
      </w:r>
    </w:p>
    <w:p w:rsidR="00523AD6" w:rsidRDefault="00523AD6" w:rsidP="00EC33FC">
      <w:pPr>
        <w:numPr>
          <w:ilvl w:val="0"/>
          <w:numId w:val="87"/>
        </w:numPr>
        <w:tabs>
          <w:tab w:val="left" w:pos="1134"/>
        </w:tabs>
        <w:spacing w:before="120" w:after="120"/>
        <w:jc w:val="both"/>
        <w:rPr>
          <w:rFonts w:eastAsia="Calibri"/>
          <w:b/>
          <w:lang w:eastAsia="en-US"/>
        </w:rPr>
      </w:pPr>
      <w:r>
        <w:rPr>
          <w:rFonts w:eastAsia="Calibri"/>
          <w:b/>
          <w:lang w:eastAsia="en-US"/>
        </w:rPr>
        <w:t xml:space="preserve"> Изпълнение върху парични средства в каси на търговци, с непогасени публични задължения </w:t>
      </w:r>
    </w:p>
    <w:p w:rsidR="00523AD6" w:rsidRDefault="00523AD6" w:rsidP="00523AD6">
      <w:pPr>
        <w:ind w:firstLine="709"/>
        <w:jc w:val="both"/>
        <w:rPr>
          <w:rFonts w:eastAsia="Calibri"/>
          <w:b/>
          <w:lang w:eastAsia="en-US"/>
        </w:rPr>
      </w:pPr>
      <w:r>
        <w:rPr>
          <w:rFonts w:eastAsia="Calibri"/>
          <w:bCs/>
          <w:lang w:eastAsia="en-US"/>
        </w:rPr>
        <w:t xml:space="preserve">В периода август–декември 2015 г., на база резултатите от извършено дистанционно наблюдение на търговски обекти, бяха селектирани 307 търговци, системно неплащащи задълженията си за данъци и осигурителни вноски, но разполагащи с парични средства и отчитащи значителни обороти на касовите си апарати, спрямо които се приложи мярката запор/изпълнение върху парични средства в каси. При </w:t>
      </w:r>
      <w:r>
        <w:rPr>
          <w:rFonts w:eastAsia="Calibri"/>
          <w:lang w:eastAsia="en-US"/>
        </w:rPr>
        <w:t xml:space="preserve">проведените акции </w:t>
      </w:r>
      <w:r>
        <w:rPr>
          <w:rFonts w:eastAsia="Calibri"/>
          <w:bCs/>
          <w:lang w:eastAsia="en-US"/>
        </w:rPr>
        <w:t>бяха посетени 347 търговски обекти като в</w:t>
      </w:r>
      <w:r>
        <w:rPr>
          <w:rFonts w:eastAsia="Calibri"/>
          <w:lang w:eastAsia="en-US"/>
        </w:rPr>
        <w:t xml:space="preserve"> резултат бяха събрани суми в размер на 1,3 млн. лева.</w:t>
      </w:r>
    </w:p>
    <w:p w:rsidR="00523AD6" w:rsidRDefault="00523AD6" w:rsidP="00EC33FC">
      <w:pPr>
        <w:numPr>
          <w:ilvl w:val="0"/>
          <w:numId w:val="88"/>
        </w:numPr>
        <w:tabs>
          <w:tab w:val="left" w:pos="1134"/>
        </w:tabs>
        <w:spacing w:before="120" w:after="120"/>
        <w:jc w:val="both"/>
        <w:rPr>
          <w:rFonts w:eastAsia="Calibri"/>
          <w:b/>
          <w:lang w:eastAsia="en-US"/>
        </w:rPr>
      </w:pPr>
      <w:r>
        <w:rPr>
          <w:rFonts w:eastAsia="Calibri"/>
          <w:b/>
          <w:lang w:eastAsia="en-US"/>
        </w:rPr>
        <w:t xml:space="preserve"> Насочване на изпълнението към вземания на длъжници - изпълнители по договори, от трети лица - разпоредители с бюджет</w:t>
      </w:r>
    </w:p>
    <w:p w:rsidR="00523AD6" w:rsidRDefault="00523AD6" w:rsidP="00523AD6">
      <w:pPr>
        <w:ind w:firstLine="709"/>
        <w:jc w:val="both"/>
        <w:rPr>
          <w:rFonts w:eastAsia="Calibri"/>
          <w:lang w:eastAsia="en-US"/>
        </w:rPr>
      </w:pPr>
      <w:r>
        <w:rPr>
          <w:rFonts w:eastAsia="Calibri"/>
          <w:lang w:eastAsia="en-US"/>
        </w:rPr>
        <w:t>И през 2015 г. една от основните мерки за събиране на публичните задължения от длъжници, явяващи се изпълнители по договори с лица – разпоредители с бюджетни средства, бе приоритетно насочване на изпълнението към предстоящите плащания по тези договори. Мярката беше въведената през декември 2014 г. в изпълнение на Решение на Министерски съвет № 788 от 28.11.2014 г. и е с постоянен характер. Целта на същата е постигане на бърза и ефективна събираемост на публични вземания. В резултат от мярката, през 2015 г. в бюджета постъпиха суми в размер на 188,1 млн. лева.</w:t>
      </w:r>
    </w:p>
    <w:p w:rsidR="00523AD6" w:rsidRDefault="00523AD6" w:rsidP="00523AD6">
      <w:pPr>
        <w:spacing w:after="120"/>
        <w:ind w:firstLine="709"/>
        <w:jc w:val="both"/>
        <w:rPr>
          <w:rFonts w:eastAsia="Calibri"/>
          <w:lang w:eastAsia="en-US"/>
        </w:rPr>
      </w:pPr>
      <w:r>
        <w:rPr>
          <w:rFonts w:eastAsia="Calibri"/>
          <w:lang w:eastAsia="en-US"/>
        </w:rPr>
        <w:t>Наред с реализирания фискален ефект от мярката, следва да се отбележи и ефекта в посока укрепването на междуинституционалното сътрудничество.</w:t>
      </w:r>
    </w:p>
    <w:p w:rsidR="00523AD6" w:rsidRDefault="00523AD6" w:rsidP="00EC33FC">
      <w:pPr>
        <w:numPr>
          <w:ilvl w:val="0"/>
          <w:numId w:val="89"/>
        </w:numPr>
        <w:spacing w:before="120" w:after="120"/>
        <w:jc w:val="both"/>
        <w:rPr>
          <w:rFonts w:eastAsia="Calibri"/>
          <w:b/>
          <w:bCs/>
          <w:lang w:eastAsia="en-US"/>
        </w:rPr>
      </w:pPr>
      <w:r>
        <w:rPr>
          <w:rFonts w:eastAsia="Calibri"/>
          <w:b/>
          <w:bCs/>
          <w:lang w:eastAsia="en-US"/>
        </w:rPr>
        <w:t xml:space="preserve"> Резултати от събиране на просрочени публични вземания</w:t>
      </w:r>
    </w:p>
    <w:p w:rsidR="00523AD6" w:rsidRDefault="00523AD6" w:rsidP="00523AD6">
      <w:pPr>
        <w:spacing w:after="120"/>
        <w:ind w:firstLine="709"/>
        <w:jc w:val="both"/>
        <w:rPr>
          <w:rFonts w:eastAsia="Calibri"/>
          <w:lang w:eastAsia="en-US"/>
        </w:rPr>
      </w:pPr>
      <w:r>
        <w:rPr>
          <w:rFonts w:eastAsia="Calibri"/>
          <w:lang w:eastAsia="en-US"/>
        </w:rPr>
        <w:t xml:space="preserve">В резултат на комплексното прилагане на специфични мерки и кампании продължаващи от 2014 г., както и инициирани през 2015 г., се отчита промяна в поведението на длъжниците, изразяващо се в по-малък размер на задълженията, които не са платени в законовия срок. Общият размер на декларираните и начислени суми през 2015 г. е нараснал с 6 % - 1 298 млн. лв., а размерът на просрочените задължения е намалял с 260,5 млн. лв. (5 %), спрямо 2014 година. Процентът на платените в срок </w:t>
      </w:r>
      <w:r>
        <w:rPr>
          <w:rFonts w:eastAsia="Calibri"/>
          <w:lang w:eastAsia="en-US"/>
        </w:rPr>
        <w:lastRenderedPageBreak/>
        <w:t>задължения е нараснал с 2,</w:t>
      </w:r>
      <w:r w:rsidR="00936E52">
        <w:rPr>
          <w:rFonts w:eastAsia="Calibri"/>
          <w:lang w:val="en-US" w:eastAsia="en-US"/>
        </w:rPr>
        <w:t>1</w:t>
      </w:r>
      <w:r>
        <w:rPr>
          <w:rFonts w:eastAsia="Calibri"/>
          <w:lang w:eastAsia="en-US"/>
        </w:rPr>
        <w:t xml:space="preserve"> </w:t>
      </w:r>
      <w:r w:rsidR="00936E52">
        <w:rPr>
          <w:rFonts w:eastAsia="Calibri"/>
          <w:lang w:eastAsia="en-US"/>
        </w:rPr>
        <w:t>п.п.</w:t>
      </w:r>
      <w:r>
        <w:rPr>
          <w:rFonts w:eastAsia="Calibri"/>
          <w:lang w:eastAsia="en-US"/>
        </w:rPr>
        <w:t xml:space="preserve"> – от 77,0 % към 31.12.2014 г. до 79,1 % към 31.12.2015 г., като доброволното изпълнение на задълженията по декларации е 82 %.</w:t>
      </w:r>
    </w:p>
    <w:p w:rsidR="00523AD6" w:rsidRPr="00EC33FC" w:rsidRDefault="00523AD6" w:rsidP="00EC33FC">
      <w:pPr>
        <w:numPr>
          <w:ilvl w:val="0"/>
          <w:numId w:val="89"/>
        </w:numPr>
        <w:spacing w:before="120" w:after="120"/>
        <w:jc w:val="both"/>
        <w:rPr>
          <w:rFonts w:eastAsia="Calibri"/>
          <w:b/>
          <w:bCs/>
          <w:lang w:eastAsia="en-US"/>
        </w:rPr>
      </w:pPr>
      <w:r>
        <w:rPr>
          <w:rFonts w:eastAsia="Calibri"/>
          <w:b/>
          <w:bCs/>
          <w:lang w:eastAsia="en-US"/>
        </w:rPr>
        <w:t xml:space="preserve"> Мерки, целящи подобряване на организацията на работа</w:t>
      </w:r>
    </w:p>
    <w:p w:rsidR="00523AD6" w:rsidRDefault="00523AD6" w:rsidP="00EC33FC">
      <w:pPr>
        <w:numPr>
          <w:ilvl w:val="0"/>
          <w:numId w:val="90"/>
        </w:numPr>
        <w:tabs>
          <w:tab w:val="left" w:pos="1134"/>
        </w:tabs>
        <w:spacing w:before="120" w:after="120"/>
        <w:jc w:val="both"/>
        <w:rPr>
          <w:rFonts w:eastAsia="Calibri"/>
          <w:b/>
          <w:lang w:eastAsia="en-US"/>
        </w:rPr>
      </w:pPr>
      <w:r>
        <w:rPr>
          <w:rFonts w:eastAsia="Calibri"/>
          <w:b/>
          <w:lang w:eastAsia="en-US"/>
        </w:rPr>
        <w:t xml:space="preserve"> Концепция за развитие на дейността по събиране на публичните вземания в периода 2016–2020 година </w:t>
      </w:r>
    </w:p>
    <w:p w:rsidR="00523AD6" w:rsidRDefault="00523AD6" w:rsidP="00523AD6">
      <w:pPr>
        <w:widowControl w:val="0"/>
        <w:autoSpaceDE w:val="0"/>
        <w:autoSpaceDN w:val="0"/>
        <w:adjustRightInd w:val="0"/>
        <w:ind w:firstLine="709"/>
        <w:jc w:val="both"/>
        <w:rPr>
          <w:rFonts w:eastAsia="Calibri"/>
          <w:b/>
          <w:lang w:eastAsia="en-US"/>
        </w:rPr>
      </w:pPr>
      <w:r>
        <w:rPr>
          <w:rFonts w:eastAsia="Calibri"/>
          <w:lang w:eastAsia="en-US"/>
        </w:rPr>
        <w:t>През 2015 г. работна група с представители на дирекции „Събиране“, „Данъчно-осигурителна методология“, „Информационен център“, „Комуникации и протокол“, „Контрол“, „Обслужване“, „Контрол по изпълнението“ (сега Инспекторат), „Анализи и прогнози“ и „Държавни вземания“, извърши анализ на моментното състояние на дейността по събиране на публичните вземания. В резултат е изготв</w:t>
      </w:r>
      <w:r w:rsidR="00196A4A">
        <w:rPr>
          <w:rFonts w:eastAsia="Calibri"/>
          <w:lang w:eastAsia="en-US"/>
        </w:rPr>
        <w:t>ена</w:t>
      </w:r>
      <w:r>
        <w:rPr>
          <w:rFonts w:eastAsia="Calibri"/>
          <w:lang w:eastAsia="en-US"/>
        </w:rPr>
        <w:t xml:space="preserve"> концепция, съдържаща разбирането и визията на НАП за развитие на дейността по събиране на публичните вземания в периода 2016–2020 г. и представяща принципен подход за промяна на процесите, така че да са по-ефективни и по-икономични.</w:t>
      </w:r>
    </w:p>
    <w:p w:rsidR="00523AD6" w:rsidRDefault="00523AD6" w:rsidP="00EC33FC">
      <w:pPr>
        <w:numPr>
          <w:ilvl w:val="0"/>
          <w:numId w:val="90"/>
        </w:numPr>
        <w:tabs>
          <w:tab w:val="left" w:pos="1134"/>
        </w:tabs>
        <w:spacing w:before="120" w:after="120"/>
        <w:jc w:val="both"/>
        <w:rPr>
          <w:rFonts w:eastAsia="Calibri"/>
          <w:b/>
          <w:lang w:eastAsia="en-US"/>
        </w:rPr>
      </w:pPr>
      <w:r>
        <w:rPr>
          <w:rFonts w:eastAsia="Calibri"/>
          <w:b/>
          <w:lang w:eastAsia="en-US"/>
        </w:rPr>
        <w:t xml:space="preserve"> Разработване на единна информационна система, подпомагаща дейността по събиране на публичните вземания </w:t>
      </w:r>
    </w:p>
    <w:p w:rsidR="00523AD6" w:rsidRDefault="00523AD6" w:rsidP="00523AD6">
      <w:pPr>
        <w:widowControl w:val="0"/>
        <w:autoSpaceDE w:val="0"/>
        <w:autoSpaceDN w:val="0"/>
        <w:adjustRightInd w:val="0"/>
        <w:ind w:firstLine="709"/>
        <w:jc w:val="both"/>
        <w:rPr>
          <w:rFonts w:eastAsia="Calibri"/>
          <w:b/>
          <w:lang w:eastAsia="en-US"/>
        </w:rPr>
      </w:pPr>
      <w:r>
        <w:rPr>
          <w:rFonts w:eastAsia="Calibri"/>
          <w:lang w:eastAsia="en-US"/>
        </w:rPr>
        <w:t>В края на 2015 г. приключиха дейности по разработване на основните функционалности, обезпечаващи специализиран програмен продукт, обхващащ всички дейности по събиране на публичните вземания ИС „Събиране“ (модул „Принудително събиране“ от фаза ІІ на Софтуера за управление на приходите). Реализираните до края на 2015 г. дейности са в съответствие с утвърдения план-график по проекта. Извърши се национално тестване на системата с оглед внедряването й от 01.02.2016 година. Изпълнението на проекта продължава и през 2016 година.</w:t>
      </w:r>
    </w:p>
    <w:p w:rsidR="00523AD6" w:rsidRDefault="00523AD6" w:rsidP="00EC33FC">
      <w:pPr>
        <w:numPr>
          <w:ilvl w:val="0"/>
          <w:numId w:val="90"/>
        </w:numPr>
        <w:tabs>
          <w:tab w:val="left" w:pos="1134"/>
        </w:tabs>
        <w:spacing w:before="120" w:after="120"/>
        <w:jc w:val="both"/>
        <w:rPr>
          <w:rFonts w:eastAsia="Calibri"/>
          <w:b/>
          <w:lang w:eastAsia="en-US"/>
        </w:rPr>
      </w:pPr>
      <w:r>
        <w:rPr>
          <w:rFonts w:eastAsia="Calibri"/>
          <w:b/>
          <w:lang w:eastAsia="en-US"/>
        </w:rPr>
        <w:t xml:space="preserve"> Разработване на правила за създаване профил на длъжника</w:t>
      </w:r>
    </w:p>
    <w:p w:rsidR="00523AD6" w:rsidRDefault="00523AD6" w:rsidP="00523AD6">
      <w:pPr>
        <w:widowControl w:val="0"/>
        <w:autoSpaceDE w:val="0"/>
        <w:autoSpaceDN w:val="0"/>
        <w:adjustRightInd w:val="0"/>
        <w:ind w:firstLine="709"/>
        <w:jc w:val="both"/>
        <w:rPr>
          <w:rFonts w:eastAsia="Calibri"/>
          <w:lang w:eastAsia="en-US"/>
        </w:rPr>
      </w:pPr>
      <w:r>
        <w:rPr>
          <w:rFonts w:eastAsia="Calibri"/>
          <w:lang w:eastAsia="en-US"/>
        </w:rPr>
        <w:t xml:space="preserve">През 2015 г. бе реализирана функционалност в Управленската информационна система на НАП, за извеждане на едно място на основната информация за даден длъжник – задължения, имуществено състояние/активи и поведение, свързани лица и други. Разработената функционалност ще позволи сегментирането на задължените лица в групи в зависимост от желанието и възможностите на лицата за плащане на дълга и съответно прилагането на най-подходящите, ефективни и адекватни методи и процедури за събиране на публичните задължения. </w:t>
      </w:r>
    </w:p>
    <w:p w:rsidR="00523AD6" w:rsidRDefault="00523AD6" w:rsidP="00EC33FC">
      <w:pPr>
        <w:numPr>
          <w:ilvl w:val="0"/>
          <w:numId w:val="90"/>
        </w:numPr>
        <w:tabs>
          <w:tab w:val="left" w:pos="1134"/>
        </w:tabs>
        <w:spacing w:before="120" w:after="120"/>
        <w:jc w:val="both"/>
        <w:rPr>
          <w:rFonts w:eastAsia="Calibri"/>
          <w:b/>
          <w:lang w:eastAsia="en-US"/>
        </w:rPr>
      </w:pPr>
      <w:r>
        <w:rPr>
          <w:rFonts w:eastAsia="Calibri"/>
          <w:b/>
          <w:lang w:eastAsia="en-US"/>
        </w:rPr>
        <w:t xml:space="preserve"> Надграждане и укрепване на капацитета на служителите от функция „Събиране“</w:t>
      </w:r>
    </w:p>
    <w:p w:rsidR="00523AD6" w:rsidRDefault="00523AD6" w:rsidP="00523AD6">
      <w:pPr>
        <w:widowControl w:val="0"/>
        <w:autoSpaceDE w:val="0"/>
        <w:autoSpaceDN w:val="0"/>
        <w:adjustRightInd w:val="0"/>
        <w:ind w:firstLine="709"/>
        <w:jc w:val="both"/>
        <w:rPr>
          <w:rFonts w:eastAsia="Calibri"/>
          <w:lang w:eastAsia="en-US"/>
        </w:rPr>
      </w:pPr>
      <w:r>
        <w:rPr>
          <w:rFonts w:eastAsia="Calibri"/>
          <w:lang w:eastAsia="en-US"/>
        </w:rPr>
        <w:t>С цел надграждане и укрепване на капацитета на служителите от функция „Събиране“, във връзка с изпълнение на служебните им задължения при реализиране на изпълнителното производство по реда на ДОПК през 2015 г. се реализираха обучения, в изпълнение на договори № 14-22-35/14.10.2014 г. и № 14-22-37/14.10.2014 г. за предоставяне на безвъзмездна финансова помощ по ОПАК, съфинансирана от Европейския съюз чрез Европейския социален фонд, на следните теми:</w:t>
      </w:r>
    </w:p>
    <w:p w:rsidR="00523AD6" w:rsidRDefault="00523AD6" w:rsidP="00781B85">
      <w:pPr>
        <w:widowControl w:val="0"/>
        <w:numPr>
          <w:ilvl w:val="0"/>
          <w:numId w:val="49"/>
        </w:numPr>
        <w:suppressAutoHyphens/>
        <w:spacing w:after="200" w:line="276" w:lineRule="auto"/>
        <w:jc w:val="both"/>
        <w:rPr>
          <w:rFonts w:eastAsia="Calibri"/>
          <w:color w:val="000000"/>
          <w:lang w:eastAsia="en-US"/>
        </w:rPr>
      </w:pPr>
      <w:r>
        <w:rPr>
          <w:rFonts w:eastAsia="Calibri"/>
          <w:color w:val="000000"/>
          <w:lang w:eastAsia="en-US"/>
        </w:rPr>
        <w:t>Субсидиарно прилагане на АПК в производствата по издаване и оспорване на административни актове в НАП – обучени общо 145 служители на НАП;</w:t>
      </w:r>
    </w:p>
    <w:p w:rsidR="00523AD6" w:rsidRDefault="00523AD6" w:rsidP="00781B85">
      <w:pPr>
        <w:widowControl w:val="0"/>
        <w:numPr>
          <w:ilvl w:val="0"/>
          <w:numId w:val="49"/>
        </w:numPr>
        <w:suppressAutoHyphens/>
        <w:spacing w:after="120" w:line="276" w:lineRule="auto"/>
        <w:ind w:left="1066" w:hanging="357"/>
        <w:jc w:val="both"/>
        <w:rPr>
          <w:rFonts w:ascii="Calibri" w:eastAsia="Calibri" w:hAnsi="Calibri"/>
          <w:bCs/>
          <w:sz w:val="22"/>
          <w:szCs w:val="22"/>
          <w:lang w:eastAsia="en-US"/>
        </w:rPr>
      </w:pPr>
      <w:r>
        <w:rPr>
          <w:rFonts w:eastAsia="Calibri"/>
          <w:color w:val="000000"/>
          <w:lang w:eastAsia="en-US"/>
        </w:rPr>
        <w:t>Субсидиарно прилагане на ГПК в данъчно-осигурителните производства, изпълнителното производство и други, осъществявани от служители на НАП. Актуални проблеми и съдебна практика – обучени общо 144 служители на НАП</w:t>
      </w:r>
      <w:r>
        <w:rPr>
          <w:rFonts w:ascii="Calibri" w:eastAsia="Calibri" w:hAnsi="Calibri"/>
          <w:bCs/>
          <w:sz w:val="22"/>
          <w:szCs w:val="22"/>
          <w:lang w:eastAsia="en-US"/>
        </w:rPr>
        <w:t>.</w:t>
      </w:r>
    </w:p>
    <w:p w:rsidR="00523AD6" w:rsidRDefault="00523AD6" w:rsidP="002979A4">
      <w:pPr>
        <w:tabs>
          <w:tab w:val="left" w:pos="0"/>
        </w:tabs>
        <w:spacing w:before="120" w:after="120" w:line="276" w:lineRule="auto"/>
        <w:ind w:firstLine="709"/>
        <w:jc w:val="both"/>
        <w:rPr>
          <w:rFonts w:eastAsia="Calibri"/>
          <w:b/>
          <w:bCs/>
          <w:i/>
          <w:u w:val="single"/>
          <w:lang w:eastAsia="en-US"/>
        </w:rPr>
      </w:pPr>
      <w:r>
        <w:rPr>
          <w:rFonts w:eastAsia="Calibri"/>
          <w:b/>
          <w:bCs/>
          <w:i/>
          <w:u w:val="single"/>
          <w:lang w:eastAsia="en-US"/>
        </w:rPr>
        <w:t xml:space="preserve">ІІ. Резултати по основни дейности на данъчно–осигурителния контрол през 2015 г. </w:t>
      </w:r>
    </w:p>
    <w:p w:rsidR="00523AD6" w:rsidRDefault="00523AD6" w:rsidP="00523AD6">
      <w:pPr>
        <w:spacing w:after="120"/>
        <w:ind w:firstLine="709"/>
        <w:jc w:val="both"/>
        <w:rPr>
          <w:rFonts w:eastAsia="Calibri"/>
          <w:lang w:eastAsia="en-US"/>
        </w:rPr>
      </w:pPr>
      <w:r>
        <w:rPr>
          <w:rFonts w:eastAsia="Calibri"/>
          <w:lang w:eastAsia="en-US"/>
        </w:rPr>
        <w:lastRenderedPageBreak/>
        <w:t>Основните производства и действия, чрез които се осъществява данъчно-осигурителният контрол са ревизии, проверки и оперативни проверки. При извършване на проверки по прихващане и възстановяване (ППВ) се осъществява контрол в случаите на възстановяване на недължимо внесени суми или декларирани за възстановяване данъци или осигурителни вноски.</w:t>
      </w:r>
    </w:p>
    <w:p w:rsidR="002979A4" w:rsidRDefault="002979A4" w:rsidP="00523AD6">
      <w:pPr>
        <w:spacing w:after="120"/>
        <w:ind w:firstLine="709"/>
        <w:jc w:val="both"/>
        <w:rPr>
          <w:rFonts w:eastAsia="Calibri"/>
          <w:lang w:eastAsia="en-US"/>
        </w:rPr>
      </w:pPr>
    </w:p>
    <w:p w:rsidR="00523AD6" w:rsidRDefault="00523AD6" w:rsidP="00523AD6">
      <w:pPr>
        <w:spacing w:after="120"/>
        <w:ind w:firstLine="709"/>
        <w:jc w:val="both"/>
        <w:rPr>
          <w:rFonts w:eastAsia="Calibri"/>
          <w:b/>
          <w:lang w:eastAsia="en-US"/>
        </w:rPr>
      </w:pPr>
      <w:r>
        <w:rPr>
          <w:rFonts w:eastAsia="Calibri"/>
          <w:b/>
          <w:lang w:eastAsia="en-US"/>
        </w:rPr>
        <w:t>1</w:t>
      </w:r>
      <w:r>
        <w:rPr>
          <w:rFonts w:eastAsia="Calibri"/>
          <w:b/>
          <w:lang w:val="en-US" w:eastAsia="en-US"/>
        </w:rPr>
        <w:t xml:space="preserve">. </w:t>
      </w:r>
      <w:r>
        <w:rPr>
          <w:rFonts w:eastAsia="Calibri"/>
          <w:b/>
          <w:lang w:eastAsia="en-US"/>
        </w:rPr>
        <w:t>Ревизии</w:t>
      </w:r>
    </w:p>
    <w:p w:rsidR="00523AD6" w:rsidRDefault="00523AD6" w:rsidP="00523AD6">
      <w:pPr>
        <w:tabs>
          <w:tab w:val="left" w:pos="12825"/>
        </w:tabs>
        <w:spacing w:after="120"/>
        <w:rPr>
          <w:rFonts w:eastAsia="Calibri"/>
          <w:kern w:val="28"/>
          <w:lang w:eastAsia="en-US"/>
        </w:rPr>
      </w:pPr>
      <w:r>
        <w:rPr>
          <w:rFonts w:eastAsia="Calibri"/>
          <w:b/>
          <w:kern w:val="28"/>
          <w:lang w:eastAsia="en-US"/>
        </w:rPr>
        <w:t xml:space="preserve">Извършените ревизии и постигнати резултати </w:t>
      </w:r>
    </w:p>
    <w:tbl>
      <w:tblPr>
        <w:tblW w:w="8964" w:type="dxa"/>
        <w:jc w:val="center"/>
        <w:tblInd w:w="-1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176"/>
        <w:gridCol w:w="1277"/>
        <w:gridCol w:w="1135"/>
        <w:gridCol w:w="1335"/>
        <w:gridCol w:w="1041"/>
      </w:tblGrid>
      <w:tr w:rsidR="00523AD6" w:rsidTr="00523AD6">
        <w:trPr>
          <w:trHeight w:val="514"/>
          <w:jc w:val="center"/>
        </w:trPr>
        <w:tc>
          <w:tcPr>
            <w:tcW w:w="417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jc w:val="center"/>
              <w:rPr>
                <w:rFonts w:eastAsia="Calibri"/>
                <w:b/>
                <w:lang w:eastAsia="en-US"/>
              </w:rPr>
            </w:pPr>
            <w:r>
              <w:rPr>
                <w:rFonts w:eastAsia="Calibri"/>
                <w:b/>
                <w:lang w:eastAsia="en-US"/>
              </w:rPr>
              <w:t>Показатели</w:t>
            </w:r>
          </w:p>
        </w:tc>
        <w:tc>
          <w:tcPr>
            <w:tcW w:w="1276"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jc w:val="center"/>
              <w:rPr>
                <w:rFonts w:eastAsia="Calibri"/>
                <w:b/>
                <w:lang w:eastAsia="en-US"/>
              </w:rPr>
            </w:pPr>
            <w:r>
              <w:rPr>
                <w:rFonts w:eastAsia="Calibri"/>
                <w:b/>
                <w:lang w:eastAsia="en-US"/>
              </w:rPr>
              <w:t>Мерна единица</w:t>
            </w:r>
          </w:p>
        </w:tc>
        <w:tc>
          <w:tcPr>
            <w:tcW w:w="113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jc w:val="center"/>
              <w:rPr>
                <w:rFonts w:eastAsia="Calibri"/>
                <w:b/>
                <w:lang w:eastAsia="en-US"/>
              </w:rPr>
            </w:pPr>
            <w:r>
              <w:rPr>
                <w:rFonts w:eastAsia="Calibri"/>
                <w:b/>
                <w:lang w:eastAsia="en-US"/>
              </w:rPr>
              <w:t>Отчет</w:t>
            </w:r>
          </w:p>
          <w:p w:rsidR="00523AD6" w:rsidRDefault="00523AD6">
            <w:pPr>
              <w:spacing w:after="200" w:line="276" w:lineRule="auto"/>
              <w:ind w:right="142"/>
              <w:jc w:val="center"/>
              <w:rPr>
                <w:rFonts w:eastAsia="Calibri"/>
                <w:b/>
                <w:lang w:eastAsia="en-US"/>
              </w:rPr>
            </w:pPr>
            <w:r>
              <w:rPr>
                <w:rFonts w:eastAsia="Calibri"/>
                <w:b/>
                <w:lang w:eastAsia="en-US"/>
              </w:rPr>
              <w:t>2015 г.</w:t>
            </w:r>
          </w:p>
        </w:tc>
        <w:tc>
          <w:tcPr>
            <w:tcW w:w="133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jc w:val="center"/>
              <w:rPr>
                <w:rFonts w:eastAsia="Calibri"/>
                <w:b/>
                <w:lang w:eastAsia="en-US"/>
              </w:rPr>
            </w:pPr>
            <w:r>
              <w:rPr>
                <w:rFonts w:eastAsia="Calibri"/>
                <w:b/>
                <w:lang w:eastAsia="en-US"/>
              </w:rPr>
              <w:t>Отчет</w:t>
            </w:r>
          </w:p>
          <w:p w:rsidR="00523AD6" w:rsidRDefault="00523AD6">
            <w:pPr>
              <w:spacing w:after="200" w:line="276" w:lineRule="auto"/>
              <w:ind w:right="142"/>
              <w:jc w:val="center"/>
              <w:rPr>
                <w:rFonts w:eastAsia="Calibri"/>
                <w:b/>
                <w:lang w:eastAsia="en-US"/>
              </w:rPr>
            </w:pPr>
            <w:r>
              <w:rPr>
                <w:rFonts w:eastAsia="Calibri"/>
                <w:b/>
                <w:lang w:eastAsia="en-US"/>
              </w:rPr>
              <w:t xml:space="preserve">2014 г. </w:t>
            </w:r>
          </w:p>
        </w:tc>
        <w:tc>
          <w:tcPr>
            <w:tcW w:w="1040"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left="60"/>
              <w:jc w:val="center"/>
              <w:rPr>
                <w:rFonts w:eastAsia="Calibri"/>
                <w:b/>
                <w:bCs/>
                <w:color w:val="000000"/>
                <w:lang w:eastAsia="en-US"/>
              </w:rPr>
            </w:pPr>
            <w:r>
              <w:rPr>
                <w:rFonts w:eastAsia="Calibri"/>
                <w:b/>
                <w:bCs/>
                <w:color w:val="000000"/>
                <w:lang w:eastAsia="en-US"/>
              </w:rPr>
              <w:t>Изменение 2015  г.</w:t>
            </w:r>
          </w:p>
          <w:p w:rsidR="00523AD6" w:rsidRDefault="00523AD6">
            <w:pPr>
              <w:spacing w:after="200" w:line="276" w:lineRule="auto"/>
              <w:ind w:left="60"/>
              <w:jc w:val="center"/>
              <w:rPr>
                <w:rFonts w:eastAsia="Calibri"/>
                <w:b/>
                <w:bCs/>
                <w:color w:val="000000"/>
                <w:lang w:eastAsia="en-US"/>
              </w:rPr>
            </w:pPr>
            <w:r>
              <w:rPr>
                <w:rFonts w:eastAsia="Calibri"/>
                <w:b/>
                <w:bCs/>
                <w:color w:val="000000"/>
                <w:lang w:eastAsia="en-US"/>
              </w:rPr>
              <w:t>спрямо 2014 г.</w:t>
            </w:r>
          </w:p>
        </w:tc>
      </w:tr>
      <w:tr w:rsidR="00523AD6" w:rsidTr="00523AD6">
        <w:trPr>
          <w:trHeight w:val="118"/>
          <w:jc w:val="center"/>
        </w:trPr>
        <w:tc>
          <w:tcPr>
            <w:tcW w:w="417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rPr>
                <w:rFonts w:eastAsia="Calibri"/>
                <w:lang w:eastAsia="en-US"/>
              </w:rPr>
            </w:pPr>
            <w:r>
              <w:rPr>
                <w:rFonts w:eastAsia="Calibri"/>
                <w:bCs/>
                <w:lang w:eastAsia="en-US"/>
              </w:rPr>
              <w:t>Издадени ревизионни актове (РА)</w:t>
            </w:r>
          </w:p>
        </w:tc>
        <w:tc>
          <w:tcPr>
            <w:tcW w:w="1276"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jc w:val="center"/>
              <w:rPr>
                <w:rFonts w:eastAsia="Calibri"/>
                <w:lang w:eastAsia="en-US"/>
              </w:rPr>
            </w:pPr>
            <w:r>
              <w:rPr>
                <w:rFonts w:eastAsia="Calibri"/>
                <w:bCs/>
                <w:lang w:eastAsia="en-US"/>
              </w:rPr>
              <w:t>брой</w:t>
            </w:r>
          </w:p>
        </w:tc>
        <w:tc>
          <w:tcPr>
            <w:tcW w:w="1134" w:type="dxa"/>
            <w:tcBorders>
              <w:top w:val="single" w:sz="8" w:space="0" w:color="auto"/>
              <w:left w:val="single" w:sz="8" w:space="0" w:color="auto"/>
              <w:bottom w:val="single" w:sz="8" w:space="0" w:color="auto"/>
              <w:right w:val="single" w:sz="8" w:space="0" w:color="auto"/>
            </w:tcBorders>
            <w:noWrap/>
            <w:vAlign w:val="center"/>
            <w:hideMark/>
          </w:tcPr>
          <w:p w:rsidR="00523AD6" w:rsidRDefault="00523AD6">
            <w:pPr>
              <w:spacing w:after="200" w:line="276" w:lineRule="auto"/>
              <w:ind w:right="142"/>
              <w:jc w:val="right"/>
              <w:rPr>
                <w:rFonts w:eastAsia="Calibri"/>
                <w:lang w:eastAsia="en-US"/>
              </w:rPr>
            </w:pPr>
            <w:r>
              <w:rPr>
                <w:rFonts w:eastAsia="Calibri"/>
                <w:lang w:eastAsia="en-US"/>
              </w:rPr>
              <w:t>10</w:t>
            </w:r>
            <w:r>
              <w:rPr>
                <w:rFonts w:eastAsia="Calibri"/>
                <w:lang w:val="en-US" w:eastAsia="en-US"/>
              </w:rPr>
              <w:t xml:space="preserve"> </w:t>
            </w:r>
            <w:r>
              <w:rPr>
                <w:rFonts w:eastAsia="Calibri"/>
                <w:lang w:eastAsia="en-US"/>
              </w:rPr>
              <w:t>215</w:t>
            </w:r>
          </w:p>
        </w:tc>
        <w:tc>
          <w:tcPr>
            <w:tcW w:w="1334"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right="142"/>
              <w:jc w:val="right"/>
              <w:rPr>
                <w:rFonts w:eastAsia="Calibri"/>
                <w:bCs/>
                <w:lang w:eastAsia="en-US"/>
              </w:rPr>
            </w:pPr>
            <w:r>
              <w:rPr>
                <w:rFonts w:eastAsia="Calibri"/>
                <w:bCs/>
                <w:lang w:eastAsia="en-US"/>
              </w:rPr>
              <w:t>11 327</w:t>
            </w:r>
          </w:p>
        </w:tc>
        <w:tc>
          <w:tcPr>
            <w:tcW w:w="1040"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left="60"/>
              <w:jc w:val="right"/>
              <w:rPr>
                <w:rFonts w:eastAsia="Calibri"/>
                <w:color w:val="000000"/>
                <w:lang w:eastAsia="en-US"/>
              </w:rPr>
            </w:pPr>
            <w:r>
              <w:rPr>
                <w:rFonts w:eastAsia="Calibri"/>
                <w:color w:val="000000"/>
                <w:lang w:eastAsia="en-US"/>
              </w:rPr>
              <w:t>- 9,8%</w:t>
            </w:r>
          </w:p>
        </w:tc>
      </w:tr>
      <w:tr w:rsidR="00523AD6" w:rsidTr="00523AD6">
        <w:trPr>
          <w:trHeight w:val="164"/>
          <w:jc w:val="center"/>
        </w:trPr>
        <w:tc>
          <w:tcPr>
            <w:tcW w:w="417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rPr>
                <w:rFonts w:eastAsia="Calibri"/>
                <w:lang w:eastAsia="en-US"/>
              </w:rPr>
            </w:pPr>
            <w:r>
              <w:rPr>
                <w:rFonts w:eastAsia="Calibri"/>
                <w:bCs/>
                <w:lang w:eastAsia="en-US"/>
              </w:rPr>
              <w:t xml:space="preserve">   - в т.ч. РА за осигурителни вноски</w:t>
            </w:r>
          </w:p>
        </w:tc>
        <w:tc>
          <w:tcPr>
            <w:tcW w:w="1276"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jc w:val="center"/>
              <w:rPr>
                <w:rFonts w:eastAsia="Calibri"/>
                <w:bCs/>
                <w:lang w:eastAsia="en-US"/>
              </w:rPr>
            </w:pPr>
            <w:r>
              <w:rPr>
                <w:rFonts w:eastAsia="Calibri"/>
                <w:bCs/>
                <w:lang w:eastAsia="en-US"/>
              </w:rPr>
              <w:t>брой</w:t>
            </w:r>
          </w:p>
        </w:tc>
        <w:tc>
          <w:tcPr>
            <w:tcW w:w="1134" w:type="dxa"/>
            <w:tcBorders>
              <w:top w:val="single" w:sz="8" w:space="0" w:color="auto"/>
              <w:left w:val="single" w:sz="8" w:space="0" w:color="auto"/>
              <w:bottom w:val="single" w:sz="8" w:space="0" w:color="auto"/>
              <w:right w:val="single" w:sz="8" w:space="0" w:color="auto"/>
            </w:tcBorders>
            <w:noWrap/>
            <w:vAlign w:val="center"/>
            <w:hideMark/>
          </w:tcPr>
          <w:p w:rsidR="00523AD6" w:rsidRDefault="00523AD6">
            <w:pPr>
              <w:spacing w:after="200" w:line="276" w:lineRule="auto"/>
              <w:ind w:right="142"/>
              <w:jc w:val="right"/>
              <w:rPr>
                <w:rFonts w:eastAsia="Calibri"/>
                <w:color w:val="FF0000"/>
                <w:lang w:eastAsia="en-US"/>
              </w:rPr>
            </w:pPr>
            <w:r>
              <w:rPr>
                <w:rFonts w:eastAsia="Calibri"/>
                <w:lang w:eastAsia="en-US"/>
              </w:rPr>
              <w:t>1</w:t>
            </w:r>
            <w:r>
              <w:rPr>
                <w:rFonts w:eastAsia="Calibri"/>
                <w:lang w:val="en-US" w:eastAsia="en-US"/>
              </w:rPr>
              <w:t xml:space="preserve"> </w:t>
            </w:r>
            <w:r>
              <w:rPr>
                <w:rFonts w:eastAsia="Calibri"/>
                <w:lang w:eastAsia="en-US"/>
              </w:rPr>
              <w:t>711</w:t>
            </w:r>
          </w:p>
        </w:tc>
        <w:tc>
          <w:tcPr>
            <w:tcW w:w="1334"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right="142"/>
              <w:jc w:val="right"/>
              <w:rPr>
                <w:rFonts w:eastAsia="Calibri"/>
                <w:lang w:eastAsia="en-US"/>
              </w:rPr>
            </w:pPr>
            <w:r>
              <w:rPr>
                <w:rFonts w:eastAsia="Calibri"/>
                <w:lang w:eastAsia="en-US"/>
              </w:rPr>
              <w:t>2</w:t>
            </w:r>
            <w:r>
              <w:rPr>
                <w:rFonts w:eastAsia="Calibri"/>
                <w:lang w:val="en-US" w:eastAsia="en-US"/>
              </w:rPr>
              <w:t xml:space="preserve"> </w:t>
            </w:r>
            <w:r>
              <w:rPr>
                <w:rFonts w:eastAsia="Calibri"/>
                <w:lang w:eastAsia="en-US"/>
              </w:rPr>
              <w:t>122</w:t>
            </w:r>
          </w:p>
        </w:tc>
        <w:tc>
          <w:tcPr>
            <w:tcW w:w="1040"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left="58" w:firstLine="142"/>
              <w:jc w:val="right"/>
              <w:rPr>
                <w:rFonts w:eastAsia="Calibri"/>
                <w:bCs/>
                <w:color w:val="000000"/>
                <w:lang w:eastAsia="en-US"/>
              </w:rPr>
            </w:pPr>
            <w:r>
              <w:rPr>
                <w:rFonts w:eastAsia="Calibri"/>
                <w:bCs/>
                <w:color w:val="000000"/>
                <w:lang w:eastAsia="en-US"/>
              </w:rPr>
              <w:t>-19,4%</w:t>
            </w:r>
          </w:p>
        </w:tc>
      </w:tr>
      <w:tr w:rsidR="00523AD6" w:rsidTr="00523AD6">
        <w:trPr>
          <w:trHeight w:val="930"/>
          <w:jc w:val="center"/>
        </w:trPr>
        <w:tc>
          <w:tcPr>
            <w:tcW w:w="417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left="361" w:right="142" w:hanging="361"/>
              <w:rPr>
                <w:rFonts w:eastAsia="Calibri"/>
                <w:lang w:eastAsia="en-US"/>
              </w:rPr>
            </w:pPr>
            <w:r>
              <w:rPr>
                <w:rFonts w:eastAsia="Calibri"/>
                <w:lang w:eastAsia="en-US"/>
              </w:rPr>
              <w:t xml:space="preserve">   - в т.ч. РА , в които е използван софтуер   за анализ на данни в електронен вид  </w:t>
            </w:r>
          </w:p>
        </w:tc>
        <w:tc>
          <w:tcPr>
            <w:tcW w:w="1276"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jc w:val="center"/>
              <w:rPr>
                <w:rFonts w:eastAsia="Calibri"/>
                <w:bCs/>
                <w:lang w:eastAsia="en-US"/>
              </w:rPr>
            </w:pPr>
            <w:r>
              <w:rPr>
                <w:rFonts w:eastAsia="Calibri"/>
                <w:bCs/>
                <w:lang w:eastAsia="en-US"/>
              </w:rPr>
              <w:t>брой</w:t>
            </w:r>
          </w:p>
        </w:tc>
        <w:tc>
          <w:tcPr>
            <w:tcW w:w="1134" w:type="dxa"/>
            <w:tcBorders>
              <w:top w:val="single" w:sz="8" w:space="0" w:color="auto"/>
              <w:left w:val="single" w:sz="8" w:space="0" w:color="auto"/>
              <w:bottom w:val="single" w:sz="8" w:space="0" w:color="auto"/>
              <w:right w:val="single" w:sz="8" w:space="0" w:color="auto"/>
            </w:tcBorders>
            <w:noWrap/>
            <w:vAlign w:val="center"/>
            <w:hideMark/>
          </w:tcPr>
          <w:p w:rsidR="00523AD6" w:rsidRDefault="00523AD6">
            <w:pPr>
              <w:spacing w:after="200" w:line="276" w:lineRule="auto"/>
              <w:ind w:right="142"/>
              <w:jc w:val="right"/>
              <w:rPr>
                <w:rFonts w:eastAsia="Calibri"/>
                <w:lang w:eastAsia="en-US"/>
              </w:rPr>
            </w:pPr>
            <w:r>
              <w:rPr>
                <w:rFonts w:eastAsia="Calibri"/>
                <w:lang w:eastAsia="en-US"/>
              </w:rPr>
              <w:t>170</w:t>
            </w:r>
          </w:p>
        </w:tc>
        <w:tc>
          <w:tcPr>
            <w:tcW w:w="1334"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right="142"/>
              <w:jc w:val="right"/>
              <w:rPr>
                <w:rFonts w:eastAsia="Calibri"/>
                <w:lang w:eastAsia="en-US"/>
              </w:rPr>
            </w:pPr>
            <w:r>
              <w:rPr>
                <w:rFonts w:eastAsia="Calibri"/>
                <w:lang w:eastAsia="en-US"/>
              </w:rPr>
              <w:t>107</w:t>
            </w:r>
          </w:p>
        </w:tc>
        <w:tc>
          <w:tcPr>
            <w:tcW w:w="1040"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left="60"/>
              <w:jc w:val="right"/>
              <w:rPr>
                <w:rFonts w:eastAsia="Calibri"/>
                <w:color w:val="000000"/>
                <w:lang w:eastAsia="en-US"/>
              </w:rPr>
            </w:pPr>
            <w:r>
              <w:rPr>
                <w:rFonts w:eastAsia="Calibri"/>
                <w:color w:val="000000"/>
                <w:lang w:eastAsia="en-US"/>
              </w:rPr>
              <w:t>58,8%</w:t>
            </w:r>
          </w:p>
        </w:tc>
      </w:tr>
      <w:tr w:rsidR="00523AD6" w:rsidTr="00523AD6">
        <w:trPr>
          <w:trHeight w:val="43"/>
          <w:jc w:val="center"/>
        </w:trPr>
        <w:tc>
          <w:tcPr>
            <w:tcW w:w="417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rPr>
                <w:rFonts w:eastAsia="Calibri"/>
                <w:lang w:eastAsia="en-US"/>
              </w:rPr>
            </w:pPr>
            <w:r>
              <w:rPr>
                <w:rFonts w:eastAsia="Calibri"/>
                <w:bCs/>
                <w:lang w:eastAsia="en-US"/>
              </w:rPr>
              <w:t>Допълнително установени задължения</w:t>
            </w:r>
          </w:p>
        </w:tc>
        <w:tc>
          <w:tcPr>
            <w:tcW w:w="1276"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22"/>
              <w:jc w:val="center"/>
              <w:rPr>
                <w:rFonts w:eastAsia="Calibri"/>
                <w:lang w:eastAsia="en-US"/>
              </w:rPr>
            </w:pPr>
            <w:r>
              <w:rPr>
                <w:rFonts w:eastAsia="Calibri"/>
                <w:bCs/>
                <w:lang w:eastAsia="en-US"/>
              </w:rPr>
              <w:t>хил.лв.</w:t>
            </w:r>
          </w:p>
        </w:tc>
        <w:tc>
          <w:tcPr>
            <w:tcW w:w="1134" w:type="dxa"/>
            <w:tcBorders>
              <w:top w:val="single" w:sz="8" w:space="0" w:color="auto"/>
              <w:left w:val="single" w:sz="8" w:space="0" w:color="auto"/>
              <w:bottom w:val="single" w:sz="8" w:space="0" w:color="auto"/>
              <w:right w:val="single" w:sz="8" w:space="0" w:color="auto"/>
            </w:tcBorders>
            <w:noWrap/>
            <w:vAlign w:val="center"/>
            <w:hideMark/>
          </w:tcPr>
          <w:p w:rsidR="00523AD6" w:rsidRDefault="00523AD6">
            <w:pPr>
              <w:spacing w:after="200" w:line="276" w:lineRule="auto"/>
              <w:jc w:val="right"/>
              <w:rPr>
                <w:rFonts w:eastAsia="Calibri"/>
                <w:lang w:eastAsia="en-US"/>
              </w:rPr>
            </w:pPr>
            <w:r>
              <w:rPr>
                <w:rFonts w:eastAsia="Calibri"/>
                <w:lang w:eastAsia="en-US"/>
              </w:rPr>
              <w:t>1 791 905</w:t>
            </w:r>
          </w:p>
        </w:tc>
        <w:tc>
          <w:tcPr>
            <w:tcW w:w="1334"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right="142"/>
              <w:jc w:val="right"/>
              <w:rPr>
                <w:rFonts w:eastAsia="Calibri"/>
                <w:lang w:eastAsia="en-US"/>
              </w:rPr>
            </w:pPr>
            <w:r>
              <w:rPr>
                <w:rFonts w:eastAsia="Calibri"/>
                <w:lang w:eastAsia="en-US"/>
              </w:rPr>
              <w:t>1 716 905</w:t>
            </w:r>
          </w:p>
        </w:tc>
        <w:tc>
          <w:tcPr>
            <w:tcW w:w="1040"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left="60"/>
              <w:jc w:val="right"/>
              <w:rPr>
                <w:rFonts w:eastAsia="Calibri"/>
                <w:color w:val="000000"/>
                <w:lang w:eastAsia="en-US"/>
              </w:rPr>
            </w:pPr>
            <w:r>
              <w:rPr>
                <w:rFonts w:eastAsia="Calibri"/>
                <w:color w:val="000000"/>
                <w:lang w:eastAsia="en-US"/>
              </w:rPr>
              <w:t>4,4%</w:t>
            </w:r>
          </w:p>
        </w:tc>
      </w:tr>
      <w:tr w:rsidR="00523AD6" w:rsidTr="00523AD6">
        <w:trPr>
          <w:trHeight w:val="43"/>
          <w:jc w:val="center"/>
        </w:trPr>
        <w:tc>
          <w:tcPr>
            <w:tcW w:w="417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rPr>
                <w:rFonts w:eastAsia="Calibri"/>
                <w:lang w:eastAsia="en-US"/>
              </w:rPr>
            </w:pPr>
            <w:r>
              <w:rPr>
                <w:rFonts w:eastAsia="Calibri"/>
                <w:lang w:eastAsia="en-US"/>
              </w:rPr>
              <w:t xml:space="preserve">   - в т.ч. по осигурителни вноски</w:t>
            </w:r>
          </w:p>
        </w:tc>
        <w:tc>
          <w:tcPr>
            <w:tcW w:w="1276"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22"/>
              <w:jc w:val="center"/>
              <w:rPr>
                <w:rFonts w:eastAsia="Calibri"/>
                <w:lang w:eastAsia="en-US"/>
              </w:rPr>
            </w:pPr>
            <w:r>
              <w:rPr>
                <w:rFonts w:eastAsia="Calibri"/>
                <w:bCs/>
                <w:lang w:eastAsia="en-US"/>
              </w:rPr>
              <w:t>хил.лв.</w:t>
            </w:r>
          </w:p>
        </w:tc>
        <w:tc>
          <w:tcPr>
            <w:tcW w:w="1134" w:type="dxa"/>
            <w:tcBorders>
              <w:top w:val="single" w:sz="8" w:space="0" w:color="auto"/>
              <w:left w:val="single" w:sz="8" w:space="0" w:color="auto"/>
              <w:bottom w:val="single" w:sz="8" w:space="0" w:color="auto"/>
              <w:right w:val="single" w:sz="8" w:space="0" w:color="auto"/>
            </w:tcBorders>
            <w:noWrap/>
            <w:vAlign w:val="center"/>
            <w:hideMark/>
          </w:tcPr>
          <w:p w:rsidR="00523AD6" w:rsidRDefault="00523AD6">
            <w:pPr>
              <w:spacing w:after="200" w:line="276" w:lineRule="auto"/>
              <w:jc w:val="right"/>
              <w:rPr>
                <w:rFonts w:eastAsia="Calibri"/>
                <w:lang w:eastAsia="en-US"/>
              </w:rPr>
            </w:pPr>
            <w:r>
              <w:rPr>
                <w:rFonts w:eastAsia="Calibri"/>
                <w:lang w:eastAsia="en-US"/>
              </w:rPr>
              <w:t>34 385</w:t>
            </w:r>
          </w:p>
        </w:tc>
        <w:tc>
          <w:tcPr>
            <w:tcW w:w="1334"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right="142"/>
              <w:jc w:val="right"/>
              <w:rPr>
                <w:rFonts w:eastAsia="Calibri"/>
                <w:lang w:eastAsia="en-US"/>
              </w:rPr>
            </w:pPr>
            <w:r>
              <w:rPr>
                <w:rFonts w:eastAsia="Calibri"/>
                <w:lang w:eastAsia="en-US"/>
              </w:rPr>
              <w:t>43 091</w:t>
            </w:r>
          </w:p>
        </w:tc>
        <w:tc>
          <w:tcPr>
            <w:tcW w:w="1040"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left="60"/>
              <w:jc w:val="right"/>
              <w:rPr>
                <w:rFonts w:eastAsia="Calibri"/>
                <w:color w:val="000000"/>
                <w:lang w:eastAsia="en-US"/>
              </w:rPr>
            </w:pPr>
            <w:r>
              <w:rPr>
                <w:rFonts w:eastAsia="Calibri"/>
                <w:color w:val="000000"/>
                <w:lang w:eastAsia="en-US"/>
              </w:rPr>
              <w:t>-20,2%</w:t>
            </w:r>
          </w:p>
        </w:tc>
      </w:tr>
      <w:tr w:rsidR="00523AD6" w:rsidTr="00523AD6">
        <w:trPr>
          <w:trHeight w:val="427"/>
          <w:jc w:val="center"/>
        </w:trPr>
        <w:tc>
          <w:tcPr>
            <w:tcW w:w="417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rPr>
                <w:rFonts w:eastAsia="Calibri"/>
                <w:bCs/>
                <w:lang w:eastAsia="en-US"/>
              </w:rPr>
            </w:pPr>
            <w:r>
              <w:rPr>
                <w:rFonts w:eastAsia="Calibri"/>
                <w:bCs/>
                <w:lang w:eastAsia="en-US"/>
              </w:rPr>
              <w:t>Отн. дял на РА с допълнително установени задължения над 10 000 лв.</w:t>
            </w:r>
            <w:r>
              <w:rPr>
                <w:rFonts w:eastAsia="Calibri"/>
                <w:bCs/>
                <w:lang w:eastAsia="en-US"/>
              </w:rPr>
              <w:tab/>
            </w:r>
          </w:p>
        </w:tc>
        <w:tc>
          <w:tcPr>
            <w:tcW w:w="1276"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jc w:val="center"/>
              <w:rPr>
                <w:rFonts w:eastAsia="Calibri"/>
                <w:bCs/>
                <w:lang w:eastAsia="en-US"/>
              </w:rPr>
            </w:pPr>
            <w:r>
              <w:rPr>
                <w:rFonts w:eastAsia="Calibri"/>
                <w:bCs/>
                <w:lang w:eastAsia="en-US"/>
              </w:rPr>
              <w:t>%</w:t>
            </w:r>
          </w:p>
        </w:tc>
        <w:tc>
          <w:tcPr>
            <w:tcW w:w="1134" w:type="dxa"/>
            <w:tcBorders>
              <w:top w:val="single" w:sz="8" w:space="0" w:color="auto"/>
              <w:left w:val="single" w:sz="8" w:space="0" w:color="auto"/>
              <w:bottom w:val="single" w:sz="8" w:space="0" w:color="auto"/>
              <w:right w:val="single" w:sz="8" w:space="0" w:color="auto"/>
            </w:tcBorders>
            <w:noWrap/>
            <w:vAlign w:val="center"/>
            <w:hideMark/>
          </w:tcPr>
          <w:p w:rsidR="00523AD6" w:rsidRDefault="00523AD6">
            <w:pPr>
              <w:spacing w:after="200" w:line="276" w:lineRule="auto"/>
              <w:jc w:val="right"/>
              <w:rPr>
                <w:rFonts w:eastAsia="Calibri"/>
                <w:lang w:eastAsia="en-US"/>
              </w:rPr>
            </w:pPr>
            <w:r>
              <w:rPr>
                <w:rFonts w:eastAsia="Calibri"/>
                <w:lang w:eastAsia="en-US"/>
              </w:rPr>
              <w:t>58</w:t>
            </w:r>
          </w:p>
        </w:tc>
        <w:tc>
          <w:tcPr>
            <w:tcW w:w="1334"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right="142"/>
              <w:jc w:val="right"/>
              <w:rPr>
                <w:rFonts w:eastAsia="Calibri"/>
                <w:lang w:eastAsia="en-US"/>
              </w:rPr>
            </w:pPr>
            <w:r>
              <w:rPr>
                <w:rFonts w:eastAsia="Calibri"/>
                <w:bCs/>
                <w:lang w:eastAsia="en-US"/>
              </w:rPr>
              <w:t>57</w:t>
            </w:r>
          </w:p>
        </w:tc>
        <w:tc>
          <w:tcPr>
            <w:tcW w:w="1040"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left="60"/>
              <w:jc w:val="right"/>
              <w:rPr>
                <w:rFonts w:eastAsia="Calibri"/>
                <w:color w:val="000000"/>
                <w:lang w:eastAsia="en-US"/>
              </w:rPr>
            </w:pPr>
            <w:r>
              <w:rPr>
                <w:rFonts w:eastAsia="Calibri"/>
                <w:color w:val="000000"/>
                <w:lang w:eastAsia="en-US"/>
              </w:rPr>
              <w:t>1,3%</w:t>
            </w:r>
          </w:p>
        </w:tc>
      </w:tr>
      <w:tr w:rsidR="00523AD6" w:rsidTr="00523AD6">
        <w:trPr>
          <w:trHeight w:val="427"/>
          <w:jc w:val="center"/>
        </w:trPr>
        <w:tc>
          <w:tcPr>
            <w:tcW w:w="417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rPr>
                <w:rFonts w:eastAsia="Calibri"/>
                <w:lang w:eastAsia="en-US"/>
              </w:rPr>
            </w:pPr>
            <w:r>
              <w:rPr>
                <w:rFonts w:eastAsia="Calibri"/>
                <w:bCs/>
                <w:lang w:eastAsia="en-US"/>
              </w:rPr>
              <w:t>Среден размер на допълнително установени задължения на един  РА</w:t>
            </w:r>
          </w:p>
        </w:tc>
        <w:tc>
          <w:tcPr>
            <w:tcW w:w="1276"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73"/>
              <w:jc w:val="center"/>
              <w:rPr>
                <w:rFonts w:eastAsia="Calibri"/>
                <w:lang w:eastAsia="en-US"/>
              </w:rPr>
            </w:pPr>
            <w:r>
              <w:rPr>
                <w:rFonts w:eastAsia="Calibri"/>
                <w:bCs/>
                <w:lang w:eastAsia="en-US"/>
              </w:rPr>
              <w:t>хил.лв.</w:t>
            </w:r>
          </w:p>
        </w:tc>
        <w:tc>
          <w:tcPr>
            <w:tcW w:w="1134" w:type="dxa"/>
            <w:tcBorders>
              <w:top w:val="single" w:sz="8" w:space="0" w:color="auto"/>
              <w:left w:val="single" w:sz="8" w:space="0" w:color="auto"/>
              <w:bottom w:val="single" w:sz="8" w:space="0" w:color="auto"/>
              <w:right w:val="single" w:sz="8" w:space="0" w:color="auto"/>
            </w:tcBorders>
            <w:noWrap/>
            <w:vAlign w:val="center"/>
            <w:hideMark/>
          </w:tcPr>
          <w:p w:rsidR="00523AD6" w:rsidRDefault="00523AD6">
            <w:pPr>
              <w:spacing w:after="200" w:line="276" w:lineRule="auto"/>
              <w:jc w:val="right"/>
              <w:rPr>
                <w:rFonts w:eastAsia="Calibri"/>
                <w:lang w:eastAsia="en-US"/>
              </w:rPr>
            </w:pPr>
            <w:r>
              <w:rPr>
                <w:rFonts w:eastAsia="Calibri"/>
                <w:lang w:eastAsia="en-US"/>
              </w:rPr>
              <w:t>177</w:t>
            </w:r>
          </w:p>
        </w:tc>
        <w:tc>
          <w:tcPr>
            <w:tcW w:w="1334"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right="142"/>
              <w:jc w:val="right"/>
              <w:rPr>
                <w:rFonts w:eastAsia="Calibri"/>
                <w:lang w:eastAsia="en-US"/>
              </w:rPr>
            </w:pPr>
            <w:r>
              <w:rPr>
                <w:rFonts w:eastAsia="Calibri"/>
                <w:lang w:eastAsia="en-US"/>
              </w:rPr>
              <w:t>152</w:t>
            </w:r>
          </w:p>
        </w:tc>
        <w:tc>
          <w:tcPr>
            <w:tcW w:w="1040"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left="60"/>
              <w:jc w:val="right"/>
              <w:rPr>
                <w:rFonts w:eastAsia="Calibri"/>
                <w:color w:val="000000"/>
                <w:lang w:eastAsia="en-US"/>
              </w:rPr>
            </w:pPr>
            <w:r>
              <w:rPr>
                <w:rFonts w:eastAsia="Calibri"/>
                <w:color w:val="000000"/>
                <w:lang w:eastAsia="en-US"/>
              </w:rPr>
              <w:t>16,4%</w:t>
            </w:r>
          </w:p>
        </w:tc>
      </w:tr>
      <w:tr w:rsidR="00523AD6" w:rsidTr="00523AD6">
        <w:trPr>
          <w:trHeight w:val="43"/>
          <w:jc w:val="center"/>
        </w:trPr>
        <w:tc>
          <w:tcPr>
            <w:tcW w:w="4174"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rPr>
                <w:rFonts w:eastAsia="Calibri"/>
                <w:bCs/>
                <w:lang w:eastAsia="en-US"/>
              </w:rPr>
            </w:pPr>
            <w:r>
              <w:rPr>
                <w:rFonts w:eastAsia="Calibri"/>
                <w:bCs/>
                <w:lang w:eastAsia="en-US"/>
              </w:rPr>
              <w:t>Относителен дял на обжалваните РА</w:t>
            </w:r>
          </w:p>
        </w:tc>
        <w:tc>
          <w:tcPr>
            <w:tcW w:w="1276" w:type="dxa"/>
            <w:tcBorders>
              <w:top w:val="single" w:sz="8" w:space="0" w:color="auto"/>
              <w:left w:val="single" w:sz="8" w:space="0" w:color="auto"/>
              <w:bottom w:val="single" w:sz="8" w:space="0" w:color="auto"/>
              <w:right w:val="single" w:sz="8" w:space="0" w:color="auto"/>
            </w:tcBorders>
            <w:shd w:val="clear" w:color="auto" w:fill="F2F2F2"/>
            <w:vAlign w:val="center"/>
            <w:hideMark/>
          </w:tcPr>
          <w:p w:rsidR="00523AD6" w:rsidRDefault="00523AD6">
            <w:pPr>
              <w:spacing w:after="200" w:line="276" w:lineRule="auto"/>
              <w:ind w:right="142"/>
              <w:jc w:val="center"/>
              <w:rPr>
                <w:rFonts w:eastAsia="Calibri"/>
                <w:bCs/>
                <w:lang w:eastAsia="en-US"/>
              </w:rPr>
            </w:pPr>
            <w:r>
              <w:rPr>
                <w:rFonts w:eastAsia="Calibri"/>
                <w:bCs/>
                <w:lang w:eastAsia="en-US"/>
              </w:rPr>
              <w:t>%</w:t>
            </w:r>
          </w:p>
        </w:tc>
        <w:tc>
          <w:tcPr>
            <w:tcW w:w="1134" w:type="dxa"/>
            <w:tcBorders>
              <w:top w:val="single" w:sz="8" w:space="0" w:color="auto"/>
              <w:left w:val="single" w:sz="8" w:space="0" w:color="auto"/>
              <w:bottom w:val="single" w:sz="8" w:space="0" w:color="auto"/>
              <w:right w:val="single" w:sz="8" w:space="0" w:color="auto"/>
            </w:tcBorders>
            <w:noWrap/>
            <w:vAlign w:val="center"/>
            <w:hideMark/>
          </w:tcPr>
          <w:p w:rsidR="00523AD6" w:rsidRDefault="00523AD6">
            <w:pPr>
              <w:spacing w:after="200" w:line="276" w:lineRule="auto"/>
              <w:jc w:val="right"/>
              <w:rPr>
                <w:rFonts w:eastAsia="Calibri"/>
                <w:lang w:eastAsia="en-US"/>
              </w:rPr>
            </w:pPr>
            <w:r>
              <w:rPr>
                <w:rFonts w:eastAsia="Calibri"/>
                <w:lang w:eastAsia="en-US"/>
              </w:rPr>
              <w:t>32</w:t>
            </w:r>
          </w:p>
        </w:tc>
        <w:tc>
          <w:tcPr>
            <w:tcW w:w="1334"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right="142"/>
              <w:jc w:val="right"/>
              <w:rPr>
                <w:rFonts w:eastAsia="Calibri"/>
                <w:lang w:eastAsia="en-US"/>
              </w:rPr>
            </w:pPr>
            <w:r>
              <w:rPr>
                <w:rFonts w:eastAsia="Calibri"/>
                <w:lang w:eastAsia="en-US"/>
              </w:rPr>
              <w:t>35</w:t>
            </w:r>
          </w:p>
        </w:tc>
        <w:tc>
          <w:tcPr>
            <w:tcW w:w="1040" w:type="dxa"/>
            <w:tcBorders>
              <w:top w:val="single" w:sz="8" w:space="0" w:color="auto"/>
              <w:left w:val="single" w:sz="8" w:space="0" w:color="auto"/>
              <w:bottom w:val="single" w:sz="8" w:space="0" w:color="auto"/>
              <w:right w:val="single" w:sz="8" w:space="0" w:color="auto"/>
            </w:tcBorders>
            <w:vAlign w:val="center"/>
            <w:hideMark/>
          </w:tcPr>
          <w:p w:rsidR="00523AD6" w:rsidRDefault="00523AD6">
            <w:pPr>
              <w:spacing w:after="200" w:line="276" w:lineRule="auto"/>
              <w:ind w:left="60"/>
              <w:jc w:val="right"/>
              <w:rPr>
                <w:rFonts w:eastAsia="Calibri"/>
                <w:color w:val="002060"/>
                <w:lang w:eastAsia="en-US"/>
              </w:rPr>
            </w:pPr>
            <w:r>
              <w:rPr>
                <w:rFonts w:eastAsia="Calibri"/>
                <w:lang w:eastAsia="en-US"/>
              </w:rPr>
              <w:t>-3%</w:t>
            </w:r>
          </w:p>
        </w:tc>
      </w:tr>
    </w:tbl>
    <w:p w:rsidR="00523AD6" w:rsidRDefault="00523AD6" w:rsidP="00523AD6">
      <w:pPr>
        <w:spacing w:after="120"/>
        <w:ind w:firstLine="709"/>
        <w:jc w:val="both"/>
        <w:rPr>
          <w:rFonts w:eastAsia="Calibri"/>
          <w:i/>
          <w:lang w:eastAsia="en-US"/>
        </w:rPr>
      </w:pP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t xml:space="preserve">   </w:t>
      </w:r>
      <w:r>
        <w:rPr>
          <w:rFonts w:eastAsia="Calibri"/>
          <w:i/>
          <w:lang w:eastAsia="en-US"/>
        </w:rPr>
        <w:t>Източник: НАП</w:t>
      </w:r>
    </w:p>
    <w:p w:rsidR="00523AD6" w:rsidRDefault="00523AD6" w:rsidP="00523AD6">
      <w:pPr>
        <w:ind w:firstLine="709"/>
        <w:jc w:val="both"/>
        <w:rPr>
          <w:rFonts w:eastAsia="Calibri"/>
          <w:lang w:eastAsia="en-US"/>
        </w:rPr>
      </w:pPr>
      <w:r>
        <w:rPr>
          <w:rFonts w:eastAsia="Calibri"/>
          <w:lang w:eastAsia="en-US"/>
        </w:rPr>
        <w:t xml:space="preserve">Извършените ревизии през 2015 г. са намалели с 9,8 %, спрямо 2014 г., но същевременно общият размер на допълнително установените задължения се е увеличил с 4,4 %. Запазва се неблагоприятната тенденцията за общо намаление на допълнително установените задължения за осигурителни вноски (ЗОВ), като причина за това може да се посочи намаляването на ревизиите и ревизираните периоди, при които са установени задължителни осигурителни вноски. В същото време като положителен момент може да се отбележи лекото повишаване на допълнително установените задължения за ЗОВ средно на 1 ревизионен акт. </w:t>
      </w:r>
    </w:p>
    <w:p w:rsidR="00523AD6" w:rsidRDefault="00523AD6" w:rsidP="00523AD6">
      <w:pPr>
        <w:ind w:firstLine="709"/>
        <w:jc w:val="both"/>
        <w:rPr>
          <w:rFonts w:eastAsia="Calibri"/>
          <w:bCs/>
          <w:lang w:eastAsia="en-US"/>
        </w:rPr>
      </w:pPr>
      <w:r>
        <w:rPr>
          <w:rFonts w:eastAsia="Calibri"/>
          <w:lang w:eastAsia="en-US"/>
        </w:rPr>
        <w:t xml:space="preserve">Относно показателите за качество на ревизионните производства е постигнато подобрение, като </w:t>
      </w:r>
      <w:r>
        <w:rPr>
          <w:rFonts w:eastAsia="Calibri"/>
          <w:bCs/>
          <w:lang w:eastAsia="en-US"/>
        </w:rPr>
        <w:t xml:space="preserve">се отчита повишение на средния размер на допълнително установените </w:t>
      </w:r>
      <w:r>
        <w:rPr>
          <w:rFonts w:eastAsia="Calibri"/>
          <w:bCs/>
          <w:lang w:eastAsia="en-US"/>
        </w:rPr>
        <w:lastRenderedPageBreak/>
        <w:t>задължения на един  ревизионен акт, намаление на относителния дял на обжалваните ревизионни актове и запазване на относителния дял на ревизиите с допълнително установени задължения  над 10 000 лева.</w:t>
      </w:r>
    </w:p>
    <w:p w:rsidR="00523AD6" w:rsidRDefault="00523AD6" w:rsidP="002979A4">
      <w:pPr>
        <w:spacing w:before="120" w:after="120"/>
        <w:ind w:firstLine="709"/>
        <w:jc w:val="both"/>
        <w:rPr>
          <w:rFonts w:eastAsia="Calibri"/>
          <w:b/>
          <w:lang w:eastAsia="en-US"/>
        </w:rPr>
      </w:pPr>
      <w:r>
        <w:rPr>
          <w:rFonts w:eastAsia="Calibri"/>
          <w:b/>
          <w:lang w:eastAsia="en-US"/>
        </w:rPr>
        <w:t>1</w:t>
      </w:r>
      <w:r>
        <w:rPr>
          <w:rFonts w:eastAsia="Calibri"/>
          <w:b/>
          <w:lang w:val="en-US" w:eastAsia="en-US"/>
        </w:rPr>
        <w:t xml:space="preserve">.1. </w:t>
      </w:r>
      <w:r>
        <w:rPr>
          <w:rFonts w:eastAsia="Calibri"/>
          <w:b/>
          <w:lang w:eastAsia="en-US"/>
        </w:rPr>
        <w:t>Електронни ревизии и проверки и контролни производства на лица, извършващи електронна търговия</w:t>
      </w:r>
    </w:p>
    <w:p w:rsidR="00523AD6" w:rsidRDefault="00523AD6" w:rsidP="00523AD6">
      <w:pPr>
        <w:ind w:firstLine="709"/>
        <w:jc w:val="both"/>
        <w:rPr>
          <w:rFonts w:eastAsia="Calibri"/>
          <w:color w:val="000000"/>
          <w:lang w:eastAsia="en-US"/>
        </w:rPr>
      </w:pPr>
      <w:r>
        <w:rPr>
          <w:rFonts w:eastAsia="Calibri"/>
          <w:lang w:eastAsia="en-US"/>
        </w:rPr>
        <w:t>Тенденцията за повишаване броя на производствата, в които е използван софтуера за е-ревизии ACL, се запазва и през 2015 г., като софтуера е използван в 170 ревизии. Това се дължи основно на дейността на сформираните в ТД на НАП специализирани екипи за е-ревизии. През 2015 г. бяха сформирани два такива екипа в ТД на НАП София и са проведени обучения за използването на софтуера и анализа на данни</w:t>
      </w:r>
      <w:r>
        <w:rPr>
          <w:rFonts w:eastAsia="Calibri"/>
          <w:color w:val="000000"/>
          <w:lang w:eastAsia="en-US"/>
        </w:rPr>
        <w:t>.</w:t>
      </w:r>
    </w:p>
    <w:p w:rsidR="00523AD6" w:rsidRDefault="00523AD6" w:rsidP="00523AD6">
      <w:pPr>
        <w:ind w:firstLine="709"/>
        <w:jc w:val="both"/>
        <w:rPr>
          <w:rFonts w:eastAsia="Calibri"/>
          <w:lang w:eastAsia="en-US"/>
        </w:rPr>
      </w:pPr>
      <w:r>
        <w:rPr>
          <w:rFonts w:eastAsia="Calibri"/>
          <w:color w:val="000000"/>
          <w:lang w:eastAsia="en-US"/>
        </w:rPr>
        <w:t>В рамките на изпълнение на Програмата за намаляване на нивата на риска за 2015 г. са възложени 50 производства спрямо лица, извършващи търговия в интернет. При приключилите през годината 20 ревизионни производства са определени задължения в размер на над 1,16 млн. лева.</w:t>
      </w:r>
    </w:p>
    <w:p w:rsidR="00523AD6" w:rsidRDefault="00523AD6" w:rsidP="002979A4">
      <w:pPr>
        <w:spacing w:before="120" w:after="120"/>
        <w:ind w:firstLine="709"/>
        <w:jc w:val="both"/>
        <w:rPr>
          <w:rFonts w:eastAsia="Calibri"/>
          <w:b/>
          <w:lang w:eastAsia="en-US"/>
        </w:rPr>
      </w:pPr>
      <w:r>
        <w:rPr>
          <w:rFonts w:eastAsia="Calibri"/>
          <w:b/>
          <w:lang w:eastAsia="en-US"/>
        </w:rPr>
        <w:t>1</w:t>
      </w:r>
      <w:r>
        <w:rPr>
          <w:rFonts w:eastAsia="Calibri"/>
          <w:b/>
          <w:lang w:val="en-US" w:eastAsia="en-US"/>
        </w:rPr>
        <w:t xml:space="preserve">.2. </w:t>
      </w:r>
      <w:r>
        <w:rPr>
          <w:rFonts w:eastAsia="Calibri"/>
          <w:b/>
          <w:lang w:eastAsia="en-US"/>
        </w:rPr>
        <w:t>Многостранни ревизии</w:t>
      </w:r>
    </w:p>
    <w:p w:rsidR="00523AD6" w:rsidRDefault="00523AD6" w:rsidP="00523AD6">
      <w:pPr>
        <w:ind w:firstLine="709"/>
        <w:jc w:val="both"/>
        <w:rPr>
          <w:rFonts w:eastAsia="Calibri"/>
          <w:color w:val="000000"/>
          <w:lang w:eastAsia="en-US"/>
        </w:rPr>
      </w:pPr>
      <w:r>
        <w:rPr>
          <w:rFonts w:eastAsia="Calibri"/>
          <w:color w:val="000000"/>
          <w:lang w:eastAsia="en-US"/>
        </w:rPr>
        <w:t xml:space="preserve">През 2015 г. НАП участва в два проекта за съвместни контролни действия по покана на приходни администрации на други държави-членки на ЕС. </w:t>
      </w:r>
    </w:p>
    <w:p w:rsidR="00523AD6" w:rsidRDefault="00523AD6" w:rsidP="00523AD6">
      <w:pPr>
        <w:spacing w:after="120"/>
        <w:ind w:firstLine="709"/>
        <w:jc w:val="both"/>
        <w:rPr>
          <w:rFonts w:eastAsia="Calibri"/>
          <w:b/>
          <w:kern w:val="28"/>
          <w:lang w:eastAsia="en-US"/>
        </w:rPr>
      </w:pPr>
      <w:r>
        <w:rPr>
          <w:rFonts w:eastAsia="Calibri"/>
          <w:color w:val="000000"/>
          <w:lang w:eastAsia="en-US"/>
        </w:rPr>
        <w:t xml:space="preserve">През годината е селектиран един случай за многостранна ревизия по предложение на НАП, като през декември е изпратена покана до четири </w:t>
      </w:r>
      <w:r w:rsidR="00196A4A">
        <w:rPr>
          <w:rFonts w:eastAsia="Calibri"/>
          <w:color w:val="000000"/>
          <w:lang w:eastAsia="en-US"/>
        </w:rPr>
        <w:t>държави членки</w:t>
      </w:r>
      <w:r>
        <w:rPr>
          <w:rFonts w:eastAsia="Calibri"/>
          <w:color w:val="000000"/>
          <w:lang w:eastAsia="en-US"/>
        </w:rPr>
        <w:t xml:space="preserve"> за стартиране на съвместни контролни действия. </w:t>
      </w:r>
    </w:p>
    <w:p w:rsidR="00523AD6" w:rsidRDefault="00523AD6" w:rsidP="002979A4">
      <w:pPr>
        <w:spacing w:before="120" w:after="120"/>
        <w:ind w:firstLine="709"/>
        <w:jc w:val="both"/>
        <w:rPr>
          <w:rFonts w:eastAsia="Calibri"/>
          <w:b/>
          <w:lang w:eastAsia="en-US"/>
        </w:rPr>
      </w:pPr>
      <w:r>
        <w:rPr>
          <w:rFonts w:eastAsia="Calibri"/>
          <w:b/>
          <w:lang w:eastAsia="en-US"/>
        </w:rPr>
        <w:t>2</w:t>
      </w:r>
      <w:r>
        <w:rPr>
          <w:rFonts w:eastAsia="Calibri"/>
          <w:b/>
          <w:lang w:val="en-US" w:eastAsia="en-US"/>
        </w:rPr>
        <w:t xml:space="preserve">. </w:t>
      </w:r>
      <w:r>
        <w:rPr>
          <w:rFonts w:eastAsia="Calibri"/>
          <w:b/>
          <w:lang w:eastAsia="en-US"/>
        </w:rPr>
        <w:t xml:space="preserve">Проверки </w:t>
      </w:r>
    </w:p>
    <w:p w:rsidR="00523AD6" w:rsidRDefault="00523AD6" w:rsidP="00523AD6">
      <w:pPr>
        <w:tabs>
          <w:tab w:val="left" w:pos="12825"/>
        </w:tabs>
        <w:ind w:firstLine="709"/>
        <w:jc w:val="both"/>
        <w:rPr>
          <w:rFonts w:eastAsia="Calibri"/>
          <w:kern w:val="28"/>
          <w:lang w:eastAsia="en-US"/>
        </w:rPr>
      </w:pPr>
      <w:r>
        <w:rPr>
          <w:rFonts w:eastAsia="Calibri"/>
          <w:kern w:val="28"/>
          <w:lang w:eastAsia="en-US"/>
        </w:rPr>
        <w:t>В рамките на контролната дейност на НАП се извършват няколко основни вида проверки по отношение на специфични поводи, цели и резултати от извършването им:</w:t>
      </w:r>
    </w:p>
    <w:p w:rsidR="00523AD6" w:rsidRDefault="00523AD6" w:rsidP="00781B85">
      <w:pPr>
        <w:widowControl w:val="0"/>
        <w:numPr>
          <w:ilvl w:val="0"/>
          <w:numId w:val="49"/>
        </w:numPr>
        <w:suppressAutoHyphens/>
        <w:spacing w:after="200" w:line="276" w:lineRule="auto"/>
        <w:jc w:val="both"/>
        <w:rPr>
          <w:rFonts w:eastAsia="Calibri"/>
          <w:color w:val="000000"/>
          <w:lang w:eastAsia="en-US"/>
        </w:rPr>
      </w:pPr>
      <w:r>
        <w:rPr>
          <w:rFonts w:eastAsia="Calibri"/>
          <w:color w:val="000000"/>
          <w:lang w:eastAsia="en-US"/>
        </w:rPr>
        <w:t>ППВ се извършват при наличие на декларирани за възстановяване данъци или осигурителни вноски, както и други недължимо внесени суми;</w:t>
      </w:r>
    </w:p>
    <w:p w:rsidR="00523AD6" w:rsidRDefault="00523AD6" w:rsidP="00781B85">
      <w:pPr>
        <w:widowControl w:val="0"/>
        <w:numPr>
          <w:ilvl w:val="0"/>
          <w:numId w:val="49"/>
        </w:numPr>
        <w:suppressAutoHyphens/>
        <w:spacing w:after="200" w:line="276" w:lineRule="auto"/>
        <w:jc w:val="both"/>
        <w:rPr>
          <w:rFonts w:eastAsia="Calibri"/>
          <w:color w:val="000000"/>
          <w:lang w:eastAsia="en-US"/>
        </w:rPr>
      </w:pPr>
      <w:r>
        <w:rPr>
          <w:rFonts w:eastAsia="Calibri"/>
          <w:color w:val="000000"/>
          <w:lang w:eastAsia="en-US"/>
        </w:rPr>
        <w:t>Насрещни проверки и проверки по делегация, които имат за цел да съберат годни доказателства и доказателствени средства, необходими за други проверки или ревизии;</w:t>
      </w:r>
    </w:p>
    <w:p w:rsidR="00523AD6" w:rsidRDefault="00523AD6" w:rsidP="00781B85">
      <w:pPr>
        <w:widowControl w:val="0"/>
        <w:numPr>
          <w:ilvl w:val="0"/>
          <w:numId w:val="49"/>
        </w:numPr>
        <w:suppressAutoHyphens/>
        <w:spacing w:after="200" w:line="276" w:lineRule="auto"/>
        <w:jc w:val="both"/>
        <w:rPr>
          <w:rFonts w:ascii="Calibri" w:eastAsia="Calibri" w:hAnsi="Calibri"/>
          <w:sz w:val="22"/>
          <w:szCs w:val="22"/>
          <w:lang w:eastAsia="en-US"/>
        </w:rPr>
      </w:pPr>
      <w:r>
        <w:rPr>
          <w:rFonts w:eastAsia="Calibri"/>
          <w:color w:val="000000"/>
          <w:lang w:eastAsia="en-US"/>
        </w:rPr>
        <w:t>Проверки за установяване на факти и обстоятелства, в т.ч. и проверки за съпоставка на имущество и доходи на ФЛ, които са от значение за установяване на задълженията на лицата, както и за спазване на законодателството</w:t>
      </w:r>
      <w:r>
        <w:rPr>
          <w:rFonts w:ascii="Calibri" w:eastAsia="Calibri" w:hAnsi="Calibri"/>
          <w:sz w:val="22"/>
          <w:szCs w:val="22"/>
          <w:lang w:eastAsia="en-US"/>
        </w:rPr>
        <w:t xml:space="preserve">. </w:t>
      </w:r>
    </w:p>
    <w:p w:rsidR="00523AD6" w:rsidRDefault="00523AD6" w:rsidP="00523AD6">
      <w:pPr>
        <w:tabs>
          <w:tab w:val="left" w:pos="12825"/>
        </w:tabs>
        <w:spacing w:after="120"/>
        <w:jc w:val="both"/>
        <w:rPr>
          <w:rFonts w:ascii="Calibri" w:eastAsia="Calibri" w:hAnsi="Calibri"/>
          <w:sz w:val="22"/>
          <w:szCs w:val="22"/>
          <w:lang w:eastAsia="en-US"/>
        </w:rPr>
      </w:pPr>
      <w:r>
        <w:rPr>
          <w:rFonts w:eastAsia="Calibri"/>
          <w:b/>
          <w:lang w:eastAsia="en-US"/>
        </w:rPr>
        <w:t>Извършени проверки по видове</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75"/>
        <w:gridCol w:w="1135"/>
        <w:gridCol w:w="993"/>
        <w:gridCol w:w="1214"/>
        <w:gridCol w:w="1135"/>
      </w:tblGrid>
      <w:tr w:rsidR="00523AD6" w:rsidTr="00523AD6">
        <w:trPr>
          <w:trHeight w:val="390"/>
          <w:jc w:val="center"/>
        </w:trPr>
        <w:tc>
          <w:tcPr>
            <w:tcW w:w="4473"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523AD6" w:rsidRDefault="00523AD6">
            <w:pPr>
              <w:ind w:right="142"/>
              <w:jc w:val="center"/>
              <w:rPr>
                <w:b/>
                <w:lang w:eastAsia="en-US"/>
              </w:rPr>
            </w:pPr>
            <w:r>
              <w:rPr>
                <w:b/>
                <w:lang w:eastAsia="en-US"/>
              </w:rPr>
              <w:t>Видове проверки</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523AD6" w:rsidRDefault="00523AD6">
            <w:pPr>
              <w:tabs>
                <w:tab w:val="left" w:pos="842"/>
              </w:tabs>
              <w:jc w:val="center"/>
              <w:rPr>
                <w:b/>
                <w:lang w:eastAsia="en-US"/>
              </w:rPr>
            </w:pPr>
            <w:r>
              <w:rPr>
                <w:b/>
                <w:bCs/>
                <w:color w:val="000000"/>
                <w:lang w:eastAsia="en-US"/>
              </w:rPr>
              <w:t>Мерна единица</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523AD6" w:rsidRDefault="00523AD6">
            <w:pPr>
              <w:ind w:right="-31"/>
              <w:jc w:val="center"/>
              <w:rPr>
                <w:b/>
                <w:lang w:eastAsia="en-US"/>
              </w:rPr>
            </w:pPr>
            <w:r>
              <w:rPr>
                <w:b/>
                <w:lang w:eastAsia="en-US"/>
              </w:rPr>
              <w:t>Отчет</w:t>
            </w:r>
          </w:p>
          <w:p w:rsidR="00523AD6" w:rsidRDefault="00523AD6">
            <w:pPr>
              <w:ind w:right="-31"/>
              <w:jc w:val="center"/>
              <w:rPr>
                <w:b/>
                <w:lang w:eastAsia="en-US"/>
              </w:rPr>
            </w:pPr>
            <w:r>
              <w:rPr>
                <w:b/>
                <w:lang w:eastAsia="en-US"/>
              </w:rPr>
              <w:t>2015г.</w:t>
            </w:r>
          </w:p>
        </w:tc>
        <w:tc>
          <w:tcPr>
            <w:tcW w:w="1213"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523AD6" w:rsidRDefault="00523AD6">
            <w:pPr>
              <w:jc w:val="center"/>
              <w:rPr>
                <w:b/>
                <w:lang w:eastAsia="en-US"/>
              </w:rPr>
            </w:pPr>
            <w:r>
              <w:rPr>
                <w:b/>
                <w:lang w:eastAsia="en-US"/>
              </w:rPr>
              <w:t>Отчет</w:t>
            </w:r>
          </w:p>
          <w:p w:rsidR="00523AD6" w:rsidRDefault="00523AD6">
            <w:pPr>
              <w:jc w:val="center"/>
              <w:rPr>
                <w:b/>
                <w:lang w:eastAsia="en-US"/>
              </w:rPr>
            </w:pPr>
            <w:r>
              <w:rPr>
                <w:b/>
                <w:lang w:eastAsia="en-US"/>
              </w:rPr>
              <w:t>2014 г.</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523AD6" w:rsidRDefault="00523AD6">
            <w:pPr>
              <w:tabs>
                <w:tab w:val="left" w:pos="12825"/>
              </w:tabs>
              <w:jc w:val="center"/>
              <w:rPr>
                <w:b/>
                <w:lang w:eastAsia="en-US"/>
              </w:rPr>
            </w:pPr>
            <w:r>
              <w:rPr>
                <w:b/>
                <w:lang w:eastAsia="en-US"/>
              </w:rPr>
              <w:t>2015 г./ 2014 г.</w:t>
            </w:r>
          </w:p>
        </w:tc>
      </w:tr>
      <w:tr w:rsidR="00523AD6" w:rsidTr="00523AD6">
        <w:trPr>
          <w:trHeight w:val="50"/>
          <w:jc w:val="center"/>
        </w:trPr>
        <w:tc>
          <w:tcPr>
            <w:tcW w:w="447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
                <w:bCs/>
                <w:lang w:eastAsia="en-US"/>
              </w:rPr>
            </w:pPr>
            <w:r>
              <w:rPr>
                <w:b/>
                <w:bCs/>
                <w:lang w:eastAsia="en-US"/>
              </w:rPr>
              <w:t>Общо извършени проверки, в т.ч. :</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center"/>
              <w:rPr>
                <w:b/>
                <w:lang w:eastAsia="en-US"/>
              </w:rPr>
            </w:pPr>
            <w:r>
              <w:rPr>
                <w:b/>
                <w:lang w:eastAsia="en-US"/>
              </w:rPr>
              <w:t>брой</w:t>
            </w:r>
          </w:p>
        </w:tc>
        <w:tc>
          <w:tcPr>
            <w:tcW w:w="992"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31"/>
              <w:jc w:val="right"/>
              <w:rPr>
                <w:b/>
                <w:lang w:eastAsia="en-US"/>
              </w:rPr>
            </w:pPr>
            <w:r>
              <w:rPr>
                <w:b/>
                <w:lang w:eastAsia="en-US"/>
              </w:rPr>
              <w:t>230 663</w:t>
            </w:r>
          </w:p>
        </w:tc>
        <w:tc>
          <w:tcPr>
            <w:tcW w:w="121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b/>
                <w:lang w:eastAsia="en-US"/>
              </w:rPr>
            </w:pPr>
            <w:r>
              <w:rPr>
                <w:b/>
                <w:lang w:eastAsia="en-US"/>
              </w:rPr>
              <w:t>214 561</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7,5%</w:t>
            </w:r>
          </w:p>
        </w:tc>
      </w:tr>
      <w:tr w:rsidR="00523AD6" w:rsidTr="00523AD6">
        <w:trPr>
          <w:trHeight w:val="257"/>
          <w:jc w:val="center"/>
        </w:trPr>
        <w:tc>
          <w:tcPr>
            <w:tcW w:w="447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lang w:eastAsia="en-US"/>
              </w:rPr>
            </w:pPr>
            <w:r>
              <w:rPr>
                <w:bCs/>
                <w:lang w:eastAsia="en-US"/>
              </w:rPr>
              <w:t>ППВ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center"/>
              <w:rPr>
                <w:lang w:eastAsia="en-US"/>
              </w:rPr>
            </w:pPr>
            <w:r>
              <w:rPr>
                <w:lang w:eastAsia="en-US"/>
              </w:rPr>
              <w:t>брой</w:t>
            </w:r>
          </w:p>
        </w:tc>
        <w:tc>
          <w:tcPr>
            <w:tcW w:w="992"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31"/>
              <w:jc w:val="right"/>
              <w:rPr>
                <w:lang w:eastAsia="en-US"/>
              </w:rPr>
            </w:pPr>
            <w:r>
              <w:rPr>
                <w:lang w:eastAsia="en-US"/>
              </w:rPr>
              <w:t>154 757</w:t>
            </w:r>
          </w:p>
        </w:tc>
        <w:tc>
          <w:tcPr>
            <w:tcW w:w="121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146 676</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5,5%</w:t>
            </w:r>
          </w:p>
        </w:tc>
      </w:tr>
      <w:tr w:rsidR="00523AD6" w:rsidTr="00523AD6">
        <w:trPr>
          <w:trHeight w:val="133"/>
          <w:jc w:val="center"/>
        </w:trPr>
        <w:tc>
          <w:tcPr>
            <w:tcW w:w="447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lang w:eastAsia="en-US"/>
              </w:rPr>
            </w:pPr>
            <w:r>
              <w:rPr>
                <w:bCs/>
                <w:lang w:eastAsia="en-US"/>
              </w:rPr>
              <w:t>Проверки за установяване на факти и обстоятелства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center"/>
              <w:rPr>
                <w:lang w:eastAsia="en-US"/>
              </w:rPr>
            </w:pPr>
            <w:r>
              <w:rPr>
                <w:lang w:eastAsia="en-US"/>
              </w:rPr>
              <w:t>брой</w:t>
            </w:r>
          </w:p>
        </w:tc>
        <w:tc>
          <w:tcPr>
            <w:tcW w:w="992"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31"/>
              <w:jc w:val="right"/>
              <w:rPr>
                <w:lang w:eastAsia="en-US"/>
              </w:rPr>
            </w:pPr>
            <w:r>
              <w:rPr>
                <w:lang w:eastAsia="en-US"/>
              </w:rPr>
              <w:t>34 297</w:t>
            </w:r>
          </w:p>
        </w:tc>
        <w:tc>
          <w:tcPr>
            <w:tcW w:w="121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32 824</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4,5%</w:t>
            </w:r>
          </w:p>
        </w:tc>
      </w:tr>
      <w:tr w:rsidR="00523AD6" w:rsidTr="00523AD6">
        <w:trPr>
          <w:trHeight w:val="133"/>
          <w:jc w:val="center"/>
        </w:trPr>
        <w:tc>
          <w:tcPr>
            <w:tcW w:w="447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lang w:eastAsia="en-US"/>
              </w:rPr>
            </w:pPr>
            <w:r>
              <w:rPr>
                <w:bCs/>
                <w:lang w:eastAsia="en-US"/>
              </w:rPr>
              <w:t>Насрещни проверки и проверки по делегация</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center"/>
              <w:rPr>
                <w:lang w:eastAsia="en-US"/>
              </w:rPr>
            </w:pPr>
            <w:r>
              <w:rPr>
                <w:lang w:eastAsia="en-US"/>
              </w:rPr>
              <w:t>брой</w:t>
            </w:r>
          </w:p>
        </w:tc>
        <w:tc>
          <w:tcPr>
            <w:tcW w:w="992"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31"/>
              <w:jc w:val="right"/>
              <w:rPr>
                <w:lang w:eastAsia="en-US"/>
              </w:rPr>
            </w:pPr>
            <w:r>
              <w:rPr>
                <w:lang w:eastAsia="en-US"/>
              </w:rPr>
              <w:t>40 625</w:t>
            </w:r>
          </w:p>
        </w:tc>
        <w:tc>
          <w:tcPr>
            <w:tcW w:w="121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35 061</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15,9%</w:t>
            </w:r>
          </w:p>
        </w:tc>
      </w:tr>
      <w:tr w:rsidR="00523AD6" w:rsidTr="00523AD6">
        <w:trPr>
          <w:trHeight w:val="133"/>
          <w:jc w:val="center"/>
        </w:trPr>
        <w:tc>
          <w:tcPr>
            <w:tcW w:w="447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lang w:eastAsia="en-US"/>
              </w:rPr>
            </w:pPr>
            <w:r>
              <w:rPr>
                <w:bCs/>
                <w:lang w:eastAsia="en-US"/>
              </w:rPr>
              <w:t>Проверки за съпоставка на имущество и доходи на физически лица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center"/>
              <w:rPr>
                <w:lang w:eastAsia="en-US"/>
              </w:rPr>
            </w:pPr>
            <w:r>
              <w:rPr>
                <w:lang w:eastAsia="en-US"/>
              </w:rPr>
              <w:t>брой</w:t>
            </w:r>
          </w:p>
        </w:tc>
        <w:tc>
          <w:tcPr>
            <w:tcW w:w="992"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31"/>
              <w:jc w:val="right"/>
              <w:rPr>
                <w:lang w:eastAsia="en-US"/>
              </w:rPr>
            </w:pPr>
            <w:r>
              <w:rPr>
                <w:lang w:eastAsia="en-US"/>
              </w:rPr>
              <w:t>984</w:t>
            </w:r>
          </w:p>
        </w:tc>
        <w:tc>
          <w:tcPr>
            <w:tcW w:w="121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1 063</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-7,4%</w:t>
            </w:r>
          </w:p>
        </w:tc>
      </w:tr>
      <w:tr w:rsidR="00523AD6" w:rsidTr="00523AD6">
        <w:trPr>
          <w:trHeight w:val="133"/>
          <w:jc w:val="center"/>
        </w:trPr>
        <w:tc>
          <w:tcPr>
            <w:tcW w:w="447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lang w:eastAsia="en-US"/>
              </w:rPr>
            </w:pPr>
            <w:r>
              <w:rPr>
                <w:bCs/>
                <w:lang w:eastAsia="en-US"/>
              </w:rPr>
              <w:t>Относителен дял на обжалваните АПВ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center"/>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31"/>
              <w:jc w:val="right"/>
              <w:rPr>
                <w:lang w:eastAsia="en-US"/>
              </w:rPr>
            </w:pPr>
            <w:r>
              <w:rPr>
                <w:lang w:eastAsia="en-US"/>
              </w:rPr>
              <w:t>0,3</w:t>
            </w:r>
          </w:p>
        </w:tc>
        <w:tc>
          <w:tcPr>
            <w:tcW w:w="121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0,3</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0</w:t>
            </w:r>
          </w:p>
        </w:tc>
      </w:tr>
      <w:tr w:rsidR="00523AD6" w:rsidTr="00523AD6">
        <w:trPr>
          <w:trHeight w:val="133"/>
          <w:jc w:val="center"/>
        </w:trPr>
        <w:tc>
          <w:tcPr>
            <w:tcW w:w="447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lang w:eastAsia="en-US"/>
              </w:rPr>
            </w:pPr>
            <w:r>
              <w:rPr>
                <w:bCs/>
                <w:lang w:eastAsia="en-US"/>
              </w:rPr>
              <w:t xml:space="preserve">Относителен дял на проверките по ПП, </w:t>
            </w:r>
            <w:r>
              <w:rPr>
                <w:bCs/>
                <w:lang w:eastAsia="en-US"/>
              </w:rPr>
              <w:lastRenderedPageBreak/>
              <w:t>приключили в първоначално определения срок</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center"/>
              <w:rPr>
                <w:lang w:eastAsia="en-US"/>
              </w:rPr>
            </w:pPr>
            <w:r>
              <w:rPr>
                <w:lang w:eastAsia="en-US"/>
              </w:rPr>
              <w:lastRenderedPageBreak/>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31"/>
              <w:jc w:val="right"/>
              <w:rPr>
                <w:lang w:eastAsia="en-US"/>
              </w:rPr>
            </w:pPr>
            <w:r>
              <w:rPr>
                <w:lang w:eastAsia="en-US"/>
              </w:rPr>
              <w:t>73</w:t>
            </w:r>
          </w:p>
        </w:tc>
        <w:tc>
          <w:tcPr>
            <w:tcW w:w="121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88</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-15%</w:t>
            </w:r>
          </w:p>
        </w:tc>
      </w:tr>
      <w:tr w:rsidR="00523AD6" w:rsidTr="00523AD6">
        <w:trPr>
          <w:trHeight w:val="133"/>
          <w:jc w:val="center"/>
        </w:trPr>
        <w:tc>
          <w:tcPr>
            <w:tcW w:w="447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lang w:eastAsia="en-US"/>
              </w:rPr>
            </w:pPr>
            <w:r>
              <w:rPr>
                <w:bCs/>
                <w:lang w:eastAsia="en-US"/>
              </w:rPr>
              <w:lastRenderedPageBreak/>
              <w:t>Относителен дял на проверките без ППВ, приключили в първоначално определения срок</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center"/>
              <w:rPr>
                <w:lang w:eastAsia="en-US"/>
              </w:rPr>
            </w:pPr>
            <w:r>
              <w:rPr>
                <w:lang w:eastAsia="en-US"/>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31"/>
              <w:jc w:val="right"/>
              <w:rPr>
                <w:lang w:eastAsia="en-US"/>
              </w:rPr>
            </w:pPr>
            <w:r>
              <w:rPr>
                <w:lang w:eastAsia="en-US"/>
              </w:rPr>
              <w:t>67</w:t>
            </w:r>
          </w:p>
        </w:tc>
        <w:tc>
          <w:tcPr>
            <w:tcW w:w="1213"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71</w:t>
            </w:r>
          </w:p>
        </w:tc>
        <w:tc>
          <w:tcPr>
            <w:tcW w:w="1134" w:type="dxa"/>
            <w:tcBorders>
              <w:top w:val="single" w:sz="4" w:space="0" w:color="auto"/>
              <w:left w:val="single" w:sz="4" w:space="0" w:color="auto"/>
              <w:bottom w:val="single" w:sz="4" w:space="0" w:color="auto"/>
              <w:right w:val="single" w:sz="4" w:space="0" w:color="auto"/>
            </w:tcBorders>
            <w:vAlign w:val="center"/>
            <w:hideMark/>
          </w:tcPr>
          <w:p w:rsidR="00523AD6" w:rsidRDefault="00523AD6">
            <w:pPr>
              <w:jc w:val="right"/>
              <w:rPr>
                <w:lang w:eastAsia="en-US"/>
              </w:rPr>
            </w:pPr>
            <w:r>
              <w:rPr>
                <w:lang w:eastAsia="en-US"/>
              </w:rPr>
              <w:t>-4%</w:t>
            </w:r>
          </w:p>
        </w:tc>
      </w:tr>
    </w:tbl>
    <w:p w:rsidR="00523AD6" w:rsidRDefault="00523AD6" w:rsidP="00523AD6">
      <w:pPr>
        <w:tabs>
          <w:tab w:val="left" w:pos="12825"/>
        </w:tabs>
        <w:jc w:val="both"/>
        <w:rPr>
          <w:rFonts w:eastAsia="Calibri"/>
          <w:i/>
          <w:lang w:eastAsia="en-US"/>
        </w:rPr>
      </w:pPr>
      <w:r>
        <w:rPr>
          <w:rFonts w:eastAsia="Calibri"/>
          <w:i/>
          <w:lang w:eastAsia="en-US"/>
        </w:rPr>
        <w:t xml:space="preserve">                                                                                                                         Източник: НАП</w:t>
      </w:r>
    </w:p>
    <w:p w:rsidR="00523AD6" w:rsidRDefault="00523AD6" w:rsidP="00523AD6">
      <w:pPr>
        <w:tabs>
          <w:tab w:val="left" w:pos="12825"/>
        </w:tabs>
        <w:ind w:firstLine="709"/>
        <w:jc w:val="both"/>
        <w:rPr>
          <w:rFonts w:eastAsia="Calibri"/>
          <w:i/>
          <w:lang w:eastAsia="en-US"/>
        </w:rPr>
      </w:pPr>
      <w:r>
        <w:rPr>
          <w:rFonts w:eastAsia="Calibri"/>
          <w:lang w:eastAsia="en-US"/>
        </w:rPr>
        <w:t>През 2015 г. нараства броят на всички видове проверки</w:t>
      </w:r>
      <w:r w:rsidR="00196A4A">
        <w:rPr>
          <w:rFonts w:eastAsia="Calibri"/>
          <w:lang w:eastAsia="en-US"/>
        </w:rPr>
        <w:t>, основно</w:t>
      </w:r>
      <w:r>
        <w:rPr>
          <w:rFonts w:eastAsia="Calibri"/>
          <w:lang w:eastAsia="en-US"/>
        </w:rPr>
        <w:t xml:space="preserve"> на проверките по делегация и насрещните проверки. Следва да се има предвид, че 14 199 (35 %) от насрещните проверки са извършени в хода на възложени ревизионни производства. Единствено изключение от тенденцията се наблюдава при проверките за съпоставка на имущество и доходи на физически лица, броят на които е намалял със 7,4 % спрямо 2014 година. Извършени са 956 проверки на лица, придобили скъпоструващи луксозни имоти или автомобили.  </w:t>
      </w:r>
    </w:p>
    <w:p w:rsidR="00523AD6" w:rsidRDefault="00523AD6" w:rsidP="00523AD6">
      <w:pPr>
        <w:tabs>
          <w:tab w:val="left" w:pos="12825"/>
        </w:tabs>
        <w:ind w:firstLine="709"/>
        <w:jc w:val="both"/>
        <w:rPr>
          <w:rFonts w:eastAsia="Calibri"/>
          <w:kern w:val="28"/>
          <w:lang w:val="en-US" w:eastAsia="en-US"/>
        </w:rPr>
      </w:pPr>
      <w:r>
        <w:rPr>
          <w:rFonts w:eastAsia="Calibri"/>
          <w:kern w:val="28"/>
          <w:lang w:eastAsia="en-US"/>
        </w:rPr>
        <w:t>В допълнение, органи по приходите от НАП са извършили над 370 000 проверки за установяване на факти и обстоятелства от значение за установяване на задълженията на лицата, както и за спазване на законодателството и над 53 000 проверки по прихващане и възстановяване на декларирани за възстановяване ДДФЛ или осигурителни вноски на физически лица.</w:t>
      </w:r>
    </w:p>
    <w:p w:rsidR="00523AD6" w:rsidRDefault="00523AD6" w:rsidP="00523AD6">
      <w:pPr>
        <w:ind w:firstLine="709"/>
        <w:jc w:val="both"/>
        <w:rPr>
          <w:rFonts w:eastAsia="Calibri"/>
          <w:b/>
          <w:lang w:eastAsia="en-US"/>
        </w:rPr>
      </w:pPr>
      <w:r>
        <w:rPr>
          <w:rFonts w:eastAsia="Calibri"/>
          <w:b/>
          <w:lang w:eastAsia="en-US"/>
        </w:rPr>
        <w:t xml:space="preserve">Оперативни проверки </w:t>
      </w:r>
    </w:p>
    <w:p w:rsidR="00523AD6" w:rsidRDefault="00523AD6" w:rsidP="00523AD6">
      <w:pPr>
        <w:ind w:firstLine="709"/>
        <w:jc w:val="both"/>
        <w:rPr>
          <w:rFonts w:eastAsia="Calibri"/>
          <w:lang w:eastAsia="en-US"/>
        </w:rPr>
      </w:pPr>
      <w:r>
        <w:rPr>
          <w:rFonts w:eastAsia="Calibri"/>
          <w:lang w:eastAsia="en-US"/>
        </w:rPr>
        <w:t xml:space="preserve">Оперативните проверки са специфичен вид контролни действия, целящи основно установяване спазването на законодателството, както и събиране на годни доказателствени средства за установяване на задължения за данъци и осигуровки. При извършването на оперативни проверки се установяват множество административни нарушения на данъчното и осигурително законодателство. </w:t>
      </w:r>
    </w:p>
    <w:p w:rsidR="00523AD6" w:rsidRDefault="00523AD6" w:rsidP="00523AD6">
      <w:pPr>
        <w:jc w:val="both"/>
        <w:rPr>
          <w:rFonts w:eastAsia="Calibri"/>
          <w:b/>
          <w:lang w:eastAsia="en-US"/>
        </w:rPr>
      </w:pPr>
    </w:p>
    <w:p w:rsidR="00523AD6" w:rsidRDefault="00523AD6" w:rsidP="00523AD6">
      <w:pPr>
        <w:spacing w:after="120"/>
        <w:jc w:val="both"/>
        <w:rPr>
          <w:rFonts w:eastAsia="Calibri"/>
          <w:b/>
          <w:lang w:eastAsia="en-US"/>
        </w:rPr>
      </w:pPr>
      <w:r>
        <w:rPr>
          <w:rFonts w:eastAsia="Calibri"/>
          <w:b/>
          <w:lang w:eastAsia="en-US"/>
        </w:rPr>
        <w:t xml:space="preserve">Извършени оперативни проверки </w:t>
      </w:r>
    </w:p>
    <w:tbl>
      <w:tblPr>
        <w:tblStyle w:val="TableGrid1"/>
        <w:tblW w:w="0" w:type="auto"/>
        <w:tblInd w:w="108" w:type="dxa"/>
        <w:tblLook w:val="04A0" w:firstRow="1" w:lastRow="0" w:firstColumn="1" w:lastColumn="0" w:noHBand="0" w:noVBand="1"/>
      </w:tblPr>
      <w:tblGrid>
        <w:gridCol w:w="7797"/>
        <w:gridCol w:w="1275"/>
      </w:tblGrid>
      <w:tr w:rsidR="00523AD6" w:rsidTr="00523AD6">
        <w:trPr>
          <w:trHeight w:val="570"/>
        </w:trPr>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center"/>
              <w:rPr>
                <w:b/>
                <w:i/>
              </w:rPr>
            </w:pPr>
            <w:r>
              <w:rPr>
                <w:b/>
              </w:rPr>
              <w:t xml:space="preserve">Показатели за оперативни проверки </w:t>
            </w:r>
            <w:r>
              <w:rPr>
                <w:b/>
                <w:i/>
              </w:rPr>
              <w:t>(брой)</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center"/>
              <w:rPr>
                <w:b/>
              </w:rPr>
            </w:pPr>
            <w:r>
              <w:rPr>
                <w:b/>
              </w:rPr>
              <w:t>2015 г.</w:t>
            </w:r>
          </w:p>
        </w:tc>
      </w:tr>
      <w:tr w:rsidR="00523AD6" w:rsidTr="00523AD6">
        <w:trPr>
          <w:trHeight w:val="88"/>
        </w:trPr>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rPr>
            </w:pPr>
            <w:r>
              <w:rPr>
                <w:bCs/>
              </w:rPr>
              <w:t>Общ брой проверени обекти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23</w:t>
            </w:r>
            <w:r>
              <w:rPr>
                <w:lang w:val="en-US"/>
              </w:rPr>
              <w:t xml:space="preserve"> </w:t>
            </w:r>
            <w:r>
              <w:t>129</w:t>
            </w:r>
          </w:p>
        </w:tc>
      </w:tr>
      <w:tr w:rsidR="00523AD6" w:rsidTr="00523AD6">
        <w:trPr>
          <w:trHeight w:val="133"/>
        </w:trPr>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rPr>
            </w:pPr>
            <w:r>
              <w:rPr>
                <w:bCs/>
              </w:rPr>
              <w:t>Общ брой проверени лица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19</w:t>
            </w:r>
            <w:r>
              <w:rPr>
                <w:lang w:val="en-US"/>
              </w:rPr>
              <w:t xml:space="preserve"> </w:t>
            </w:r>
            <w:r>
              <w:t>696</w:t>
            </w:r>
          </w:p>
        </w:tc>
      </w:tr>
      <w:tr w:rsidR="00523AD6" w:rsidTr="00523AD6">
        <w:trPr>
          <w:trHeight w:val="60"/>
        </w:trPr>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rPr>
            </w:pPr>
            <w:r>
              <w:rPr>
                <w:bCs/>
              </w:rPr>
              <w:t>Извършени оперативни проверки, в т.ч.:</w:t>
            </w:r>
          </w:p>
        </w:tc>
        <w:tc>
          <w:tcPr>
            <w:tcW w:w="1275" w:type="dxa"/>
            <w:tcBorders>
              <w:top w:val="single" w:sz="4" w:space="0" w:color="auto"/>
              <w:left w:val="single" w:sz="4" w:space="0" w:color="auto"/>
              <w:bottom w:val="single" w:sz="4" w:space="0" w:color="auto"/>
              <w:right w:val="single" w:sz="4" w:space="0" w:color="auto"/>
            </w:tcBorders>
            <w:vAlign w:val="center"/>
          </w:tcPr>
          <w:p w:rsidR="00523AD6" w:rsidRDefault="00523AD6">
            <w:pPr>
              <w:ind w:right="142"/>
              <w:jc w:val="right"/>
            </w:pPr>
          </w:p>
        </w:tc>
      </w:tr>
      <w:tr w:rsidR="00523AD6" w:rsidTr="00523AD6">
        <w:trPr>
          <w:trHeight w:val="70"/>
        </w:trPr>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left="72" w:right="142"/>
              <w:contextualSpacing/>
              <w:rPr>
                <w:bCs/>
                <w:i/>
              </w:rPr>
            </w:pPr>
            <w:r>
              <w:rPr>
                <w:bCs/>
                <w:i/>
              </w:rPr>
              <w:t>ОПр с наблюдение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15</w:t>
            </w:r>
            <w:r>
              <w:rPr>
                <w:lang w:val="en-US"/>
              </w:rPr>
              <w:t xml:space="preserve"> </w:t>
            </w:r>
            <w:r>
              <w:t>74</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left="72" w:right="142"/>
              <w:contextualSpacing/>
              <w:rPr>
                <w:bCs/>
                <w:i/>
              </w:rPr>
            </w:pPr>
            <w:r>
              <w:rPr>
                <w:bCs/>
                <w:i/>
              </w:rPr>
              <w:t>ОПр за установяване на налични активи (инвентаризация)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2</w:t>
            </w:r>
            <w:r>
              <w:rPr>
                <w:lang w:val="en-US"/>
              </w:rPr>
              <w:t xml:space="preserve"> </w:t>
            </w:r>
            <w:r>
              <w:t>614</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left="72" w:right="142"/>
              <w:contextualSpacing/>
              <w:rPr>
                <w:i/>
              </w:rPr>
            </w:pPr>
            <w:r>
              <w:rPr>
                <w:bCs/>
                <w:i/>
              </w:rPr>
              <w:t>ОПр в обменно бюро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154</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left="72" w:right="142"/>
              <w:contextualSpacing/>
              <w:rPr>
                <w:i/>
              </w:rPr>
            </w:pPr>
            <w:r>
              <w:rPr>
                <w:bCs/>
                <w:i/>
              </w:rPr>
              <w:t>ОПр в обекти, в които се осъществяват сделки с благородни метали</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44</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left="72" w:right="142"/>
              <w:contextualSpacing/>
              <w:rPr>
                <w:i/>
              </w:rPr>
            </w:pPr>
            <w:r>
              <w:rPr>
                <w:bCs/>
                <w:i/>
              </w:rPr>
              <w:t>ОПр в обект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12</w:t>
            </w:r>
            <w:r>
              <w:rPr>
                <w:lang w:val="en-US"/>
              </w:rPr>
              <w:t xml:space="preserve"> </w:t>
            </w:r>
            <w:r>
              <w:t>960</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left="72" w:right="142"/>
              <w:contextualSpacing/>
              <w:rPr>
                <w:i/>
              </w:rPr>
            </w:pPr>
            <w:r>
              <w:rPr>
                <w:bCs/>
                <w:i/>
              </w:rPr>
              <w:t xml:space="preserve">ОПр в бинго зали, игрални зали с хазартни игрални автомати и игрални казина  </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40</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left="72" w:right="142"/>
              <w:contextualSpacing/>
              <w:rPr>
                <w:i/>
              </w:rPr>
            </w:pPr>
            <w:r>
              <w:rPr>
                <w:bCs/>
                <w:i/>
              </w:rPr>
              <w:t xml:space="preserve">ОПр по ОЗ с установяване на съответствие между установени и декларирани факти </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59</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left="72" w:right="142"/>
              <w:contextualSpacing/>
              <w:rPr>
                <w:bCs/>
              </w:rPr>
            </w:pPr>
            <w:r>
              <w:rPr>
                <w:bCs/>
                <w:i/>
              </w:rPr>
              <w:t>ОПр за спазване на ОЗ</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53</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left="72" w:right="142"/>
              <w:contextualSpacing/>
              <w:rPr>
                <w:i/>
              </w:rPr>
            </w:pPr>
            <w:r>
              <w:rPr>
                <w:bCs/>
                <w:i/>
              </w:rPr>
              <w:t>ОПр за копиране на информация от софтуер за управление на продажбите</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232</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pPr>
            <w:r>
              <w:rPr>
                <w:bCs/>
              </w:rPr>
              <w:t>Съставени АУАН</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5</w:t>
            </w:r>
            <w:r>
              <w:rPr>
                <w:lang w:val="en-US"/>
              </w:rPr>
              <w:t xml:space="preserve"> </w:t>
            </w:r>
            <w:r>
              <w:t>558</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pPr>
            <w:r>
              <w:rPr>
                <w:bCs/>
              </w:rPr>
              <w:t xml:space="preserve">Издадени наказателни постановления </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4</w:t>
            </w:r>
            <w:r>
              <w:rPr>
                <w:lang w:val="en-US"/>
              </w:rPr>
              <w:t xml:space="preserve"> </w:t>
            </w:r>
            <w:r>
              <w:t>081</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rPr>
                <w:bCs/>
              </w:rPr>
            </w:pPr>
            <w:r>
              <w:rPr>
                <w:bCs/>
              </w:rPr>
              <w:t>Влезли в сила наказателни постановления</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1</w:t>
            </w:r>
            <w:r>
              <w:rPr>
                <w:lang w:val="en-US"/>
              </w:rPr>
              <w:t xml:space="preserve"> </w:t>
            </w:r>
            <w:r>
              <w:t>791</w:t>
            </w:r>
          </w:p>
        </w:tc>
      </w:tr>
      <w:tr w:rsidR="00523AD6" w:rsidTr="00523AD6">
        <w:tc>
          <w:tcPr>
            <w:tcW w:w="7797"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pPr>
            <w:r>
              <w:t xml:space="preserve">Обжалвани </w:t>
            </w:r>
            <w:r>
              <w:rPr>
                <w:bCs/>
              </w:rPr>
              <w:t>наказателни постановления</w:t>
            </w:r>
            <w: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rsidR="00523AD6" w:rsidRDefault="00523AD6">
            <w:pPr>
              <w:ind w:right="142"/>
              <w:jc w:val="right"/>
            </w:pPr>
            <w:r>
              <w:t>143</w:t>
            </w:r>
          </w:p>
        </w:tc>
      </w:tr>
    </w:tbl>
    <w:p w:rsidR="00523AD6" w:rsidRDefault="00523AD6" w:rsidP="00523AD6">
      <w:pPr>
        <w:ind w:left="7079"/>
        <w:jc w:val="both"/>
        <w:rPr>
          <w:rFonts w:eastAsia="Calibri"/>
          <w:lang w:eastAsia="en-US"/>
        </w:rPr>
      </w:pPr>
      <w:r>
        <w:rPr>
          <w:rFonts w:eastAsia="Calibri"/>
          <w:i/>
          <w:lang w:eastAsia="en-US"/>
        </w:rPr>
        <w:t xml:space="preserve">     Източник: НАП</w:t>
      </w:r>
    </w:p>
    <w:p w:rsidR="00523AD6" w:rsidRDefault="00523AD6" w:rsidP="00523AD6">
      <w:pPr>
        <w:ind w:firstLine="709"/>
        <w:jc w:val="both"/>
        <w:rPr>
          <w:rFonts w:eastAsia="Calibri"/>
          <w:lang w:eastAsia="en-US"/>
        </w:rPr>
      </w:pPr>
      <w:r>
        <w:rPr>
          <w:rFonts w:eastAsia="Calibri"/>
          <w:lang w:eastAsia="en-US"/>
        </w:rPr>
        <w:t xml:space="preserve">През 2015 г. са приключени 20 559 производства, в хода, на които са проверени 23 129 търговски обекта, стопанисвани от 19 696 задължени лица. Констатира се увеличение </w:t>
      </w:r>
      <w:r>
        <w:rPr>
          <w:rFonts w:eastAsia="Calibri"/>
          <w:lang w:eastAsia="en-US"/>
        </w:rPr>
        <w:lastRenderedPageBreak/>
        <w:t xml:space="preserve">на броя на извършените през 2015 г. проверки за установяване на налични активи/инвентаризации/ спрямо 2014 г., което се дължи на възложените от ЦУ на НАП контролни действия в производствени и търговски обекти на млекопроизводители, както и в търговски обекти за продажби на течни горива.  </w:t>
      </w:r>
    </w:p>
    <w:p w:rsidR="00523AD6" w:rsidRDefault="00523AD6" w:rsidP="00523AD6">
      <w:pPr>
        <w:ind w:firstLine="709"/>
        <w:jc w:val="both"/>
        <w:rPr>
          <w:rFonts w:eastAsia="Calibri"/>
          <w:bCs/>
          <w:lang w:eastAsia="en-US"/>
        </w:rPr>
      </w:pPr>
      <w:r>
        <w:rPr>
          <w:rFonts w:eastAsia="Calibri"/>
          <w:bCs/>
          <w:lang w:eastAsia="en-US"/>
        </w:rPr>
        <w:t>От юли 2015 г. НАП извършва регулярни контролни действия по време на концерти, изложения, фестивали, панаири и други. При проверките не са установени случаи на неспазване на законодателството.</w:t>
      </w:r>
    </w:p>
    <w:p w:rsidR="00523AD6" w:rsidRDefault="00523AD6" w:rsidP="00523AD6">
      <w:pPr>
        <w:ind w:firstLine="709"/>
        <w:jc w:val="both"/>
        <w:rPr>
          <w:rFonts w:eastAsia="Calibri"/>
          <w:bCs/>
          <w:lang w:eastAsia="en-US"/>
        </w:rPr>
      </w:pPr>
      <w:r>
        <w:rPr>
          <w:rFonts w:eastAsia="Calibri"/>
          <w:bCs/>
          <w:lang w:eastAsia="en-US"/>
        </w:rPr>
        <w:t xml:space="preserve">Във връзка със засилване на контрола по спазване на данъчно-осигурителното законодателство по време на активния летен сезон върху 250 търговски обекта (около 50 на територията на всяка ТД на НАП) </w:t>
      </w:r>
      <w:r>
        <w:rPr>
          <w:rFonts w:eastAsia="Calibri"/>
          <w:lang w:eastAsia="en-US"/>
        </w:rPr>
        <w:t>в централни градски части/курорти и с голям клиентопоток</w:t>
      </w:r>
      <w:r>
        <w:rPr>
          <w:rFonts w:eastAsia="Calibri"/>
          <w:bCs/>
          <w:lang w:eastAsia="en-US"/>
        </w:rPr>
        <w:t xml:space="preserve"> беше установено </w:t>
      </w:r>
      <w:r>
        <w:rPr>
          <w:rFonts w:eastAsia="Calibri"/>
          <w:lang w:eastAsia="en-US"/>
        </w:rPr>
        <w:t xml:space="preserve">постоянно наблюдение по отношение на отчитаните </w:t>
      </w:r>
      <w:r>
        <w:rPr>
          <w:rFonts w:eastAsia="Calibri"/>
          <w:bCs/>
          <w:lang w:eastAsia="en-US"/>
        </w:rPr>
        <w:t xml:space="preserve">обороти. </w:t>
      </w:r>
      <w:r>
        <w:rPr>
          <w:rFonts w:eastAsia="Calibri"/>
          <w:bCs/>
          <w:lang w:eastAsia="en-US"/>
        </w:rPr>
        <w:tab/>
      </w:r>
    </w:p>
    <w:p w:rsidR="00523AD6" w:rsidRDefault="00523AD6" w:rsidP="00523AD6">
      <w:pPr>
        <w:spacing w:after="120"/>
        <w:ind w:firstLine="709"/>
        <w:jc w:val="both"/>
        <w:rPr>
          <w:rFonts w:eastAsia="Calibri"/>
          <w:lang w:eastAsia="en-US"/>
        </w:rPr>
      </w:pPr>
      <w:r>
        <w:rPr>
          <w:rFonts w:eastAsia="Calibri"/>
          <w:lang w:eastAsia="en-US"/>
        </w:rPr>
        <w:t xml:space="preserve">Във връзка с писмо на БАБХ е извършен анализ на 62 млекопреработвателни предприятия на територията на страната. Съвместно с БАБХ са извършени проверки и физическо наблюдение на 29 задължени лица, относно произхода и качеството на използваните суровини, тяхната преработка и реализация на готовите продукти на пазара, както и наличието на техническа и кадрова обезпеченост на производителите. </w:t>
      </w:r>
    </w:p>
    <w:p w:rsidR="00523AD6" w:rsidRDefault="00523AD6" w:rsidP="002979A4">
      <w:pPr>
        <w:spacing w:before="120" w:after="120"/>
        <w:ind w:firstLine="709"/>
        <w:jc w:val="both"/>
        <w:rPr>
          <w:rFonts w:eastAsia="Calibri"/>
          <w:b/>
          <w:lang w:eastAsia="en-US"/>
        </w:rPr>
      </w:pPr>
      <w:r>
        <w:rPr>
          <w:rFonts w:eastAsia="Calibri"/>
          <w:b/>
          <w:lang w:eastAsia="en-US"/>
        </w:rPr>
        <w:t>3</w:t>
      </w:r>
      <w:r>
        <w:rPr>
          <w:rFonts w:eastAsia="Calibri"/>
          <w:b/>
          <w:lang w:val="en-US" w:eastAsia="en-US"/>
        </w:rPr>
        <w:t xml:space="preserve">. </w:t>
      </w:r>
      <w:r>
        <w:rPr>
          <w:rFonts w:eastAsia="Calibri"/>
          <w:b/>
          <w:lang w:eastAsia="en-US"/>
        </w:rPr>
        <w:t>Контрол, базиран на дистанционната връзка на фискалните устройства (ФУ) с НАП и ИС „Контрол на горивата“</w:t>
      </w:r>
    </w:p>
    <w:p w:rsidR="00523AD6" w:rsidRDefault="00523AD6" w:rsidP="00523AD6">
      <w:pPr>
        <w:tabs>
          <w:tab w:val="left" w:pos="12825"/>
        </w:tabs>
        <w:ind w:firstLine="709"/>
        <w:jc w:val="both"/>
        <w:rPr>
          <w:rFonts w:eastAsia="Calibri"/>
          <w:lang w:eastAsia="en-US"/>
        </w:rPr>
      </w:pPr>
      <w:r>
        <w:rPr>
          <w:rFonts w:eastAsia="Calibri"/>
          <w:lang w:eastAsia="en-US"/>
        </w:rPr>
        <w:t>Във връзка с изменение на Наредба № Н-18/2006 г., свързано с въвеждане на задължение за лицата, извършващи зареждания на течни горива за собствени нужди, да използват електронна система с фискална памет (ЕСФП) с нивомер в периода март–юли 2015 г. бяха извършени 1 311 оперативни проверки и съставени 88 акта за установяване на административни нарушения.</w:t>
      </w:r>
    </w:p>
    <w:p w:rsidR="00523AD6" w:rsidRDefault="00523AD6" w:rsidP="00523AD6">
      <w:pPr>
        <w:ind w:firstLine="709"/>
        <w:jc w:val="both"/>
        <w:rPr>
          <w:rFonts w:eastAsia="Calibri"/>
          <w:lang w:eastAsia="en-US"/>
        </w:rPr>
      </w:pPr>
      <w:r>
        <w:rPr>
          <w:rFonts w:eastAsia="Calibri"/>
          <w:bCs/>
          <w:lang w:eastAsia="en-US"/>
        </w:rPr>
        <w:t>По повод установени несъответствия по счетоводни данни и данни от извършени инвентаризации, съвместно с представители на МВР и ДАМТН, са извършени повторни проверки в 75 бензиностанции.</w:t>
      </w:r>
      <w:r>
        <w:rPr>
          <w:rFonts w:eastAsia="Calibri"/>
          <w:lang w:eastAsia="en-US"/>
        </w:rPr>
        <w:t xml:space="preserve"> В хода на проверките са съставени актове за установяване на административни нарушения /АУАН/ за некалибрирани съдове и от ДАМТН са запечатани  бензино-колонки за некачествен бензин и дизел.</w:t>
      </w:r>
    </w:p>
    <w:p w:rsidR="00523AD6" w:rsidRDefault="00523AD6" w:rsidP="00523AD6">
      <w:pPr>
        <w:ind w:firstLine="709"/>
        <w:jc w:val="both"/>
        <w:rPr>
          <w:rFonts w:eastAsia="Calibri"/>
          <w:bCs/>
          <w:lang w:eastAsia="en-US"/>
        </w:rPr>
      </w:pPr>
      <w:r>
        <w:rPr>
          <w:rFonts w:eastAsia="Calibri"/>
          <w:bCs/>
          <w:lang w:eastAsia="en-US"/>
        </w:rPr>
        <w:t xml:space="preserve">След анализ на земеделски производители по постъпила от Министерството на земеделието информация, че същите са получили ваучери за гориво през 2014 г. по схема на държавна помощ, но няма постъпили данни за част от тях в ИС „Контрол на горивата“, са </w:t>
      </w:r>
      <w:r>
        <w:rPr>
          <w:rFonts w:eastAsia="Calibri"/>
          <w:lang w:eastAsia="en-US"/>
        </w:rPr>
        <w:t>извършени проверки на 250 лица и са съставени 19 АУАН.</w:t>
      </w:r>
    </w:p>
    <w:p w:rsidR="00523AD6" w:rsidRDefault="00523AD6" w:rsidP="00523AD6">
      <w:pPr>
        <w:ind w:firstLine="709"/>
        <w:jc w:val="both"/>
        <w:rPr>
          <w:rFonts w:eastAsia="Calibri"/>
          <w:lang w:eastAsia="en-US"/>
        </w:rPr>
      </w:pPr>
      <w:r>
        <w:rPr>
          <w:rFonts w:eastAsia="Calibri"/>
          <w:bCs/>
          <w:lang w:eastAsia="en-US"/>
        </w:rPr>
        <w:t>Проведени са съвместни действия с АМ и МВР спрямо търговци на горива (повече от 30 бр.), за които има данни за неправомерно ползване на ДДС при вътреобщностно придобиване (ВОП) на течни горива и последващата им реализация на територията на Р. България. Извършени са 7 ревизии, при които са установени допълнително задължения по ЗДДС в размер на 3</w:t>
      </w:r>
      <w:r w:rsidR="00196A4A">
        <w:rPr>
          <w:rFonts w:eastAsia="Calibri"/>
          <w:bCs/>
          <w:lang w:eastAsia="en-US"/>
        </w:rPr>
        <w:t>,5  млн.</w:t>
      </w:r>
      <w:r>
        <w:rPr>
          <w:rFonts w:eastAsia="Calibri"/>
          <w:bCs/>
          <w:lang w:eastAsia="en-US"/>
        </w:rPr>
        <w:t xml:space="preserve"> лева. По инициатива на администрацията са дерегистрирани по ЗДДС 18 търговци на горива, извършвали ВОП.</w:t>
      </w:r>
    </w:p>
    <w:p w:rsidR="00523AD6" w:rsidRDefault="00523AD6" w:rsidP="00523AD6">
      <w:pPr>
        <w:spacing w:after="120"/>
        <w:ind w:firstLine="709"/>
        <w:jc w:val="both"/>
        <w:rPr>
          <w:rFonts w:eastAsia="Calibri"/>
          <w:lang w:eastAsia="en-US"/>
        </w:rPr>
      </w:pPr>
      <w:r>
        <w:rPr>
          <w:rFonts w:eastAsia="Calibri"/>
          <w:bCs/>
          <w:lang w:eastAsia="en-US"/>
        </w:rPr>
        <w:t>През второто шестмесечие на 2015 г. са проведени кампанийни проверки на обекти за крайно разпространение на горива (бензиностанции). Извършени са повече от 200 проверки на бензиностанции.</w:t>
      </w:r>
      <w:r>
        <w:rPr>
          <w:rFonts w:eastAsia="Calibri"/>
          <w:bCs/>
          <w:lang w:eastAsia="en-US"/>
        </w:rPr>
        <w:tab/>
      </w:r>
    </w:p>
    <w:p w:rsidR="00523AD6" w:rsidRDefault="00523AD6" w:rsidP="002979A4">
      <w:pPr>
        <w:spacing w:before="120" w:after="120"/>
        <w:ind w:firstLine="709"/>
        <w:jc w:val="both"/>
        <w:rPr>
          <w:rFonts w:eastAsia="Calibri"/>
          <w:b/>
          <w:lang w:eastAsia="en-US"/>
        </w:rPr>
      </w:pPr>
      <w:r>
        <w:rPr>
          <w:rFonts w:eastAsia="Calibri"/>
          <w:b/>
          <w:lang w:eastAsia="en-US"/>
        </w:rPr>
        <w:t>4</w:t>
      </w:r>
      <w:r>
        <w:rPr>
          <w:rFonts w:eastAsia="Calibri"/>
          <w:b/>
          <w:lang w:val="en-US" w:eastAsia="en-US"/>
        </w:rPr>
        <w:t xml:space="preserve">. </w:t>
      </w:r>
      <w:r>
        <w:rPr>
          <w:rFonts w:eastAsia="Calibri"/>
          <w:b/>
          <w:lang w:eastAsia="en-US"/>
        </w:rPr>
        <w:t xml:space="preserve">Осигурителен контрол </w:t>
      </w:r>
    </w:p>
    <w:p w:rsidR="00523AD6" w:rsidRDefault="00523AD6" w:rsidP="00523AD6">
      <w:pPr>
        <w:ind w:firstLine="709"/>
        <w:jc w:val="both"/>
        <w:rPr>
          <w:rFonts w:eastAsia="Calibri"/>
          <w:lang w:eastAsia="en-US"/>
        </w:rPr>
      </w:pPr>
      <w:r>
        <w:rPr>
          <w:rFonts w:eastAsia="Calibri"/>
          <w:lang w:eastAsia="en-US"/>
        </w:rPr>
        <w:t xml:space="preserve">През 2015 г. продължи извършването на проверки на задължени лица с висока степен на риск от неспазване на осигурителното законодателство. </w:t>
      </w:r>
    </w:p>
    <w:p w:rsidR="00523AD6" w:rsidRDefault="00523AD6" w:rsidP="00523AD6">
      <w:pPr>
        <w:ind w:firstLine="709"/>
        <w:jc w:val="both"/>
        <w:rPr>
          <w:rFonts w:eastAsia="Calibri"/>
          <w:lang w:eastAsia="en-US"/>
        </w:rPr>
      </w:pPr>
      <w:r>
        <w:rPr>
          <w:rFonts w:eastAsia="Calibri"/>
          <w:lang w:eastAsia="en-US"/>
        </w:rPr>
        <w:t xml:space="preserve">В периода декември 2014-март 2015 г. е проведена кампания за извършване на  проверки на задължени лица, регистрирани по ЗДДС, с цел третиране на риска от недекларирано наемане на персонал. Бяха извършени 191 проверки на лица от браншовете - строителство на сгради, транспорт, хотелиерство, ресторантьорство и други. Съставени </w:t>
      </w:r>
      <w:r>
        <w:rPr>
          <w:rFonts w:eastAsia="Calibri"/>
          <w:lang w:eastAsia="en-US"/>
        </w:rPr>
        <w:lastRenderedPageBreak/>
        <w:t xml:space="preserve">са 19 АУАН, декларирано е сключване на 5 трудови договори с лица, за които се е установило, че извършват трудова дейност на проверените обекти и на 11 от проверените лица е възложена ревизия. </w:t>
      </w:r>
    </w:p>
    <w:p w:rsidR="00523AD6" w:rsidRDefault="00523AD6" w:rsidP="00523AD6">
      <w:pPr>
        <w:spacing w:after="120"/>
        <w:ind w:firstLine="709"/>
        <w:jc w:val="both"/>
        <w:rPr>
          <w:rFonts w:eastAsia="Calibri"/>
          <w:b/>
          <w:lang w:eastAsia="en-US"/>
        </w:rPr>
      </w:pPr>
      <w:r>
        <w:rPr>
          <w:rFonts w:eastAsia="Calibri"/>
          <w:lang w:eastAsia="en-US"/>
        </w:rPr>
        <w:t>В периода 17.08.2015-31.12.2015 г. е проведена кампания за извършване на проверки на лица-превозвачи, за които са налице индикации за неизпълнение на задължения за осигурителни вноски и данъци върху доходите на наетите от тях лица. От извършените 119 проверки на задължени лица и 292 насрещни проверки на физически лица са установени 91 работника без сключен трудов договор и осигуряване. Наложени са санкции на 8 задължени лица.</w:t>
      </w:r>
    </w:p>
    <w:p w:rsidR="00523AD6" w:rsidRDefault="00523AD6" w:rsidP="002979A4">
      <w:pPr>
        <w:spacing w:before="120" w:after="120"/>
        <w:ind w:firstLine="709"/>
        <w:jc w:val="both"/>
        <w:rPr>
          <w:rFonts w:eastAsia="Calibri"/>
          <w:b/>
          <w:lang w:eastAsia="en-US"/>
        </w:rPr>
      </w:pPr>
      <w:r>
        <w:rPr>
          <w:rFonts w:eastAsia="Calibri"/>
          <w:b/>
          <w:lang w:eastAsia="en-US"/>
        </w:rPr>
        <w:t>5</w:t>
      </w:r>
      <w:r>
        <w:rPr>
          <w:rFonts w:eastAsia="Calibri"/>
          <w:b/>
          <w:lang w:val="en-US" w:eastAsia="en-US"/>
        </w:rPr>
        <w:t xml:space="preserve">. </w:t>
      </w:r>
      <w:r>
        <w:rPr>
          <w:rFonts w:eastAsia="Calibri"/>
          <w:b/>
          <w:lang w:eastAsia="en-US"/>
        </w:rPr>
        <w:t>Контролни мерки във връзка с Програма за спазване на законодателството и намаляване на нивата на риск през 2015 година</w:t>
      </w:r>
    </w:p>
    <w:p w:rsidR="00523AD6" w:rsidRDefault="00523AD6" w:rsidP="00523AD6">
      <w:pPr>
        <w:ind w:firstLine="709"/>
        <w:jc w:val="both"/>
        <w:rPr>
          <w:rFonts w:eastAsia="Calibri"/>
          <w:lang w:eastAsia="en-US"/>
        </w:rPr>
      </w:pPr>
      <w:r>
        <w:rPr>
          <w:rFonts w:eastAsia="Calibri"/>
          <w:lang w:eastAsia="en-US"/>
        </w:rPr>
        <w:t>Въз основа на утвърдената в НАП Програма за спазване на законодателството и минимизиране нивата на риск през 2015 г. и направеното приоритизиране на рисковете са планирани и извършени контролни действия за третиране на 13 риска в различни сфери на бизнеса.</w:t>
      </w:r>
    </w:p>
    <w:p w:rsidR="00523AD6" w:rsidRDefault="00523AD6" w:rsidP="00523AD6">
      <w:pPr>
        <w:ind w:firstLine="709"/>
        <w:jc w:val="both"/>
        <w:rPr>
          <w:rFonts w:eastAsia="Calibri"/>
          <w:b/>
          <w:i/>
          <w:lang w:eastAsia="en-US"/>
        </w:rPr>
      </w:pPr>
      <w:r>
        <w:rPr>
          <w:rFonts w:eastAsia="Calibri"/>
          <w:b/>
          <w:i/>
          <w:lang w:eastAsia="en-US"/>
        </w:rPr>
        <w:t xml:space="preserve">                                                      </w:t>
      </w:r>
    </w:p>
    <w:p w:rsidR="00523AD6" w:rsidRDefault="00523AD6" w:rsidP="00523AD6">
      <w:pPr>
        <w:tabs>
          <w:tab w:val="left" w:pos="12825"/>
        </w:tabs>
        <w:spacing w:after="120"/>
        <w:jc w:val="both"/>
        <w:rPr>
          <w:rFonts w:eastAsia="Calibri"/>
          <w:b/>
          <w:lang w:eastAsia="en-US"/>
        </w:rPr>
      </w:pPr>
      <w:r>
        <w:rPr>
          <w:rFonts w:eastAsia="Calibri"/>
          <w:b/>
          <w:lang w:eastAsia="en-US"/>
        </w:rPr>
        <w:t>Планирани и изпълнени контролни действия през 2015 г.</w:t>
      </w:r>
    </w:p>
    <w:tbl>
      <w:tblPr>
        <w:tblW w:w="9144" w:type="dxa"/>
        <w:jc w:val="center"/>
        <w:tblLayout w:type="fixed"/>
        <w:tblCellMar>
          <w:left w:w="70" w:type="dxa"/>
          <w:right w:w="70" w:type="dxa"/>
        </w:tblCellMar>
        <w:tblLook w:val="04A0" w:firstRow="1" w:lastRow="0" w:firstColumn="1" w:lastColumn="0" w:noHBand="0" w:noVBand="1"/>
      </w:tblPr>
      <w:tblGrid>
        <w:gridCol w:w="4146"/>
        <w:gridCol w:w="1560"/>
        <w:gridCol w:w="1702"/>
        <w:gridCol w:w="1736"/>
      </w:tblGrid>
      <w:tr w:rsidR="00523AD6" w:rsidTr="00523AD6">
        <w:trPr>
          <w:trHeight w:val="600"/>
          <w:jc w:val="center"/>
        </w:trPr>
        <w:tc>
          <w:tcPr>
            <w:tcW w:w="4146" w:type="dxa"/>
            <w:tcBorders>
              <w:top w:val="single" w:sz="4" w:space="0" w:color="auto"/>
              <w:left w:val="single" w:sz="4" w:space="0" w:color="auto"/>
              <w:bottom w:val="single" w:sz="4" w:space="0" w:color="auto"/>
              <w:right w:val="single" w:sz="4" w:space="0" w:color="auto"/>
            </w:tcBorders>
            <w:shd w:val="clear" w:color="auto" w:fill="F2F2F2"/>
            <w:hideMark/>
          </w:tcPr>
          <w:p w:rsidR="00523AD6" w:rsidRDefault="00523AD6">
            <w:pPr>
              <w:ind w:right="142"/>
              <w:rPr>
                <w:b/>
                <w:color w:val="000000"/>
                <w:lang w:eastAsia="en-US"/>
              </w:rPr>
            </w:pPr>
            <w:r>
              <w:rPr>
                <w:b/>
                <w:color w:val="000000"/>
                <w:lang w:eastAsia="en-US"/>
              </w:rPr>
              <w:t>Брой контролни действия въз основа на анализи на риска на високо ниво и конкретни рискове, в т.ч.:</w:t>
            </w:r>
          </w:p>
        </w:tc>
        <w:tc>
          <w:tcPr>
            <w:tcW w:w="1559"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23AD6" w:rsidRDefault="00523AD6">
            <w:pPr>
              <w:ind w:right="142"/>
              <w:jc w:val="center"/>
              <w:rPr>
                <w:color w:val="000000"/>
                <w:lang w:eastAsia="en-US"/>
              </w:rPr>
            </w:pPr>
            <w:r>
              <w:rPr>
                <w:b/>
                <w:bCs/>
                <w:color w:val="000000"/>
              </w:rPr>
              <w:t>Планирани</w:t>
            </w:r>
          </w:p>
        </w:tc>
        <w:tc>
          <w:tcPr>
            <w:tcW w:w="1701"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23AD6" w:rsidRDefault="00523AD6">
            <w:pPr>
              <w:ind w:right="142"/>
              <w:jc w:val="center"/>
              <w:rPr>
                <w:b/>
                <w:bCs/>
                <w:color w:val="000000"/>
              </w:rPr>
            </w:pPr>
            <w:r>
              <w:rPr>
                <w:b/>
                <w:bCs/>
                <w:color w:val="000000"/>
              </w:rPr>
              <w:t>Възложени</w:t>
            </w:r>
          </w:p>
        </w:tc>
        <w:tc>
          <w:tcPr>
            <w:tcW w:w="173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23AD6" w:rsidRDefault="00523AD6">
            <w:pPr>
              <w:ind w:right="142"/>
              <w:jc w:val="center"/>
              <w:rPr>
                <w:b/>
                <w:bCs/>
                <w:color w:val="000000"/>
              </w:rPr>
            </w:pPr>
            <w:r>
              <w:rPr>
                <w:b/>
                <w:bCs/>
                <w:color w:val="000000"/>
              </w:rPr>
              <w:t>Приключени</w:t>
            </w:r>
          </w:p>
        </w:tc>
      </w:tr>
      <w:tr w:rsidR="00523AD6" w:rsidTr="00523AD6">
        <w:trPr>
          <w:trHeight w:val="60"/>
          <w:jc w:val="center"/>
        </w:trPr>
        <w:tc>
          <w:tcPr>
            <w:tcW w:w="4146" w:type="dxa"/>
            <w:tcBorders>
              <w:top w:val="nil"/>
              <w:left w:val="single" w:sz="4" w:space="0" w:color="auto"/>
              <w:bottom w:val="single" w:sz="4" w:space="0" w:color="auto"/>
              <w:right w:val="single" w:sz="4" w:space="0" w:color="auto"/>
            </w:tcBorders>
            <w:hideMark/>
          </w:tcPr>
          <w:p w:rsidR="00523AD6" w:rsidRDefault="00523AD6">
            <w:pPr>
              <w:ind w:right="142"/>
              <w:rPr>
                <w:color w:val="000000"/>
                <w:lang w:eastAsia="en-US"/>
              </w:rPr>
            </w:pPr>
            <w:r>
              <w:rPr>
                <w:color w:val="000000"/>
                <w:lang w:eastAsia="en-US"/>
              </w:rPr>
              <w:t>- ревизии</w:t>
            </w:r>
          </w:p>
        </w:tc>
        <w:tc>
          <w:tcPr>
            <w:tcW w:w="1559"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1</w:t>
            </w:r>
            <w:r>
              <w:rPr>
                <w:color w:val="000000"/>
                <w:lang w:val="en-US" w:eastAsia="en-US"/>
              </w:rPr>
              <w:t xml:space="preserve"> </w:t>
            </w:r>
            <w:r>
              <w:rPr>
                <w:color w:val="000000"/>
                <w:lang w:eastAsia="en-US"/>
              </w:rPr>
              <w:t>640</w:t>
            </w:r>
          </w:p>
        </w:tc>
        <w:tc>
          <w:tcPr>
            <w:tcW w:w="1701"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1</w:t>
            </w:r>
            <w:r>
              <w:rPr>
                <w:color w:val="000000"/>
                <w:lang w:val="en-US" w:eastAsia="en-US"/>
              </w:rPr>
              <w:t xml:space="preserve"> </w:t>
            </w:r>
            <w:r>
              <w:rPr>
                <w:color w:val="000000"/>
                <w:lang w:eastAsia="en-US"/>
              </w:rPr>
              <w:t>744</w:t>
            </w:r>
          </w:p>
        </w:tc>
        <w:tc>
          <w:tcPr>
            <w:tcW w:w="1735"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981</w:t>
            </w:r>
          </w:p>
        </w:tc>
      </w:tr>
      <w:tr w:rsidR="00523AD6" w:rsidTr="00523AD6">
        <w:trPr>
          <w:trHeight w:val="60"/>
          <w:jc w:val="center"/>
        </w:trPr>
        <w:tc>
          <w:tcPr>
            <w:tcW w:w="4146" w:type="dxa"/>
            <w:tcBorders>
              <w:top w:val="nil"/>
              <w:left w:val="single" w:sz="4" w:space="0" w:color="auto"/>
              <w:bottom w:val="single" w:sz="4" w:space="0" w:color="auto"/>
              <w:right w:val="single" w:sz="4" w:space="0" w:color="auto"/>
            </w:tcBorders>
            <w:hideMark/>
          </w:tcPr>
          <w:p w:rsidR="00523AD6" w:rsidRDefault="00523AD6">
            <w:pPr>
              <w:ind w:right="142"/>
              <w:rPr>
                <w:color w:val="000000"/>
                <w:lang w:eastAsia="en-US"/>
              </w:rPr>
            </w:pPr>
            <w:r>
              <w:rPr>
                <w:color w:val="000000"/>
                <w:lang w:eastAsia="en-US"/>
              </w:rPr>
              <w:t>- проверки за установяване на факти и обстоятелства</w:t>
            </w:r>
          </w:p>
        </w:tc>
        <w:tc>
          <w:tcPr>
            <w:tcW w:w="1559"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155</w:t>
            </w:r>
          </w:p>
        </w:tc>
        <w:tc>
          <w:tcPr>
            <w:tcW w:w="1701"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657</w:t>
            </w:r>
          </w:p>
        </w:tc>
        <w:tc>
          <w:tcPr>
            <w:tcW w:w="1735"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563</w:t>
            </w:r>
          </w:p>
        </w:tc>
      </w:tr>
      <w:tr w:rsidR="00523AD6" w:rsidTr="00523AD6">
        <w:trPr>
          <w:trHeight w:val="62"/>
          <w:jc w:val="center"/>
        </w:trPr>
        <w:tc>
          <w:tcPr>
            <w:tcW w:w="4146" w:type="dxa"/>
            <w:tcBorders>
              <w:top w:val="nil"/>
              <w:left w:val="single" w:sz="4" w:space="0" w:color="auto"/>
              <w:bottom w:val="single" w:sz="4" w:space="0" w:color="auto"/>
              <w:right w:val="single" w:sz="4" w:space="0" w:color="auto"/>
            </w:tcBorders>
            <w:hideMark/>
          </w:tcPr>
          <w:p w:rsidR="00523AD6" w:rsidRDefault="00523AD6">
            <w:pPr>
              <w:ind w:right="142"/>
              <w:rPr>
                <w:color w:val="000000"/>
                <w:lang w:eastAsia="en-US"/>
              </w:rPr>
            </w:pPr>
            <w:r>
              <w:rPr>
                <w:color w:val="000000"/>
                <w:lang w:eastAsia="en-US"/>
              </w:rPr>
              <w:t>- инвентаризации</w:t>
            </w:r>
          </w:p>
        </w:tc>
        <w:tc>
          <w:tcPr>
            <w:tcW w:w="1559"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375</w:t>
            </w:r>
          </w:p>
        </w:tc>
        <w:tc>
          <w:tcPr>
            <w:tcW w:w="1701"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178</w:t>
            </w:r>
          </w:p>
        </w:tc>
        <w:tc>
          <w:tcPr>
            <w:tcW w:w="1735"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159</w:t>
            </w:r>
          </w:p>
        </w:tc>
      </w:tr>
      <w:tr w:rsidR="00523AD6" w:rsidTr="00523AD6">
        <w:trPr>
          <w:trHeight w:val="94"/>
          <w:jc w:val="center"/>
        </w:trPr>
        <w:tc>
          <w:tcPr>
            <w:tcW w:w="4146" w:type="dxa"/>
            <w:tcBorders>
              <w:top w:val="nil"/>
              <w:left w:val="single" w:sz="4" w:space="0" w:color="auto"/>
              <w:bottom w:val="single" w:sz="4" w:space="0" w:color="auto"/>
              <w:right w:val="single" w:sz="4" w:space="0" w:color="auto"/>
            </w:tcBorders>
            <w:hideMark/>
          </w:tcPr>
          <w:p w:rsidR="00523AD6" w:rsidRDefault="00523AD6">
            <w:pPr>
              <w:ind w:right="142"/>
              <w:rPr>
                <w:color w:val="000000"/>
                <w:lang w:eastAsia="en-US"/>
              </w:rPr>
            </w:pPr>
            <w:r>
              <w:rPr>
                <w:color w:val="000000"/>
                <w:lang w:eastAsia="en-US"/>
              </w:rPr>
              <w:t>- наблюдения в дни</w:t>
            </w:r>
          </w:p>
        </w:tc>
        <w:tc>
          <w:tcPr>
            <w:tcW w:w="1559"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1</w:t>
            </w:r>
            <w:r>
              <w:rPr>
                <w:color w:val="000000"/>
                <w:lang w:val="en-US" w:eastAsia="en-US"/>
              </w:rPr>
              <w:t xml:space="preserve"> </w:t>
            </w:r>
            <w:r>
              <w:rPr>
                <w:color w:val="000000"/>
                <w:lang w:eastAsia="en-US"/>
              </w:rPr>
              <w:t>415</w:t>
            </w:r>
          </w:p>
        </w:tc>
        <w:tc>
          <w:tcPr>
            <w:tcW w:w="1701"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1</w:t>
            </w:r>
            <w:r>
              <w:rPr>
                <w:color w:val="000000"/>
                <w:lang w:val="en-US" w:eastAsia="en-US"/>
              </w:rPr>
              <w:t xml:space="preserve"> </w:t>
            </w:r>
            <w:r>
              <w:rPr>
                <w:color w:val="000000"/>
                <w:lang w:eastAsia="en-US"/>
              </w:rPr>
              <w:t>562</w:t>
            </w:r>
          </w:p>
        </w:tc>
        <w:tc>
          <w:tcPr>
            <w:tcW w:w="1735"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1</w:t>
            </w:r>
            <w:r>
              <w:rPr>
                <w:color w:val="000000"/>
                <w:lang w:val="en-US" w:eastAsia="en-US"/>
              </w:rPr>
              <w:t xml:space="preserve"> </w:t>
            </w:r>
            <w:r>
              <w:rPr>
                <w:color w:val="000000"/>
                <w:lang w:eastAsia="en-US"/>
              </w:rPr>
              <w:t>528</w:t>
            </w:r>
          </w:p>
        </w:tc>
      </w:tr>
      <w:tr w:rsidR="00523AD6" w:rsidTr="00523AD6">
        <w:trPr>
          <w:trHeight w:val="60"/>
          <w:jc w:val="center"/>
        </w:trPr>
        <w:tc>
          <w:tcPr>
            <w:tcW w:w="4146" w:type="dxa"/>
            <w:tcBorders>
              <w:top w:val="nil"/>
              <w:left w:val="single" w:sz="4" w:space="0" w:color="auto"/>
              <w:bottom w:val="single" w:sz="4" w:space="0" w:color="auto"/>
              <w:right w:val="single" w:sz="4" w:space="0" w:color="auto"/>
            </w:tcBorders>
            <w:hideMark/>
          </w:tcPr>
          <w:p w:rsidR="00523AD6" w:rsidRDefault="00523AD6">
            <w:pPr>
              <w:ind w:right="142"/>
              <w:rPr>
                <w:color w:val="000000"/>
                <w:lang w:eastAsia="en-US"/>
              </w:rPr>
            </w:pPr>
            <w:r>
              <w:rPr>
                <w:color w:val="000000"/>
                <w:lang w:eastAsia="en-US"/>
              </w:rPr>
              <w:t>- оперативни проверки</w:t>
            </w:r>
          </w:p>
        </w:tc>
        <w:tc>
          <w:tcPr>
            <w:tcW w:w="1559"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1</w:t>
            </w:r>
            <w:r>
              <w:rPr>
                <w:color w:val="000000"/>
                <w:lang w:val="en-US" w:eastAsia="en-US"/>
              </w:rPr>
              <w:t xml:space="preserve"> </w:t>
            </w:r>
            <w:r>
              <w:rPr>
                <w:color w:val="000000"/>
                <w:lang w:eastAsia="en-US"/>
              </w:rPr>
              <w:t>110</w:t>
            </w:r>
          </w:p>
        </w:tc>
        <w:tc>
          <w:tcPr>
            <w:tcW w:w="1701"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990</w:t>
            </w:r>
          </w:p>
        </w:tc>
        <w:tc>
          <w:tcPr>
            <w:tcW w:w="1735" w:type="dxa"/>
            <w:tcBorders>
              <w:top w:val="nil"/>
              <w:left w:val="single" w:sz="4" w:space="0" w:color="auto"/>
              <w:bottom w:val="single" w:sz="4" w:space="0" w:color="auto"/>
              <w:right w:val="single" w:sz="4" w:space="0" w:color="auto"/>
            </w:tcBorders>
            <w:vAlign w:val="center"/>
            <w:hideMark/>
          </w:tcPr>
          <w:p w:rsidR="00523AD6" w:rsidRDefault="00523AD6">
            <w:pPr>
              <w:ind w:right="142"/>
              <w:jc w:val="right"/>
              <w:rPr>
                <w:color w:val="000000"/>
                <w:lang w:eastAsia="en-US"/>
              </w:rPr>
            </w:pPr>
            <w:r>
              <w:rPr>
                <w:color w:val="000000"/>
                <w:lang w:eastAsia="en-US"/>
              </w:rPr>
              <w:t>905</w:t>
            </w:r>
          </w:p>
        </w:tc>
      </w:tr>
    </w:tbl>
    <w:p w:rsidR="00523AD6" w:rsidRDefault="00523AD6" w:rsidP="00523AD6">
      <w:pPr>
        <w:tabs>
          <w:tab w:val="left" w:pos="993"/>
        </w:tabs>
        <w:ind w:firstLine="709"/>
        <w:jc w:val="both"/>
        <w:rPr>
          <w:rFonts w:eastAsia="Calibri"/>
          <w:lang w:eastAsia="en-US"/>
        </w:rPr>
      </w:pP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r>
      <w:r>
        <w:rPr>
          <w:rFonts w:eastAsia="Calibri"/>
          <w:lang w:eastAsia="en-US"/>
        </w:rPr>
        <w:tab/>
        <w:t xml:space="preserve">    </w:t>
      </w:r>
      <w:r>
        <w:rPr>
          <w:rFonts w:eastAsia="Calibri"/>
          <w:i/>
          <w:lang w:eastAsia="en-US"/>
        </w:rPr>
        <w:t>Източник: НАП</w:t>
      </w:r>
    </w:p>
    <w:p w:rsidR="00523AD6" w:rsidRDefault="00523AD6" w:rsidP="00523AD6">
      <w:pPr>
        <w:tabs>
          <w:tab w:val="left" w:pos="0"/>
        </w:tabs>
        <w:spacing w:after="120"/>
        <w:ind w:firstLine="709"/>
        <w:jc w:val="both"/>
        <w:rPr>
          <w:rFonts w:eastAsia="Calibri"/>
          <w:lang w:eastAsia="en-US"/>
        </w:rPr>
      </w:pPr>
      <w:r>
        <w:rPr>
          <w:rFonts w:eastAsia="Calibri"/>
          <w:lang w:eastAsia="en-US"/>
        </w:rPr>
        <w:t>Възложените ревизии и проверки за установяване на факти и обстоятелства са  повече от планираните в програмата. Това е в резултат от иницииране на проверки по третираните рискове, във връзка с получени сигнали и извършени оперативни проверки на рискови лица. По-големият брой възложени ревизии е в резултат от извършени проверки, при които са констатирани обстоятелства за установяване на данъчно-осигурителни задължения.</w:t>
      </w:r>
    </w:p>
    <w:p w:rsidR="00523AD6" w:rsidRDefault="00523AD6" w:rsidP="00523AD6">
      <w:pPr>
        <w:tabs>
          <w:tab w:val="left" w:pos="993"/>
        </w:tabs>
        <w:spacing w:after="120"/>
        <w:ind w:firstLine="709"/>
        <w:jc w:val="both"/>
        <w:rPr>
          <w:rFonts w:eastAsia="Calibri"/>
          <w:b/>
          <w:lang w:eastAsia="en-US"/>
        </w:rPr>
      </w:pPr>
      <w:r>
        <w:rPr>
          <w:rFonts w:eastAsia="Calibri"/>
          <w:b/>
          <w:i/>
          <w:u w:val="single"/>
          <w:lang w:eastAsia="en-US"/>
        </w:rPr>
        <w:t>ІІІ. Мерки за борба с данъчните престъпления, пресичането на опитите за укриване на данъчни задължения и опити за данъчни измами, предприети през 2015 г.</w:t>
      </w:r>
    </w:p>
    <w:p w:rsidR="00523AD6" w:rsidRDefault="00523AD6" w:rsidP="002979A4">
      <w:pPr>
        <w:spacing w:before="120" w:after="120"/>
        <w:ind w:firstLine="709"/>
        <w:jc w:val="both"/>
        <w:rPr>
          <w:rFonts w:eastAsia="Calibri"/>
          <w:b/>
          <w:lang w:eastAsia="en-US"/>
        </w:rPr>
      </w:pPr>
      <w:r>
        <w:rPr>
          <w:rFonts w:eastAsia="Calibri"/>
          <w:b/>
          <w:lang w:eastAsia="en-US"/>
        </w:rPr>
        <w:t>Превенция и противодействие на данъчни и осигурителни измами</w:t>
      </w:r>
    </w:p>
    <w:p w:rsidR="00523AD6" w:rsidRDefault="00523AD6" w:rsidP="00523AD6">
      <w:pPr>
        <w:ind w:firstLine="709"/>
        <w:jc w:val="both"/>
        <w:rPr>
          <w:rFonts w:eastAsia="Calibri"/>
          <w:bCs/>
          <w:lang w:eastAsia="en-US"/>
        </w:rPr>
      </w:pPr>
      <w:r>
        <w:rPr>
          <w:rFonts w:eastAsia="Calibri"/>
          <w:lang w:eastAsia="en-US"/>
        </w:rPr>
        <w:t>Основна цел на борбата с данъчните и/или осигурителните измами е ограничаване на щетите за бюджета, редуциране на злоупотребите с данък и намаляване на неблагоприятния ефект от тях, чрез дейности в няколко основни направления:</w:t>
      </w:r>
    </w:p>
    <w:p w:rsidR="00523AD6" w:rsidRDefault="00523AD6" w:rsidP="002979A4">
      <w:pPr>
        <w:tabs>
          <w:tab w:val="left" w:pos="851"/>
          <w:tab w:val="left" w:pos="1134"/>
        </w:tabs>
        <w:spacing w:before="120" w:after="120"/>
        <w:ind w:firstLine="709"/>
        <w:jc w:val="both"/>
        <w:rPr>
          <w:rFonts w:eastAsia="Calibri"/>
          <w:b/>
          <w:bCs/>
          <w:lang w:eastAsia="en-US"/>
        </w:rPr>
      </w:pPr>
      <w:r>
        <w:rPr>
          <w:rFonts w:eastAsia="Calibri"/>
          <w:b/>
          <w:bCs/>
          <w:lang w:eastAsia="en-US"/>
        </w:rPr>
        <w:t>1</w:t>
      </w:r>
      <w:r>
        <w:rPr>
          <w:rFonts w:eastAsia="Calibri"/>
          <w:b/>
          <w:bCs/>
          <w:lang w:val="en-US" w:eastAsia="en-US"/>
        </w:rPr>
        <w:t xml:space="preserve">. </w:t>
      </w:r>
      <w:r>
        <w:rPr>
          <w:rFonts w:eastAsia="Calibri"/>
          <w:b/>
          <w:bCs/>
          <w:lang w:eastAsia="en-US"/>
        </w:rPr>
        <w:t>Противодействие с цел своевременно пресичане на организирани схеми на данъчни измами</w:t>
      </w:r>
    </w:p>
    <w:p w:rsidR="00523AD6" w:rsidRDefault="00523AD6" w:rsidP="00523AD6">
      <w:pPr>
        <w:ind w:firstLine="709"/>
        <w:jc w:val="both"/>
        <w:rPr>
          <w:rFonts w:ascii="Calibri" w:eastAsia="Calibri" w:hAnsi="Calibri"/>
          <w:bCs/>
          <w:sz w:val="22"/>
          <w:szCs w:val="22"/>
          <w:lang w:eastAsia="en-US"/>
        </w:rPr>
      </w:pPr>
      <w:r>
        <w:rPr>
          <w:rFonts w:eastAsia="Calibri"/>
          <w:bCs/>
          <w:lang w:eastAsia="en-US"/>
        </w:rPr>
        <w:t>През 2015 г. са анализирани 41 893 лица от гледна точка на наличие или липса на индикации за участие в схеми на данъчни и/или осигурителни измами или отклонение от обичайна търговска практика.</w:t>
      </w:r>
      <w:r>
        <w:rPr>
          <w:rFonts w:ascii="Calibri" w:eastAsia="Calibri" w:hAnsi="Calibri"/>
          <w:bCs/>
          <w:sz w:val="22"/>
          <w:szCs w:val="22"/>
          <w:lang w:eastAsia="en-US"/>
        </w:rPr>
        <w:t xml:space="preserve"> </w:t>
      </w:r>
    </w:p>
    <w:p w:rsidR="00523AD6" w:rsidRDefault="00523AD6" w:rsidP="00523AD6">
      <w:pPr>
        <w:ind w:firstLine="709"/>
        <w:jc w:val="both"/>
        <w:rPr>
          <w:rFonts w:ascii="Calibri" w:eastAsia="Calibri" w:hAnsi="Calibri"/>
          <w:bCs/>
          <w:sz w:val="22"/>
          <w:szCs w:val="22"/>
          <w:lang w:eastAsia="en-US"/>
        </w:rPr>
      </w:pPr>
    </w:p>
    <w:p w:rsidR="002979A4" w:rsidRDefault="002979A4" w:rsidP="00523AD6">
      <w:pPr>
        <w:ind w:firstLine="709"/>
        <w:jc w:val="both"/>
        <w:rPr>
          <w:rFonts w:ascii="Calibri" w:eastAsia="Calibri" w:hAnsi="Calibri"/>
          <w:bCs/>
          <w:sz w:val="22"/>
          <w:szCs w:val="22"/>
          <w:lang w:eastAsia="en-US"/>
        </w:rPr>
      </w:pPr>
    </w:p>
    <w:p w:rsidR="002979A4" w:rsidRDefault="002979A4" w:rsidP="00523AD6">
      <w:pPr>
        <w:ind w:firstLine="709"/>
        <w:jc w:val="both"/>
        <w:rPr>
          <w:rFonts w:ascii="Calibri" w:eastAsia="Calibri" w:hAnsi="Calibri"/>
          <w:bCs/>
          <w:sz w:val="22"/>
          <w:szCs w:val="22"/>
          <w:lang w:eastAsia="en-US"/>
        </w:rPr>
      </w:pPr>
    </w:p>
    <w:p w:rsidR="002979A4" w:rsidRDefault="002979A4" w:rsidP="00523AD6">
      <w:pPr>
        <w:ind w:firstLine="709"/>
        <w:jc w:val="both"/>
        <w:rPr>
          <w:rFonts w:ascii="Calibri" w:eastAsia="Calibri" w:hAnsi="Calibri"/>
          <w:bCs/>
          <w:sz w:val="22"/>
          <w:szCs w:val="22"/>
          <w:lang w:eastAsia="en-US"/>
        </w:rPr>
      </w:pPr>
    </w:p>
    <w:p w:rsidR="002979A4" w:rsidRDefault="002979A4" w:rsidP="00523AD6">
      <w:pPr>
        <w:ind w:firstLine="709"/>
        <w:jc w:val="both"/>
        <w:rPr>
          <w:rFonts w:ascii="Calibri" w:eastAsia="Calibri" w:hAnsi="Calibri"/>
          <w:bCs/>
          <w:sz w:val="22"/>
          <w:szCs w:val="22"/>
          <w:lang w:eastAsia="en-US"/>
        </w:rPr>
      </w:pPr>
    </w:p>
    <w:p w:rsidR="00523AD6" w:rsidRDefault="00523AD6" w:rsidP="00523AD6">
      <w:pPr>
        <w:tabs>
          <w:tab w:val="left" w:pos="993"/>
        </w:tabs>
        <w:spacing w:after="120"/>
        <w:jc w:val="both"/>
        <w:rPr>
          <w:rFonts w:eastAsia="Calibri"/>
          <w:b/>
          <w:bCs/>
          <w:lang w:eastAsia="en-US"/>
        </w:rPr>
      </w:pPr>
      <w:r>
        <w:rPr>
          <w:rFonts w:eastAsia="Calibri"/>
          <w:b/>
          <w:bCs/>
          <w:lang w:eastAsia="en-US"/>
        </w:rPr>
        <w:t>Предприети действия по противодействие на данъчни и/или осигурителни измами</w:t>
      </w:r>
    </w:p>
    <w:tbl>
      <w:tblPr>
        <w:tblW w:w="9072" w:type="dxa"/>
        <w:tblInd w:w="70" w:type="dxa"/>
        <w:tblLayout w:type="fixed"/>
        <w:tblCellMar>
          <w:left w:w="70" w:type="dxa"/>
          <w:right w:w="70" w:type="dxa"/>
        </w:tblCellMar>
        <w:tblLook w:val="04A0" w:firstRow="1" w:lastRow="0" w:firstColumn="1" w:lastColumn="0" w:noHBand="0" w:noVBand="1"/>
      </w:tblPr>
      <w:tblGrid>
        <w:gridCol w:w="5670"/>
        <w:gridCol w:w="1276"/>
        <w:gridCol w:w="1134"/>
        <w:gridCol w:w="992"/>
      </w:tblGrid>
      <w:tr w:rsidR="00523AD6" w:rsidTr="00523AD6">
        <w:trPr>
          <w:trHeight w:val="430"/>
        </w:trPr>
        <w:tc>
          <w:tcPr>
            <w:tcW w:w="5670" w:type="dxa"/>
            <w:tcBorders>
              <w:top w:val="single" w:sz="8" w:space="0" w:color="auto"/>
              <w:left w:val="single" w:sz="8" w:space="0" w:color="auto"/>
              <w:bottom w:val="single" w:sz="8" w:space="0" w:color="000000"/>
              <w:right w:val="single" w:sz="8" w:space="0" w:color="auto"/>
            </w:tcBorders>
            <w:shd w:val="clear" w:color="auto" w:fill="BFBFBF"/>
            <w:vAlign w:val="center"/>
            <w:hideMark/>
          </w:tcPr>
          <w:p w:rsidR="00523AD6" w:rsidRDefault="00523AD6">
            <w:pPr>
              <w:ind w:right="142"/>
              <w:jc w:val="center"/>
              <w:rPr>
                <w:b/>
                <w:bCs/>
                <w:color w:val="000000"/>
                <w:lang w:eastAsia="en-US"/>
              </w:rPr>
            </w:pPr>
            <w:r>
              <w:rPr>
                <w:b/>
                <w:bCs/>
                <w:color w:val="000000"/>
                <w:lang w:eastAsia="en-US"/>
              </w:rPr>
              <w:t>Показатели</w:t>
            </w:r>
          </w:p>
        </w:tc>
        <w:tc>
          <w:tcPr>
            <w:tcW w:w="1276" w:type="dxa"/>
            <w:tcBorders>
              <w:top w:val="single" w:sz="8" w:space="0" w:color="auto"/>
              <w:left w:val="single" w:sz="8" w:space="0" w:color="auto"/>
              <w:bottom w:val="single" w:sz="8" w:space="0" w:color="000000"/>
              <w:right w:val="single" w:sz="4" w:space="0" w:color="auto"/>
            </w:tcBorders>
            <w:shd w:val="clear" w:color="auto" w:fill="BFBFBF"/>
            <w:vAlign w:val="center"/>
            <w:hideMark/>
          </w:tcPr>
          <w:p w:rsidR="00523AD6" w:rsidRDefault="00523AD6">
            <w:pPr>
              <w:ind w:right="142"/>
              <w:jc w:val="center"/>
              <w:rPr>
                <w:b/>
                <w:bCs/>
                <w:color w:val="000000"/>
                <w:lang w:eastAsia="en-US"/>
              </w:rPr>
            </w:pPr>
            <w:r>
              <w:rPr>
                <w:b/>
                <w:bCs/>
                <w:color w:val="000000"/>
                <w:lang w:eastAsia="en-US"/>
              </w:rPr>
              <w:t>Мерна единица</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523AD6" w:rsidRDefault="00523AD6">
            <w:pPr>
              <w:ind w:right="142"/>
              <w:jc w:val="center"/>
              <w:rPr>
                <w:b/>
                <w:bCs/>
                <w:color w:val="000000"/>
                <w:lang w:val="en-US" w:eastAsia="en-US"/>
              </w:rPr>
            </w:pPr>
            <w:r>
              <w:rPr>
                <w:b/>
                <w:bCs/>
                <w:color w:val="000000"/>
                <w:lang w:eastAsia="en-US"/>
              </w:rPr>
              <w:t>2015 г.</w:t>
            </w:r>
            <w:r>
              <w:rPr>
                <w:b/>
                <w:bCs/>
                <w:color w:val="000000"/>
                <w:lang w:val="en-US" w:eastAsia="en-US"/>
              </w:rPr>
              <w:t>*</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523AD6" w:rsidRDefault="00523AD6">
            <w:pPr>
              <w:ind w:right="142"/>
              <w:jc w:val="center"/>
              <w:rPr>
                <w:b/>
                <w:bCs/>
                <w:color w:val="000000"/>
                <w:lang w:eastAsia="en-US"/>
              </w:rPr>
            </w:pPr>
            <w:r>
              <w:rPr>
                <w:b/>
                <w:bCs/>
                <w:color w:val="000000"/>
                <w:lang w:eastAsia="en-US"/>
              </w:rPr>
              <w:t xml:space="preserve">2014 г. </w:t>
            </w:r>
          </w:p>
        </w:tc>
      </w:tr>
      <w:tr w:rsidR="00523AD6" w:rsidTr="00523AD6">
        <w:trPr>
          <w:trHeight w:val="315"/>
        </w:trPr>
        <w:tc>
          <w:tcPr>
            <w:tcW w:w="5670" w:type="dxa"/>
            <w:tcBorders>
              <w:top w:val="single" w:sz="4" w:space="0" w:color="auto"/>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Брой анализирани лица</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брой</w:t>
            </w:r>
          </w:p>
        </w:tc>
        <w:tc>
          <w:tcPr>
            <w:tcW w:w="1134" w:type="dxa"/>
            <w:tcBorders>
              <w:top w:val="single" w:sz="4" w:space="0" w:color="auto"/>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41 893</w:t>
            </w:r>
          </w:p>
        </w:tc>
        <w:tc>
          <w:tcPr>
            <w:tcW w:w="992" w:type="dxa"/>
            <w:tcBorders>
              <w:top w:val="single" w:sz="4" w:space="0" w:color="auto"/>
              <w:left w:val="nil"/>
              <w:bottom w:val="single" w:sz="8" w:space="0" w:color="auto"/>
              <w:right w:val="single" w:sz="8" w:space="0" w:color="auto"/>
            </w:tcBorders>
            <w:vAlign w:val="center"/>
            <w:hideMark/>
          </w:tcPr>
          <w:p w:rsidR="00523AD6" w:rsidRDefault="00523AD6">
            <w:pPr>
              <w:jc w:val="right"/>
              <w:rPr>
                <w:b/>
                <w:bCs/>
                <w:color w:val="000000"/>
                <w:lang w:eastAsia="en-US"/>
              </w:rPr>
            </w:pPr>
            <w:r>
              <w:rPr>
                <w:b/>
                <w:bCs/>
                <w:color w:val="000000"/>
                <w:lang w:eastAsia="en-US"/>
              </w:rPr>
              <w:t>42 610 </w:t>
            </w:r>
          </w:p>
        </w:tc>
      </w:tr>
      <w:tr w:rsidR="00523AD6" w:rsidTr="00523AD6">
        <w:trPr>
          <w:trHeight w:val="510"/>
        </w:trPr>
        <w:tc>
          <w:tcPr>
            <w:tcW w:w="5670" w:type="dxa"/>
            <w:tcBorders>
              <w:top w:val="nil"/>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Доклади за организирани данъчни и осигурителни измами (ОДОИ)</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брой</w:t>
            </w:r>
          </w:p>
        </w:tc>
        <w:tc>
          <w:tcPr>
            <w:tcW w:w="1134"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148</w:t>
            </w:r>
          </w:p>
        </w:tc>
        <w:tc>
          <w:tcPr>
            <w:tcW w:w="992"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198 </w:t>
            </w:r>
          </w:p>
        </w:tc>
      </w:tr>
      <w:tr w:rsidR="00523AD6" w:rsidTr="00523AD6">
        <w:trPr>
          <w:trHeight w:val="510"/>
        </w:trPr>
        <w:tc>
          <w:tcPr>
            <w:tcW w:w="5670" w:type="dxa"/>
            <w:tcBorders>
              <w:top w:val="nil"/>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 xml:space="preserve">Участници в организирани данъчни и/или осигурителни измами общо  </w:t>
            </w:r>
          </w:p>
        </w:tc>
        <w:tc>
          <w:tcPr>
            <w:tcW w:w="1276" w:type="dxa"/>
            <w:tcBorders>
              <w:top w:val="nil"/>
              <w:left w:val="nil"/>
              <w:bottom w:val="single" w:sz="4"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брой</w:t>
            </w:r>
          </w:p>
        </w:tc>
        <w:tc>
          <w:tcPr>
            <w:tcW w:w="1134" w:type="dxa"/>
            <w:tcBorders>
              <w:top w:val="nil"/>
              <w:left w:val="nil"/>
              <w:bottom w:val="single" w:sz="4"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806</w:t>
            </w:r>
          </w:p>
        </w:tc>
        <w:tc>
          <w:tcPr>
            <w:tcW w:w="992" w:type="dxa"/>
            <w:tcBorders>
              <w:top w:val="nil"/>
              <w:left w:val="nil"/>
              <w:bottom w:val="single" w:sz="4"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867 </w:t>
            </w:r>
          </w:p>
        </w:tc>
      </w:tr>
      <w:tr w:rsidR="00523AD6" w:rsidTr="00523AD6">
        <w:trPr>
          <w:trHeight w:val="404"/>
        </w:trPr>
        <w:tc>
          <w:tcPr>
            <w:tcW w:w="5670" w:type="dxa"/>
            <w:tcBorders>
              <w:top w:val="single" w:sz="4" w:space="0" w:color="auto"/>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Предполагаем размер на нанесената щета на Бюджета съгласно доклади за ОДОИ</w:t>
            </w:r>
          </w:p>
        </w:tc>
        <w:tc>
          <w:tcPr>
            <w:tcW w:w="1276" w:type="dxa"/>
            <w:tcBorders>
              <w:top w:val="single" w:sz="4" w:space="0" w:color="auto"/>
              <w:left w:val="nil"/>
              <w:bottom w:val="single" w:sz="8"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хил.лв.</w:t>
            </w:r>
          </w:p>
        </w:tc>
        <w:tc>
          <w:tcPr>
            <w:tcW w:w="1134" w:type="dxa"/>
            <w:tcBorders>
              <w:top w:val="single" w:sz="4" w:space="0" w:color="auto"/>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78 856 </w:t>
            </w:r>
          </w:p>
        </w:tc>
        <w:tc>
          <w:tcPr>
            <w:tcW w:w="992" w:type="dxa"/>
            <w:tcBorders>
              <w:top w:val="single" w:sz="4" w:space="0" w:color="auto"/>
              <w:left w:val="nil"/>
              <w:bottom w:val="single" w:sz="8" w:space="0" w:color="auto"/>
              <w:right w:val="single" w:sz="8" w:space="0" w:color="auto"/>
            </w:tcBorders>
            <w:vAlign w:val="center"/>
            <w:hideMark/>
          </w:tcPr>
          <w:p w:rsidR="00523AD6" w:rsidRDefault="00523AD6">
            <w:pPr>
              <w:ind w:right="35"/>
              <w:jc w:val="right"/>
              <w:rPr>
                <w:b/>
                <w:bCs/>
                <w:color w:val="000000"/>
                <w:lang w:eastAsia="en-US"/>
              </w:rPr>
            </w:pPr>
            <w:r>
              <w:rPr>
                <w:b/>
                <w:bCs/>
                <w:color w:val="000000"/>
                <w:lang w:eastAsia="en-US"/>
              </w:rPr>
              <w:t>179 095</w:t>
            </w:r>
          </w:p>
        </w:tc>
      </w:tr>
      <w:tr w:rsidR="00523AD6" w:rsidTr="00523AD6">
        <w:trPr>
          <w:trHeight w:val="510"/>
        </w:trPr>
        <w:tc>
          <w:tcPr>
            <w:tcW w:w="5670" w:type="dxa"/>
            <w:tcBorders>
              <w:top w:val="nil"/>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 xml:space="preserve">Възложени проверки във връзка с доклади за ОДОИ  </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брой</w:t>
            </w:r>
          </w:p>
        </w:tc>
        <w:tc>
          <w:tcPr>
            <w:tcW w:w="1134"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385</w:t>
            </w:r>
          </w:p>
        </w:tc>
        <w:tc>
          <w:tcPr>
            <w:tcW w:w="992"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335</w:t>
            </w:r>
          </w:p>
        </w:tc>
      </w:tr>
      <w:tr w:rsidR="00523AD6" w:rsidTr="00523AD6">
        <w:trPr>
          <w:trHeight w:val="510"/>
        </w:trPr>
        <w:tc>
          <w:tcPr>
            <w:tcW w:w="5670" w:type="dxa"/>
            <w:tcBorders>
              <w:top w:val="nil"/>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 xml:space="preserve">Възложени ревизии във връзка с доклади за ОДОИ  </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брой</w:t>
            </w:r>
          </w:p>
        </w:tc>
        <w:tc>
          <w:tcPr>
            <w:tcW w:w="1134"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216</w:t>
            </w:r>
          </w:p>
        </w:tc>
        <w:tc>
          <w:tcPr>
            <w:tcW w:w="992"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284</w:t>
            </w:r>
          </w:p>
        </w:tc>
      </w:tr>
      <w:tr w:rsidR="00523AD6" w:rsidTr="00523AD6">
        <w:trPr>
          <w:trHeight w:val="510"/>
        </w:trPr>
        <w:tc>
          <w:tcPr>
            <w:tcW w:w="5670" w:type="dxa"/>
            <w:tcBorders>
              <w:top w:val="nil"/>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Допълнително начислен данък в резултат на приключили ревизии по доклади за ОДОИ</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лева</w:t>
            </w:r>
          </w:p>
        </w:tc>
        <w:tc>
          <w:tcPr>
            <w:tcW w:w="1134"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42 161</w:t>
            </w:r>
          </w:p>
        </w:tc>
        <w:tc>
          <w:tcPr>
            <w:tcW w:w="992"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29 488</w:t>
            </w:r>
          </w:p>
        </w:tc>
      </w:tr>
      <w:tr w:rsidR="00523AD6" w:rsidTr="00523AD6">
        <w:trPr>
          <w:trHeight w:val="510"/>
        </w:trPr>
        <w:tc>
          <w:tcPr>
            <w:tcW w:w="5670" w:type="dxa"/>
            <w:tcBorders>
              <w:top w:val="nil"/>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Ефективно внесен данък в резултат на приключили ревизии по доклади за ОДОИ</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lang w:eastAsia="en-US"/>
              </w:rPr>
            </w:pPr>
            <w:r>
              <w:rPr>
                <w:color w:val="000000"/>
                <w:lang w:eastAsia="en-US"/>
              </w:rPr>
              <w:t>лева</w:t>
            </w:r>
          </w:p>
        </w:tc>
        <w:tc>
          <w:tcPr>
            <w:tcW w:w="1134" w:type="dxa"/>
            <w:tcBorders>
              <w:top w:val="nil"/>
              <w:left w:val="nil"/>
              <w:bottom w:val="single" w:sz="8" w:space="0" w:color="auto"/>
              <w:right w:val="single" w:sz="8" w:space="0" w:color="auto"/>
            </w:tcBorders>
            <w:vAlign w:val="center"/>
            <w:hideMark/>
          </w:tcPr>
          <w:p w:rsidR="00523AD6" w:rsidRDefault="00523AD6">
            <w:pPr>
              <w:ind w:right="142"/>
              <w:jc w:val="right"/>
              <w:rPr>
                <w:b/>
                <w:bCs/>
                <w:lang w:eastAsia="en-US"/>
              </w:rPr>
            </w:pPr>
            <w:r>
              <w:rPr>
                <w:b/>
                <w:bCs/>
                <w:lang w:eastAsia="en-US"/>
              </w:rPr>
              <w:t>6 904</w:t>
            </w:r>
          </w:p>
        </w:tc>
        <w:tc>
          <w:tcPr>
            <w:tcW w:w="992" w:type="dxa"/>
            <w:tcBorders>
              <w:top w:val="nil"/>
              <w:left w:val="nil"/>
              <w:bottom w:val="single" w:sz="8" w:space="0" w:color="auto"/>
              <w:right w:val="single" w:sz="8" w:space="0" w:color="auto"/>
            </w:tcBorders>
            <w:vAlign w:val="center"/>
            <w:hideMark/>
          </w:tcPr>
          <w:p w:rsidR="00523AD6" w:rsidRDefault="00523AD6">
            <w:pPr>
              <w:ind w:right="142"/>
              <w:jc w:val="right"/>
              <w:rPr>
                <w:b/>
                <w:bCs/>
                <w:lang w:eastAsia="en-US"/>
              </w:rPr>
            </w:pPr>
            <w:r>
              <w:rPr>
                <w:b/>
                <w:bCs/>
                <w:lang w:eastAsia="en-US"/>
              </w:rPr>
              <w:t>2 101</w:t>
            </w:r>
          </w:p>
        </w:tc>
      </w:tr>
      <w:tr w:rsidR="00523AD6" w:rsidTr="00523AD6">
        <w:trPr>
          <w:trHeight w:val="510"/>
        </w:trPr>
        <w:tc>
          <w:tcPr>
            <w:tcW w:w="5670" w:type="dxa"/>
            <w:tcBorders>
              <w:top w:val="nil"/>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Възложени ревизии във връзка с анализи по повод наложени обезпечения от дирекция ФК</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lang w:eastAsia="en-US"/>
              </w:rPr>
            </w:pPr>
            <w:r>
              <w:rPr>
                <w:lang w:eastAsia="en-US"/>
              </w:rPr>
              <w:t>брой</w:t>
            </w:r>
          </w:p>
        </w:tc>
        <w:tc>
          <w:tcPr>
            <w:tcW w:w="1134" w:type="dxa"/>
            <w:tcBorders>
              <w:top w:val="nil"/>
              <w:left w:val="nil"/>
              <w:bottom w:val="single" w:sz="8" w:space="0" w:color="auto"/>
              <w:right w:val="single" w:sz="8" w:space="0" w:color="auto"/>
            </w:tcBorders>
            <w:vAlign w:val="center"/>
            <w:hideMark/>
          </w:tcPr>
          <w:p w:rsidR="00523AD6" w:rsidRDefault="00523AD6">
            <w:pPr>
              <w:ind w:right="142"/>
              <w:jc w:val="right"/>
              <w:rPr>
                <w:b/>
                <w:bCs/>
                <w:lang w:eastAsia="en-US"/>
              </w:rPr>
            </w:pPr>
            <w:r>
              <w:rPr>
                <w:b/>
                <w:bCs/>
                <w:lang w:eastAsia="en-US"/>
              </w:rPr>
              <w:t> 252</w:t>
            </w:r>
          </w:p>
        </w:tc>
        <w:tc>
          <w:tcPr>
            <w:tcW w:w="992" w:type="dxa"/>
            <w:tcBorders>
              <w:top w:val="nil"/>
              <w:left w:val="nil"/>
              <w:bottom w:val="single" w:sz="8" w:space="0" w:color="auto"/>
              <w:right w:val="single" w:sz="8" w:space="0" w:color="auto"/>
            </w:tcBorders>
            <w:vAlign w:val="center"/>
            <w:hideMark/>
          </w:tcPr>
          <w:p w:rsidR="00523AD6" w:rsidRDefault="00523AD6">
            <w:pPr>
              <w:ind w:right="142"/>
              <w:jc w:val="right"/>
              <w:rPr>
                <w:b/>
                <w:bCs/>
                <w:lang w:eastAsia="en-US"/>
              </w:rPr>
            </w:pPr>
            <w:r>
              <w:rPr>
                <w:b/>
                <w:bCs/>
                <w:lang w:eastAsia="en-US"/>
              </w:rPr>
              <w:t>19</w:t>
            </w:r>
          </w:p>
        </w:tc>
      </w:tr>
      <w:tr w:rsidR="00523AD6" w:rsidTr="00523AD6">
        <w:trPr>
          <w:trHeight w:val="510"/>
        </w:trPr>
        <w:tc>
          <w:tcPr>
            <w:tcW w:w="5670" w:type="dxa"/>
            <w:tcBorders>
              <w:top w:val="nil"/>
              <w:left w:val="single" w:sz="8" w:space="0" w:color="auto"/>
              <w:bottom w:val="single" w:sz="8" w:space="0" w:color="auto"/>
              <w:right w:val="single" w:sz="4" w:space="0" w:color="auto"/>
            </w:tcBorders>
            <w:vAlign w:val="center"/>
            <w:hideMark/>
          </w:tcPr>
          <w:p w:rsidR="00523AD6" w:rsidRDefault="00523AD6">
            <w:pPr>
              <w:ind w:right="142"/>
              <w:rPr>
                <w:lang w:eastAsia="en-US"/>
              </w:rPr>
            </w:pPr>
            <w:r>
              <w:rPr>
                <w:lang w:eastAsia="en-US"/>
              </w:rPr>
              <w:t>Възложени проверки във връзка с анализи по повод наложени обезпечения от дирекция ФК</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lang w:eastAsia="en-US"/>
              </w:rPr>
            </w:pPr>
            <w:r>
              <w:rPr>
                <w:lang w:eastAsia="en-US"/>
              </w:rPr>
              <w:t>брой</w:t>
            </w:r>
          </w:p>
        </w:tc>
        <w:tc>
          <w:tcPr>
            <w:tcW w:w="1134" w:type="dxa"/>
            <w:tcBorders>
              <w:top w:val="nil"/>
              <w:left w:val="nil"/>
              <w:bottom w:val="single" w:sz="8" w:space="0" w:color="auto"/>
              <w:right w:val="single" w:sz="8" w:space="0" w:color="auto"/>
            </w:tcBorders>
            <w:vAlign w:val="center"/>
            <w:hideMark/>
          </w:tcPr>
          <w:p w:rsidR="00523AD6" w:rsidRDefault="00523AD6">
            <w:pPr>
              <w:ind w:right="142"/>
              <w:jc w:val="right"/>
              <w:rPr>
                <w:b/>
                <w:bCs/>
                <w:lang w:eastAsia="en-US"/>
              </w:rPr>
            </w:pPr>
            <w:r>
              <w:rPr>
                <w:b/>
                <w:bCs/>
                <w:lang w:eastAsia="en-US"/>
              </w:rPr>
              <w:t> 238</w:t>
            </w:r>
          </w:p>
        </w:tc>
        <w:tc>
          <w:tcPr>
            <w:tcW w:w="992" w:type="dxa"/>
            <w:tcBorders>
              <w:top w:val="nil"/>
              <w:left w:val="nil"/>
              <w:bottom w:val="single" w:sz="8" w:space="0" w:color="auto"/>
              <w:right w:val="single" w:sz="8" w:space="0" w:color="auto"/>
            </w:tcBorders>
            <w:vAlign w:val="center"/>
            <w:hideMark/>
          </w:tcPr>
          <w:p w:rsidR="00523AD6" w:rsidRDefault="00523AD6">
            <w:pPr>
              <w:ind w:right="142"/>
              <w:jc w:val="right"/>
              <w:rPr>
                <w:b/>
                <w:bCs/>
                <w:lang w:eastAsia="en-US"/>
              </w:rPr>
            </w:pPr>
            <w:r>
              <w:rPr>
                <w:b/>
                <w:bCs/>
                <w:lang w:eastAsia="en-US"/>
              </w:rPr>
              <w:t>24 </w:t>
            </w:r>
          </w:p>
        </w:tc>
      </w:tr>
      <w:tr w:rsidR="00523AD6" w:rsidTr="00523AD6">
        <w:trPr>
          <w:trHeight w:val="510"/>
        </w:trPr>
        <w:tc>
          <w:tcPr>
            <w:tcW w:w="5670" w:type="dxa"/>
            <w:tcBorders>
              <w:top w:val="single" w:sz="4" w:space="0" w:color="auto"/>
              <w:left w:val="single" w:sz="8" w:space="0" w:color="auto"/>
              <w:bottom w:val="single" w:sz="4" w:space="0" w:color="auto"/>
              <w:right w:val="single" w:sz="4" w:space="0" w:color="auto"/>
            </w:tcBorders>
            <w:vAlign w:val="center"/>
            <w:hideMark/>
          </w:tcPr>
          <w:p w:rsidR="00523AD6" w:rsidRDefault="00523AD6">
            <w:pPr>
              <w:ind w:right="142"/>
              <w:rPr>
                <w:lang w:eastAsia="en-US"/>
              </w:rPr>
            </w:pPr>
            <w:r>
              <w:rPr>
                <w:lang w:eastAsia="en-US"/>
              </w:rPr>
              <w:t>Задължени лица въведени в база данни "Рискови субекти"</w:t>
            </w:r>
          </w:p>
        </w:tc>
        <w:tc>
          <w:tcPr>
            <w:tcW w:w="1276" w:type="dxa"/>
            <w:tcBorders>
              <w:top w:val="nil"/>
              <w:left w:val="nil"/>
              <w:bottom w:val="single" w:sz="4"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брой</w:t>
            </w:r>
          </w:p>
        </w:tc>
        <w:tc>
          <w:tcPr>
            <w:tcW w:w="1134" w:type="dxa"/>
            <w:tcBorders>
              <w:top w:val="nil"/>
              <w:left w:val="nil"/>
              <w:bottom w:val="single" w:sz="4"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1 056</w:t>
            </w:r>
          </w:p>
        </w:tc>
        <w:tc>
          <w:tcPr>
            <w:tcW w:w="992" w:type="dxa"/>
            <w:tcBorders>
              <w:top w:val="nil"/>
              <w:left w:val="nil"/>
              <w:bottom w:val="single" w:sz="4"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1 913</w:t>
            </w:r>
          </w:p>
        </w:tc>
      </w:tr>
      <w:tr w:rsidR="00523AD6" w:rsidTr="00523AD6">
        <w:trPr>
          <w:trHeight w:val="510"/>
        </w:trPr>
        <w:tc>
          <w:tcPr>
            <w:tcW w:w="5670" w:type="dxa"/>
            <w:tcBorders>
              <w:top w:val="single" w:sz="4" w:space="0" w:color="auto"/>
              <w:left w:val="single" w:sz="8" w:space="0" w:color="auto"/>
              <w:bottom w:val="single" w:sz="8" w:space="0" w:color="auto"/>
              <w:right w:val="single" w:sz="4" w:space="0" w:color="auto"/>
            </w:tcBorders>
            <w:vAlign w:val="center"/>
            <w:hideMark/>
          </w:tcPr>
          <w:p w:rsidR="00523AD6" w:rsidRDefault="00523AD6">
            <w:pPr>
              <w:ind w:right="142"/>
              <w:rPr>
                <w:lang w:eastAsia="en-US"/>
              </w:rPr>
            </w:pPr>
            <w:r>
              <w:rPr>
                <w:lang w:eastAsia="en-US"/>
              </w:rPr>
              <w:t xml:space="preserve">Изпратени писма до ЗЛ с цел предотвратяване на измами и стимулиране на своевременното, доброволно коригиране на неизрядно поведение </w:t>
            </w:r>
          </w:p>
        </w:tc>
        <w:tc>
          <w:tcPr>
            <w:tcW w:w="1276" w:type="dxa"/>
            <w:tcBorders>
              <w:top w:val="single" w:sz="4" w:space="0" w:color="auto"/>
              <w:left w:val="nil"/>
              <w:bottom w:val="single" w:sz="8"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брой</w:t>
            </w:r>
          </w:p>
        </w:tc>
        <w:tc>
          <w:tcPr>
            <w:tcW w:w="1134" w:type="dxa"/>
            <w:tcBorders>
              <w:top w:val="single" w:sz="4" w:space="0" w:color="auto"/>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70*</w:t>
            </w:r>
          </w:p>
        </w:tc>
        <w:tc>
          <w:tcPr>
            <w:tcW w:w="992" w:type="dxa"/>
            <w:tcBorders>
              <w:top w:val="single" w:sz="4" w:space="0" w:color="auto"/>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109</w:t>
            </w:r>
          </w:p>
        </w:tc>
      </w:tr>
      <w:tr w:rsidR="00523AD6" w:rsidTr="00523AD6">
        <w:trPr>
          <w:trHeight w:val="510"/>
        </w:trPr>
        <w:tc>
          <w:tcPr>
            <w:tcW w:w="5670" w:type="dxa"/>
            <w:tcBorders>
              <w:top w:val="single" w:sz="4" w:space="0" w:color="auto"/>
              <w:left w:val="single" w:sz="8" w:space="0" w:color="auto"/>
              <w:bottom w:val="single" w:sz="8" w:space="0" w:color="auto"/>
              <w:right w:val="single" w:sz="4" w:space="0" w:color="auto"/>
            </w:tcBorders>
            <w:vAlign w:val="center"/>
            <w:hideMark/>
          </w:tcPr>
          <w:p w:rsidR="00523AD6" w:rsidRDefault="00523AD6">
            <w:pPr>
              <w:ind w:right="142"/>
              <w:rPr>
                <w:lang w:eastAsia="en-US"/>
              </w:rPr>
            </w:pPr>
            <w:r>
              <w:rPr>
                <w:lang w:eastAsia="en-US"/>
              </w:rPr>
              <w:t>Проведени срещи със ЗЛ с цел предотвратяване на измами и стимулиране на своевременното, доброволно коригиране на неизрядно поведение</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брой</w:t>
            </w:r>
          </w:p>
        </w:tc>
        <w:tc>
          <w:tcPr>
            <w:tcW w:w="1134"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36 </w:t>
            </w:r>
          </w:p>
        </w:tc>
        <w:tc>
          <w:tcPr>
            <w:tcW w:w="992"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0</w:t>
            </w:r>
          </w:p>
        </w:tc>
      </w:tr>
      <w:tr w:rsidR="00523AD6" w:rsidTr="00523AD6">
        <w:trPr>
          <w:trHeight w:val="510"/>
        </w:trPr>
        <w:tc>
          <w:tcPr>
            <w:tcW w:w="5670" w:type="dxa"/>
            <w:tcBorders>
              <w:top w:val="single" w:sz="4" w:space="0" w:color="auto"/>
              <w:left w:val="single" w:sz="8" w:space="0" w:color="auto"/>
              <w:bottom w:val="single" w:sz="8" w:space="0" w:color="auto"/>
              <w:right w:val="single" w:sz="4" w:space="0" w:color="auto"/>
            </w:tcBorders>
            <w:vAlign w:val="center"/>
            <w:hideMark/>
          </w:tcPr>
          <w:p w:rsidR="00523AD6" w:rsidRDefault="00523AD6">
            <w:pPr>
              <w:ind w:right="142"/>
              <w:rPr>
                <w:lang w:eastAsia="en-US"/>
              </w:rPr>
            </w:pPr>
            <w:r>
              <w:rPr>
                <w:lang w:eastAsia="en-US"/>
              </w:rPr>
              <w:t>Размер на направени корекции от лицата в резултат на изпратени писма и/или проведени срещи с тях</w:t>
            </w:r>
          </w:p>
        </w:tc>
        <w:tc>
          <w:tcPr>
            <w:tcW w:w="1276" w:type="dxa"/>
            <w:tcBorders>
              <w:top w:val="nil"/>
              <w:left w:val="nil"/>
              <w:bottom w:val="single" w:sz="8" w:space="0" w:color="auto"/>
              <w:right w:val="single" w:sz="8" w:space="0" w:color="auto"/>
            </w:tcBorders>
            <w:vAlign w:val="center"/>
            <w:hideMark/>
          </w:tcPr>
          <w:p w:rsidR="00523AD6" w:rsidRDefault="00523AD6">
            <w:pPr>
              <w:ind w:right="142"/>
              <w:jc w:val="center"/>
              <w:rPr>
                <w:color w:val="000000"/>
                <w:lang w:eastAsia="en-US"/>
              </w:rPr>
            </w:pPr>
            <w:r>
              <w:rPr>
                <w:color w:val="000000"/>
                <w:lang w:eastAsia="en-US"/>
              </w:rPr>
              <w:t>хил. лева</w:t>
            </w:r>
          </w:p>
        </w:tc>
        <w:tc>
          <w:tcPr>
            <w:tcW w:w="1134"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7 691</w:t>
            </w:r>
          </w:p>
        </w:tc>
        <w:tc>
          <w:tcPr>
            <w:tcW w:w="992" w:type="dxa"/>
            <w:tcBorders>
              <w:top w:val="nil"/>
              <w:left w:val="nil"/>
              <w:bottom w:val="single" w:sz="8" w:space="0" w:color="auto"/>
              <w:right w:val="single" w:sz="8" w:space="0" w:color="auto"/>
            </w:tcBorders>
            <w:vAlign w:val="center"/>
            <w:hideMark/>
          </w:tcPr>
          <w:p w:rsidR="00523AD6" w:rsidRDefault="00523AD6">
            <w:pPr>
              <w:ind w:right="142"/>
              <w:jc w:val="right"/>
              <w:rPr>
                <w:b/>
                <w:bCs/>
                <w:color w:val="000000"/>
                <w:lang w:eastAsia="en-US"/>
              </w:rPr>
            </w:pPr>
            <w:r>
              <w:rPr>
                <w:b/>
                <w:bCs/>
                <w:color w:val="000000"/>
                <w:lang w:eastAsia="en-US"/>
              </w:rPr>
              <w:t> Няма данни</w:t>
            </w:r>
          </w:p>
        </w:tc>
      </w:tr>
    </w:tbl>
    <w:p w:rsidR="00523AD6" w:rsidRDefault="00523AD6" w:rsidP="00523AD6">
      <w:pPr>
        <w:tabs>
          <w:tab w:val="left" w:pos="993"/>
        </w:tabs>
        <w:ind w:firstLine="709"/>
        <w:jc w:val="both"/>
        <w:rPr>
          <w:rFonts w:eastAsia="Calibri"/>
          <w:i/>
          <w:lang w:eastAsia="en-US"/>
        </w:rPr>
      </w:pPr>
      <w:r>
        <w:rPr>
          <w:rFonts w:eastAsia="Calibri"/>
          <w:i/>
          <w:lang w:eastAsia="en-US"/>
        </w:rPr>
        <w:tab/>
      </w:r>
      <w:r>
        <w:rPr>
          <w:rFonts w:eastAsia="Calibri"/>
          <w:i/>
          <w:lang w:eastAsia="en-US"/>
        </w:rPr>
        <w:tab/>
      </w:r>
      <w:r>
        <w:rPr>
          <w:rFonts w:eastAsia="Calibri"/>
          <w:i/>
          <w:lang w:eastAsia="en-US"/>
        </w:rPr>
        <w:tab/>
      </w:r>
      <w:r>
        <w:rPr>
          <w:rFonts w:eastAsia="Calibri"/>
          <w:i/>
          <w:lang w:eastAsia="en-US"/>
        </w:rPr>
        <w:tab/>
      </w:r>
      <w:r>
        <w:rPr>
          <w:rFonts w:eastAsia="Calibri"/>
          <w:i/>
          <w:lang w:eastAsia="en-US"/>
        </w:rPr>
        <w:tab/>
      </w:r>
      <w:r>
        <w:rPr>
          <w:rFonts w:eastAsia="Calibri"/>
          <w:i/>
          <w:lang w:eastAsia="en-US"/>
        </w:rPr>
        <w:tab/>
      </w:r>
      <w:r>
        <w:rPr>
          <w:rFonts w:eastAsia="Calibri"/>
          <w:i/>
          <w:lang w:eastAsia="en-US"/>
        </w:rPr>
        <w:tab/>
      </w:r>
      <w:r>
        <w:rPr>
          <w:rFonts w:eastAsia="Calibri"/>
          <w:i/>
          <w:lang w:eastAsia="en-US"/>
        </w:rPr>
        <w:tab/>
      </w:r>
      <w:r>
        <w:rPr>
          <w:rFonts w:eastAsia="Calibri"/>
          <w:i/>
          <w:lang w:eastAsia="en-US"/>
        </w:rPr>
        <w:tab/>
      </w:r>
      <w:r>
        <w:rPr>
          <w:rFonts w:eastAsia="Calibri"/>
          <w:i/>
          <w:lang w:eastAsia="en-US"/>
        </w:rPr>
        <w:tab/>
        <w:t xml:space="preserve">    Източник: НАП</w:t>
      </w:r>
    </w:p>
    <w:p w:rsidR="002979A4" w:rsidRPr="002979A4" w:rsidRDefault="002979A4" w:rsidP="00523AD6">
      <w:pPr>
        <w:tabs>
          <w:tab w:val="left" w:pos="993"/>
        </w:tabs>
        <w:ind w:firstLine="709"/>
        <w:jc w:val="both"/>
        <w:rPr>
          <w:rFonts w:eastAsia="Calibri"/>
          <w:sz w:val="4"/>
          <w:szCs w:val="4"/>
          <w:lang w:eastAsia="en-US"/>
        </w:rPr>
      </w:pPr>
    </w:p>
    <w:p w:rsidR="00523AD6" w:rsidRDefault="00523AD6" w:rsidP="002979A4">
      <w:pPr>
        <w:tabs>
          <w:tab w:val="left" w:pos="993"/>
        </w:tabs>
        <w:ind w:firstLine="709"/>
        <w:jc w:val="both"/>
        <w:rPr>
          <w:rFonts w:eastAsia="Calibri"/>
          <w:lang w:eastAsia="en-US"/>
        </w:rPr>
      </w:pPr>
      <w:r>
        <w:rPr>
          <w:rFonts w:eastAsia="Calibri"/>
          <w:lang w:eastAsia="en-US"/>
        </w:rPr>
        <w:t>Отчетеният по-малък брой изпратени уведомителни писма е в резултат на прилагане на нов подход за комуникация със задължените лица - чрез провеждане на срещи, при които се документират установените от НАП отклонения от обичайна търговска практика, както и волеизявлението и готовността на лицата да предприемат мерки за тяхното преустановяване.</w:t>
      </w:r>
    </w:p>
    <w:p w:rsidR="00523AD6" w:rsidRPr="002979A4" w:rsidRDefault="00523AD6" w:rsidP="00523AD6">
      <w:pPr>
        <w:tabs>
          <w:tab w:val="left" w:pos="993"/>
        </w:tabs>
        <w:ind w:firstLine="709"/>
        <w:jc w:val="both"/>
        <w:rPr>
          <w:rFonts w:eastAsia="Calibri"/>
          <w:lang w:eastAsia="en-US"/>
        </w:rPr>
      </w:pPr>
      <w:r w:rsidRPr="002979A4">
        <w:rPr>
          <w:rFonts w:eastAsia="Calibri"/>
          <w:lang w:eastAsia="en-US"/>
        </w:rPr>
        <w:t xml:space="preserve">В резултат на приключилите 176 от общо 216 ревизии, възложени във връзка с одобрени доклади с идентифицирани схеми на данъчни измами, допълнително начисленият данък е общо в размер на 42 160 989 лева. </w:t>
      </w:r>
    </w:p>
    <w:p w:rsidR="00523AD6" w:rsidRDefault="00523AD6" w:rsidP="00523AD6">
      <w:pPr>
        <w:tabs>
          <w:tab w:val="left" w:pos="993"/>
        </w:tabs>
        <w:ind w:firstLine="709"/>
        <w:jc w:val="both"/>
        <w:rPr>
          <w:rFonts w:eastAsia="Calibri"/>
          <w:lang w:eastAsia="en-US"/>
        </w:rPr>
      </w:pPr>
      <w:r>
        <w:rPr>
          <w:rFonts w:eastAsia="Calibri"/>
          <w:lang w:eastAsia="en-US"/>
        </w:rPr>
        <w:t>В следствие на предприетите мерки по противодействие на организирани схеми на данъчни измами, е коригиран в посока намаление данъчен кредит в размер на 3</w:t>
      </w:r>
      <w:r w:rsidR="00196A4A">
        <w:rPr>
          <w:rFonts w:eastAsia="Calibri"/>
          <w:lang w:eastAsia="en-US"/>
        </w:rPr>
        <w:t xml:space="preserve">,9 млн. </w:t>
      </w:r>
      <w:r>
        <w:rPr>
          <w:rFonts w:eastAsia="Calibri"/>
          <w:lang w:eastAsia="en-US"/>
        </w:rPr>
        <w:t>лв., а ефективно внесеният данък по приключили ревизионни производства е 6</w:t>
      </w:r>
      <w:r w:rsidR="00196A4A">
        <w:rPr>
          <w:rFonts w:eastAsia="Calibri"/>
          <w:lang w:eastAsia="en-US"/>
        </w:rPr>
        <w:t>,9 млн. лв.</w:t>
      </w:r>
      <w:r>
        <w:rPr>
          <w:rFonts w:eastAsia="Calibri"/>
          <w:lang w:eastAsia="en-US"/>
        </w:rPr>
        <w:t xml:space="preserve">. Обжалвани са 68 ревизионни акта. Наложени са предварителни обезпечителни мерки на 67 задължени лица. </w:t>
      </w:r>
    </w:p>
    <w:p w:rsidR="00523AD6" w:rsidRDefault="00523AD6" w:rsidP="00523AD6">
      <w:pPr>
        <w:tabs>
          <w:tab w:val="left" w:pos="993"/>
        </w:tabs>
        <w:ind w:firstLine="709"/>
        <w:jc w:val="both"/>
        <w:rPr>
          <w:rFonts w:eastAsia="Calibri"/>
          <w:lang w:eastAsia="en-US"/>
        </w:rPr>
      </w:pPr>
      <w:r>
        <w:rPr>
          <w:rFonts w:eastAsia="Calibri"/>
          <w:lang w:eastAsia="en-US"/>
        </w:rPr>
        <w:lastRenderedPageBreak/>
        <w:t xml:space="preserve">През 2015 г. са анализирани над 580 задължени лица, спрямо които са наложени обезпечения по реда на чл. 121а от ДОПК, при осъществяване на контрол върху стоки с висок фискален риск по постъпили над 1 200 протокола с материален интерес над 12 млн. лева. </w:t>
      </w:r>
    </w:p>
    <w:p w:rsidR="00523AD6" w:rsidRDefault="00523AD6" w:rsidP="00523AD6">
      <w:pPr>
        <w:tabs>
          <w:tab w:val="left" w:pos="993"/>
        </w:tabs>
        <w:ind w:firstLine="709"/>
        <w:jc w:val="both"/>
        <w:rPr>
          <w:rFonts w:eastAsia="Calibri"/>
          <w:lang w:eastAsia="en-US"/>
        </w:rPr>
      </w:pPr>
      <w:r>
        <w:rPr>
          <w:rFonts w:eastAsia="Calibri"/>
          <w:lang w:eastAsia="en-US"/>
        </w:rPr>
        <w:t>Във връзка с установяване на последва</w:t>
      </w:r>
      <w:r w:rsidR="00FA4A95">
        <w:rPr>
          <w:rFonts w:eastAsia="Calibri"/>
          <w:lang w:eastAsia="en-US"/>
        </w:rPr>
        <w:t>щ</w:t>
      </w:r>
      <w:r>
        <w:rPr>
          <w:rFonts w:eastAsia="Calibri"/>
          <w:lang w:eastAsia="en-US"/>
        </w:rPr>
        <w:t>о разпореждане на стоката и заплащане на дължимия данък по доставките, са възложени 238 проверки за установяване на факти и обстоятелства.</w:t>
      </w:r>
    </w:p>
    <w:p w:rsidR="00523AD6" w:rsidRDefault="00523AD6" w:rsidP="00523AD6">
      <w:pPr>
        <w:tabs>
          <w:tab w:val="left" w:pos="993"/>
        </w:tabs>
        <w:spacing w:after="120"/>
        <w:ind w:firstLine="709"/>
        <w:jc w:val="both"/>
        <w:rPr>
          <w:rFonts w:eastAsia="Calibri"/>
          <w:lang w:eastAsia="en-US"/>
        </w:rPr>
      </w:pPr>
      <w:r>
        <w:rPr>
          <w:rFonts w:eastAsia="Calibri"/>
          <w:lang w:eastAsia="en-US"/>
        </w:rPr>
        <w:t>Във връзка с установени нередности при деклариране, индикации за приспаднат данъчен кредит по получени доставки от рискови контрагенти или други случаи на злоупотреби и рисково поведение на анализираните задължени лица са възложени 246 ревизии.</w:t>
      </w:r>
    </w:p>
    <w:p w:rsidR="00523AD6" w:rsidRDefault="00523AD6" w:rsidP="002979A4">
      <w:pPr>
        <w:tabs>
          <w:tab w:val="left" w:pos="0"/>
        </w:tabs>
        <w:spacing w:before="120" w:after="120"/>
        <w:ind w:firstLine="709"/>
        <w:jc w:val="both"/>
        <w:rPr>
          <w:rFonts w:eastAsia="Calibri"/>
          <w:lang w:val="en-US" w:eastAsia="en-US"/>
        </w:rPr>
      </w:pPr>
      <w:r>
        <w:rPr>
          <w:rFonts w:eastAsia="Calibri"/>
          <w:b/>
          <w:bCs/>
          <w:lang w:eastAsia="en-US"/>
        </w:rPr>
        <w:t>2</w:t>
      </w:r>
      <w:r>
        <w:rPr>
          <w:rFonts w:eastAsia="Calibri"/>
          <w:b/>
          <w:bCs/>
          <w:lang w:val="en-US" w:eastAsia="en-US"/>
        </w:rPr>
        <w:t xml:space="preserve">. </w:t>
      </w:r>
      <w:r>
        <w:rPr>
          <w:rFonts w:eastAsia="Calibri"/>
          <w:b/>
          <w:bCs/>
          <w:lang w:eastAsia="en-US"/>
        </w:rPr>
        <w:t>Превенция с цел постигане на ефективен диалог между представители на приходната администрация и бизнеса, с оглед коригиране на неизрядно поведение чрез даване на насоки и разясняване на възможни негативни последици</w:t>
      </w:r>
    </w:p>
    <w:p w:rsidR="00523AD6" w:rsidRPr="002979A4" w:rsidRDefault="00523AD6" w:rsidP="002979A4">
      <w:pPr>
        <w:keepNext/>
        <w:widowControl w:val="0"/>
        <w:tabs>
          <w:tab w:val="left" w:pos="993"/>
        </w:tabs>
        <w:autoSpaceDE w:val="0"/>
        <w:autoSpaceDN w:val="0"/>
        <w:adjustRightInd w:val="0"/>
        <w:spacing w:before="120" w:after="120"/>
        <w:ind w:firstLine="709"/>
        <w:jc w:val="both"/>
        <w:rPr>
          <w:rFonts w:eastAsia="Calibri"/>
          <w:b/>
          <w:lang w:eastAsia="en-US"/>
        </w:rPr>
      </w:pPr>
      <w:r w:rsidRPr="002979A4">
        <w:rPr>
          <w:rFonts w:eastAsia="Calibri"/>
          <w:b/>
          <w:lang w:eastAsia="en-US"/>
        </w:rPr>
        <w:t>2</w:t>
      </w:r>
      <w:r w:rsidRPr="002979A4">
        <w:rPr>
          <w:rFonts w:eastAsia="Calibri"/>
          <w:b/>
          <w:lang w:val="en-US" w:eastAsia="en-US"/>
        </w:rPr>
        <w:t xml:space="preserve">.1. </w:t>
      </w:r>
      <w:r w:rsidRPr="002979A4">
        <w:rPr>
          <w:rFonts w:eastAsia="Calibri"/>
          <w:b/>
          <w:lang w:eastAsia="en-US"/>
        </w:rPr>
        <w:t>Мониторинг на задължени лица със значителен принос за приходната част на бюджета или със съществено влияние за икономическия растеж в страната</w:t>
      </w:r>
    </w:p>
    <w:p w:rsidR="00523AD6" w:rsidRDefault="00523AD6" w:rsidP="00523AD6">
      <w:pPr>
        <w:ind w:firstLine="709"/>
        <w:jc w:val="both"/>
        <w:rPr>
          <w:rFonts w:eastAsia="Calibri"/>
          <w:bCs/>
          <w:lang w:eastAsia="en-US"/>
        </w:rPr>
      </w:pPr>
      <w:r>
        <w:rPr>
          <w:rFonts w:eastAsia="Calibri"/>
          <w:bCs/>
          <w:lang w:eastAsia="en-US"/>
        </w:rPr>
        <w:t>Основен фокус в областта на борбата с данъчните измами през 2015 г. бе стимулиране на добросъвестност у данъкоплатците, посредством организиране на срещи или изпращане на уведомителни писма и предоставяне на насоки за коригиране на констатирано неизрядно поведение. Този подход към превенция стартира в началото на 2014 г. и показа положителни резултати през 2015 година. Основната цел е предпазване на добросъвестни данъкоплатци от въвличането им в схеми на данъчни измами или отклонение от облагане, както и информирането им за неблагоприятните последици от неспазването на данъчното и осигурителното законодателство. Съобразно предварително избрани критерии, в обсега на наблюдавани дружества попаднаха общо 3 579 лица с мащабна икономическа дейност и високо влияние върху приходната част на фиска.</w:t>
      </w:r>
    </w:p>
    <w:p w:rsidR="00523AD6" w:rsidRDefault="00523AD6" w:rsidP="00523AD6">
      <w:pPr>
        <w:ind w:firstLine="709"/>
        <w:jc w:val="both"/>
        <w:rPr>
          <w:rFonts w:eastAsia="Calibri"/>
          <w:bCs/>
          <w:lang w:eastAsia="en-US"/>
        </w:rPr>
      </w:pPr>
      <w:r>
        <w:rPr>
          <w:rFonts w:eastAsia="Calibri"/>
          <w:bCs/>
          <w:lang w:eastAsia="en-US"/>
        </w:rPr>
        <w:t>В следствие на осъществения мониторинг, всяко тримесечие са поставени под наблюдение средно 196 ЗЛ, регистрирани в ТД на НАП ГДО и дирекция СДО при ТД на НАП София като са изпратени 39 уведомителни писма до ЗЛ и са извършени 65 проверки за установяване на факти и обстоятелства.</w:t>
      </w:r>
    </w:p>
    <w:p w:rsidR="00523AD6" w:rsidRDefault="00523AD6" w:rsidP="00523AD6">
      <w:pPr>
        <w:tabs>
          <w:tab w:val="left" w:pos="0"/>
          <w:tab w:val="left" w:pos="851"/>
        </w:tabs>
        <w:ind w:firstLine="709"/>
        <w:jc w:val="both"/>
        <w:rPr>
          <w:rFonts w:eastAsia="Calibri"/>
          <w:lang w:val="en-US" w:eastAsia="en-US"/>
        </w:rPr>
      </w:pPr>
      <w:r>
        <w:rPr>
          <w:rFonts w:eastAsia="Calibri"/>
          <w:bCs/>
          <w:lang w:eastAsia="en-US"/>
        </w:rPr>
        <w:t>В резултат от посочените действия, 68 % от лицата се повлияват от факта, че са постоянно наблюдавани и редуцират или напълно преустановяват приспадане на данъчен кредит по получени доставки от рискови контрагенти. При 11 % ефективността на мярката се постига в рамките на 1 до 2 месеца, а при 36 % - за 2 до 3 месеца. В следствие на проведените срещи и диалог с представители на бизнеса, доброволно е коригиран данъчен кредит в размер на 7</w:t>
      </w:r>
      <w:r w:rsidR="002D4059">
        <w:rPr>
          <w:rFonts w:eastAsia="Calibri"/>
          <w:bCs/>
          <w:lang w:eastAsia="en-US"/>
        </w:rPr>
        <w:t xml:space="preserve">,7 млн. </w:t>
      </w:r>
      <w:r>
        <w:rPr>
          <w:rFonts w:eastAsia="Calibri"/>
          <w:bCs/>
          <w:lang w:eastAsia="en-US"/>
        </w:rPr>
        <w:t>лева. През втората половина на 2015 г. стартира прилагането на мерки по превенция и постигане на ефективен диалог между приходната администрация и бизнеса в рамките на всички ТД на НАП.</w:t>
      </w:r>
    </w:p>
    <w:p w:rsidR="00523AD6" w:rsidRPr="002979A4" w:rsidRDefault="00523AD6" w:rsidP="002979A4">
      <w:pPr>
        <w:keepNext/>
        <w:widowControl w:val="0"/>
        <w:tabs>
          <w:tab w:val="left" w:pos="993"/>
        </w:tabs>
        <w:autoSpaceDE w:val="0"/>
        <w:autoSpaceDN w:val="0"/>
        <w:adjustRightInd w:val="0"/>
        <w:spacing w:before="120" w:after="120"/>
        <w:ind w:firstLine="709"/>
        <w:jc w:val="both"/>
        <w:rPr>
          <w:rFonts w:eastAsia="Calibri"/>
          <w:b/>
          <w:lang w:eastAsia="en-US"/>
        </w:rPr>
      </w:pPr>
      <w:r w:rsidRPr="002979A4">
        <w:rPr>
          <w:rFonts w:eastAsia="Calibri"/>
          <w:b/>
          <w:lang w:eastAsia="en-US"/>
        </w:rPr>
        <w:t>2</w:t>
      </w:r>
      <w:r w:rsidRPr="002979A4">
        <w:rPr>
          <w:rFonts w:eastAsia="Calibri"/>
          <w:b/>
          <w:lang w:val="en-US" w:eastAsia="en-US"/>
        </w:rPr>
        <w:t xml:space="preserve">.2. </w:t>
      </w:r>
      <w:r w:rsidRPr="002979A4">
        <w:rPr>
          <w:rFonts w:eastAsia="Calibri"/>
          <w:b/>
          <w:lang w:eastAsia="en-US"/>
        </w:rPr>
        <w:t>Мониторинг на 11 търговски вериги за хранителни стоки</w:t>
      </w:r>
    </w:p>
    <w:p w:rsidR="00523AD6" w:rsidRDefault="00523AD6" w:rsidP="00523AD6">
      <w:pPr>
        <w:tabs>
          <w:tab w:val="left" w:pos="0"/>
        </w:tabs>
        <w:ind w:firstLine="709"/>
        <w:jc w:val="both"/>
        <w:rPr>
          <w:rFonts w:eastAsia="Calibri"/>
          <w:lang w:val="en-US" w:eastAsia="en-US"/>
        </w:rPr>
      </w:pPr>
      <w:r>
        <w:rPr>
          <w:rFonts w:eastAsia="Calibri"/>
          <w:bCs/>
          <w:lang w:eastAsia="en-US"/>
        </w:rPr>
        <w:t xml:space="preserve">Наблюдението върху поведението на големи търговски вериги за хранителни стоки стартира през 2014 г. и преследва същата цел - предотвратяване на риска от включването им в схеми за данъчни измами и злоупотреби, целящи придобиване на незаконно конкурентно предимство чрез намаляване на цени на широко предлагани хранителни стоки, както и своевременно предприемане на мерки с превантивен характер спрямо тях при установяване на данни за наличие на отклонение от обичайната търговска практика. През 2015 г., в резултат на осъществен анализ и наблюдение на големи търговски вериги, са изпратени 14 писма по повод установено отклонение от обичайна търговска практика, извършени са 10 ПУФО в ТД на НАП ГДО и ТД на НАП София, дирекция СДО, както и 71 анализа на дружества-предходни доставчици, регистрирани в други ТД на НАП. </w:t>
      </w:r>
      <w:r>
        <w:rPr>
          <w:rFonts w:eastAsia="Calibri"/>
          <w:bCs/>
          <w:lang w:eastAsia="en-US"/>
        </w:rPr>
        <w:lastRenderedPageBreak/>
        <w:t>Провеждането на тази мярка сочи положителна тенденция към свеждане до минимум размера на ползвания данъчен кредит по получени доставки от рискови контрагенти, повишаване размера на осъществения ВОП пряко от търговските вериги, както и установяване на трайни отношения на сътрудничество с приходната администрация, в посока подпомагане ограничаването на сивия сектор в бранша.</w:t>
      </w:r>
    </w:p>
    <w:p w:rsidR="00523AD6" w:rsidRDefault="00523AD6" w:rsidP="00523AD6">
      <w:pPr>
        <w:keepNext/>
        <w:widowControl w:val="0"/>
        <w:tabs>
          <w:tab w:val="left" w:pos="993"/>
        </w:tabs>
        <w:autoSpaceDE w:val="0"/>
        <w:autoSpaceDN w:val="0"/>
        <w:adjustRightInd w:val="0"/>
        <w:ind w:firstLine="709"/>
        <w:jc w:val="both"/>
        <w:rPr>
          <w:rFonts w:eastAsia="Calibri"/>
          <w:lang w:eastAsia="en-US"/>
        </w:rPr>
      </w:pPr>
      <w:r>
        <w:rPr>
          <w:rFonts w:eastAsia="Calibri"/>
          <w:b/>
          <w:lang w:eastAsia="en-US"/>
        </w:rPr>
        <w:t>2</w:t>
      </w:r>
      <w:r>
        <w:rPr>
          <w:rFonts w:eastAsia="Calibri"/>
          <w:b/>
          <w:lang w:val="en-US" w:eastAsia="en-US"/>
        </w:rPr>
        <w:t>.3.</w:t>
      </w:r>
      <w:r>
        <w:rPr>
          <w:rFonts w:eastAsia="Calibri"/>
          <w:lang w:val="en-US" w:eastAsia="en-US"/>
        </w:rPr>
        <w:t xml:space="preserve"> </w:t>
      </w:r>
      <w:r>
        <w:rPr>
          <w:rFonts w:eastAsia="Calibri"/>
          <w:lang w:eastAsia="en-US"/>
        </w:rPr>
        <w:t>Мониторинг на дружества по браншове, при които се наблюдава силно изразена степен на реализиране на схеми на данъчни и осигурителни измами</w:t>
      </w:r>
    </w:p>
    <w:p w:rsidR="00523AD6" w:rsidRDefault="00523AD6" w:rsidP="00523AD6">
      <w:pPr>
        <w:tabs>
          <w:tab w:val="left" w:pos="0"/>
        </w:tabs>
        <w:spacing w:after="120"/>
        <w:ind w:firstLine="709"/>
        <w:jc w:val="both"/>
        <w:rPr>
          <w:rFonts w:eastAsia="Calibri"/>
          <w:b/>
          <w:bCs/>
          <w:lang w:eastAsia="en-US"/>
        </w:rPr>
      </w:pPr>
      <w:r>
        <w:rPr>
          <w:rFonts w:eastAsia="Calibri"/>
          <w:bCs/>
          <w:lang w:eastAsia="en-US"/>
        </w:rPr>
        <w:t>В резултат на активното взаимодействие между НАП и други заинтересовани институции, през 2015 г. продължи специализирането на органи по приходите в ЦУ на НАП, съобразно характерните особености на отделните икономически сектори.  Анализирани са 3 156 задължени лица, изготвени са 15 доклада по повод установени злоупотреби, неплащане на данъци, отклонение от обичайна търговска практика или идентифицирани схеми на данъчни измами. Възложени са 56 ПУФО, 86 проверки по дерегистрация и 12 ревизии с указания за прилагане на специфични мерки за третиране на данъчни измами.</w:t>
      </w:r>
    </w:p>
    <w:p w:rsidR="00523AD6" w:rsidRDefault="00523AD6" w:rsidP="002979A4">
      <w:pPr>
        <w:spacing w:before="120" w:after="120"/>
        <w:ind w:firstLine="709"/>
        <w:jc w:val="both"/>
        <w:rPr>
          <w:rFonts w:eastAsia="Calibri"/>
          <w:lang w:eastAsia="en-US"/>
        </w:rPr>
      </w:pPr>
      <w:r>
        <w:rPr>
          <w:rFonts w:eastAsia="Calibri"/>
          <w:b/>
          <w:bCs/>
          <w:lang w:eastAsia="en-US"/>
        </w:rPr>
        <w:t>3</w:t>
      </w:r>
      <w:r>
        <w:rPr>
          <w:rFonts w:eastAsia="Calibri"/>
          <w:b/>
          <w:bCs/>
          <w:lang w:val="en-US" w:eastAsia="en-US"/>
        </w:rPr>
        <w:t xml:space="preserve">. </w:t>
      </w:r>
      <w:r>
        <w:rPr>
          <w:rFonts w:eastAsia="Calibri"/>
          <w:b/>
          <w:bCs/>
          <w:lang w:eastAsia="en-US"/>
        </w:rPr>
        <w:t>Ефективно взаимодействие с правоохранителните органи – МВР, ДАНС, Прокуратура и съвместни действия с АМ</w:t>
      </w:r>
    </w:p>
    <w:p w:rsidR="00523AD6" w:rsidRDefault="00523AD6" w:rsidP="00523AD6">
      <w:pPr>
        <w:ind w:firstLine="709"/>
        <w:jc w:val="both"/>
        <w:rPr>
          <w:rFonts w:eastAsia="Calibri"/>
          <w:bCs/>
          <w:lang w:eastAsia="en-US"/>
        </w:rPr>
      </w:pPr>
      <w:r>
        <w:rPr>
          <w:rFonts w:eastAsia="Calibri"/>
          <w:bCs/>
          <w:lang w:eastAsia="en-US"/>
        </w:rPr>
        <w:t xml:space="preserve">През 2015 г. взаимодействието с правоохранителните органи бе насочено към своевременно събиране на обратна информация и данни за предприемане на действия по установяване на данъчни или осигурителни измами. В резултат на активното взаимодействие със структурите на АМ в областта на борбата срещу данъчните измами и ограничаване на злоупотребите с ДДС и търговията с акцизни стоки, са извършени над 900 проверки. </w:t>
      </w:r>
    </w:p>
    <w:p w:rsidR="00523AD6" w:rsidRDefault="00523AD6" w:rsidP="00523AD6">
      <w:pPr>
        <w:ind w:firstLine="709"/>
        <w:jc w:val="both"/>
        <w:rPr>
          <w:rFonts w:eastAsia="Calibri"/>
          <w:bCs/>
          <w:lang w:eastAsia="en-US"/>
        </w:rPr>
      </w:pPr>
      <w:r>
        <w:rPr>
          <w:rFonts w:eastAsia="Calibri"/>
          <w:bCs/>
          <w:lang w:eastAsia="en-US"/>
        </w:rPr>
        <w:t xml:space="preserve">С ПМС № 89/16.04.2015 г. е създаден Междуведомствен координационен център с цел засилване на сътрудничеството между НАП, АМ, МВР, ДАНС и Автомобилна администрация, с оглед идентифициране </w:t>
      </w:r>
      <w:r w:rsidR="00C2099C">
        <w:rPr>
          <w:rFonts w:eastAsia="Calibri"/>
          <w:bCs/>
          <w:lang w:eastAsia="en-US"/>
        </w:rPr>
        <w:t xml:space="preserve">на </w:t>
      </w:r>
      <w:r>
        <w:rPr>
          <w:rFonts w:eastAsia="Calibri"/>
          <w:bCs/>
          <w:lang w:eastAsia="en-US"/>
        </w:rPr>
        <w:t>случаи на контрабанда и злоупотреба с данъци.</w:t>
      </w:r>
      <w:r>
        <w:rPr>
          <w:rFonts w:eastAsia="Calibri"/>
          <w:lang w:eastAsia="en-US"/>
        </w:rPr>
        <w:t xml:space="preserve"> Звеното функционира от 25.03.2015 г. като ръководството и контрола се осъществява от служители на ВКП.</w:t>
      </w:r>
    </w:p>
    <w:p w:rsidR="00523AD6" w:rsidRDefault="00523AD6" w:rsidP="00523AD6">
      <w:pPr>
        <w:spacing w:after="120"/>
        <w:ind w:firstLine="709"/>
        <w:jc w:val="both"/>
        <w:rPr>
          <w:rFonts w:eastAsia="Calibri"/>
          <w:lang w:eastAsia="en-US"/>
        </w:rPr>
      </w:pPr>
      <w:r>
        <w:rPr>
          <w:rFonts w:eastAsia="Calibri"/>
          <w:lang w:eastAsia="en-US"/>
        </w:rPr>
        <w:t xml:space="preserve">На основание Споразумение № 43/24.03.2015 г. между Прокуратурата на Република България, МВР, ДАНС, НАП и Агенция „Митници“, от НАП са определени четирима експерти за работа в постоянния състав на новосъздаденото специализирано междуведомствено звено. </w:t>
      </w:r>
    </w:p>
    <w:p w:rsidR="00523AD6" w:rsidRDefault="00523AD6" w:rsidP="002979A4">
      <w:pPr>
        <w:tabs>
          <w:tab w:val="left" w:pos="0"/>
        </w:tabs>
        <w:spacing w:before="120" w:after="120"/>
        <w:ind w:firstLine="709"/>
        <w:jc w:val="both"/>
        <w:rPr>
          <w:rFonts w:eastAsia="Calibri"/>
          <w:b/>
          <w:bCs/>
          <w:lang w:eastAsia="en-US"/>
        </w:rPr>
      </w:pPr>
      <w:r>
        <w:rPr>
          <w:rFonts w:eastAsia="Calibri"/>
          <w:b/>
          <w:lang w:eastAsia="en-US"/>
        </w:rPr>
        <w:t>4</w:t>
      </w:r>
      <w:r>
        <w:rPr>
          <w:rFonts w:eastAsia="Calibri"/>
          <w:b/>
          <w:lang w:val="en-US" w:eastAsia="en-US"/>
        </w:rPr>
        <w:t xml:space="preserve">. </w:t>
      </w:r>
      <w:r>
        <w:rPr>
          <w:rFonts w:eastAsia="Calibri"/>
          <w:b/>
          <w:lang w:eastAsia="en-US"/>
        </w:rPr>
        <w:t>Обмен на информация за рискови вътреобщностни сделки и ранно предупреждение за ДДС измами на територията на ЕС</w:t>
      </w:r>
    </w:p>
    <w:p w:rsidR="00523AD6" w:rsidRDefault="00523AD6" w:rsidP="00523AD6">
      <w:pPr>
        <w:tabs>
          <w:tab w:val="left" w:pos="0"/>
        </w:tabs>
        <w:ind w:firstLine="709"/>
        <w:jc w:val="both"/>
        <w:rPr>
          <w:rFonts w:eastAsia="Calibri"/>
          <w:lang w:eastAsia="en-US"/>
        </w:rPr>
      </w:pPr>
      <w:r>
        <w:rPr>
          <w:rFonts w:eastAsia="Calibri"/>
          <w:bCs/>
          <w:lang w:eastAsia="en-US"/>
        </w:rPr>
        <w:t>През 2015 г. продължи разработването на приложение за автоматизирана обработка и анализ на информацията по обмена и идентифициране на случаи на трансгранични верижни ДДС измами в европейски мащаб с участие на български задължени лица с реална икономическа дейност.</w:t>
      </w:r>
    </w:p>
    <w:p w:rsidR="00523AD6" w:rsidRDefault="00523AD6" w:rsidP="00523AD6">
      <w:pPr>
        <w:tabs>
          <w:tab w:val="left" w:pos="0"/>
        </w:tabs>
        <w:spacing w:after="120"/>
        <w:ind w:firstLine="709"/>
        <w:jc w:val="both"/>
        <w:rPr>
          <w:rFonts w:eastAsia="Calibri"/>
          <w:bCs/>
          <w:lang w:val="en-US" w:eastAsia="en-US"/>
        </w:rPr>
      </w:pPr>
      <w:r>
        <w:rPr>
          <w:rFonts w:eastAsia="Calibri"/>
          <w:bCs/>
          <w:lang w:eastAsia="en-US"/>
        </w:rPr>
        <w:t>През 2015 г. са получени и обработени 3 375 записа за рискови ВОД с получатели български дружества, анализирани са 1 538 европейски дружества с определени профили спрямо съответстващи български контрагенти, преведени и изпратени са 33 сигнала за данъчни измами с участие на български търговци. Българският принос в мрежата за ранно предупреждение се изразява в изпратени 949 записа за ВОД на български ЗЛ, за които има съмнение, че не са извършени или участват в схема на данъчна измама, както и в категоризирани и изпратени 688 записа с профили на БГ дружества. Информацията се свежда до териториалните структури на НАП, с оглед подпомагане селекцията на случаи за анализ и третиране.</w:t>
      </w:r>
    </w:p>
    <w:p w:rsidR="00735B6E" w:rsidRPr="00735B6E" w:rsidRDefault="00735B6E" w:rsidP="00523AD6">
      <w:pPr>
        <w:tabs>
          <w:tab w:val="left" w:pos="0"/>
        </w:tabs>
        <w:spacing w:after="120"/>
        <w:ind w:firstLine="709"/>
        <w:jc w:val="both"/>
        <w:rPr>
          <w:rFonts w:eastAsia="Calibri"/>
          <w:bCs/>
          <w:lang w:val="en-US" w:eastAsia="en-US"/>
        </w:rPr>
      </w:pPr>
    </w:p>
    <w:p w:rsidR="00523AD6" w:rsidRDefault="00523AD6" w:rsidP="002979A4">
      <w:pPr>
        <w:spacing w:before="120" w:after="120"/>
        <w:ind w:firstLine="709"/>
        <w:jc w:val="both"/>
        <w:rPr>
          <w:rFonts w:eastAsia="Calibri"/>
          <w:b/>
          <w:lang w:eastAsia="en-US"/>
        </w:rPr>
      </w:pPr>
      <w:r>
        <w:rPr>
          <w:rFonts w:eastAsia="Calibri"/>
          <w:b/>
          <w:lang w:eastAsia="en-US"/>
        </w:rPr>
        <w:lastRenderedPageBreak/>
        <w:t>5</w:t>
      </w:r>
      <w:r>
        <w:rPr>
          <w:rFonts w:eastAsia="Calibri"/>
          <w:b/>
          <w:lang w:val="en-US" w:eastAsia="en-US"/>
        </w:rPr>
        <w:t xml:space="preserve">. </w:t>
      </w:r>
      <w:r>
        <w:rPr>
          <w:rFonts w:eastAsia="Calibri"/>
          <w:b/>
          <w:lang w:eastAsia="en-US"/>
        </w:rPr>
        <w:t>Информационна система „Контрол“</w:t>
      </w:r>
    </w:p>
    <w:p w:rsidR="00523AD6" w:rsidRDefault="00523AD6" w:rsidP="00523AD6">
      <w:pPr>
        <w:tabs>
          <w:tab w:val="left" w:pos="0"/>
        </w:tabs>
        <w:ind w:firstLine="709"/>
        <w:jc w:val="both"/>
        <w:rPr>
          <w:rFonts w:eastAsia="Calibri"/>
          <w:bCs/>
          <w:lang w:eastAsia="en-US"/>
        </w:rPr>
      </w:pPr>
      <w:r>
        <w:rPr>
          <w:rFonts w:eastAsia="Calibri"/>
          <w:bCs/>
          <w:lang w:eastAsia="en-US"/>
        </w:rPr>
        <w:t xml:space="preserve">Внедрената през 2014 г. ИС „Контрол” подкрепя оперативните и управленски дейности, свързани с контролната функция в НАП. Оперативната част на системата подпомага служителите в ежедневната им работа като се постига: подобряване на селекцията на лица за извършване на контролни действия; спазване на последователността и сроковете при изпълнение на процесуалните действия, унифициране на изготвянето и издаването на документи в хода на контролните производства, както и почти изцяло ограничаване използването на хартиен документооборот в рамките на функция „Контрол“ и частично при процеси, в които участват различни организационни звена в администрацията. </w:t>
      </w:r>
    </w:p>
    <w:p w:rsidR="00523AD6" w:rsidRDefault="00523AD6" w:rsidP="00523AD6">
      <w:pPr>
        <w:tabs>
          <w:tab w:val="left" w:pos="0"/>
        </w:tabs>
        <w:spacing w:after="120"/>
        <w:ind w:firstLine="709"/>
        <w:jc w:val="both"/>
        <w:rPr>
          <w:rFonts w:ascii="Calibri" w:eastAsia="Calibri" w:hAnsi="Calibri"/>
          <w:bCs/>
          <w:sz w:val="22"/>
          <w:szCs w:val="22"/>
          <w:lang w:eastAsia="en-US"/>
        </w:rPr>
      </w:pPr>
      <w:r>
        <w:rPr>
          <w:rFonts w:eastAsia="Calibri"/>
          <w:bCs/>
          <w:lang w:eastAsia="en-US"/>
        </w:rPr>
        <w:t>Въведените чрез системата електронни услуги качествено промениха взаимодействието на администрацията с клиентите на НАП в рамките на контролните производства. През 2015 г. по електронен път са връчени на задължените лица повече от 290 000 електронни документи в т.ч. актове за прихващане и възстановяване, искания за информация, протоколи, ревизионни доклади и актове. В рамките на около 9 000 контролни производства ревизираните лица са се възползвали от възможността да подадат по електронен път изисканите документи</w:t>
      </w:r>
      <w:r>
        <w:rPr>
          <w:rFonts w:ascii="Calibri" w:eastAsia="Calibri" w:hAnsi="Calibri"/>
          <w:bCs/>
          <w:sz w:val="22"/>
          <w:szCs w:val="22"/>
          <w:lang w:eastAsia="en-US"/>
        </w:rPr>
        <w:t>.</w:t>
      </w:r>
    </w:p>
    <w:p w:rsidR="00523AD6" w:rsidRDefault="00523AD6" w:rsidP="00523AD6">
      <w:pPr>
        <w:tabs>
          <w:tab w:val="left" w:pos="0"/>
        </w:tabs>
        <w:spacing w:after="120"/>
        <w:ind w:firstLine="709"/>
        <w:jc w:val="both"/>
        <w:rPr>
          <w:rFonts w:eastAsia="Calibri"/>
          <w:b/>
          <w:bCs/>
          <w:i/>
          <w:u w:val="single"/>
          <w:lang w:eastAsia="en-US"/>
        </w:rPr>
      </w:pPr>
      <w:r>
        <w:rPr>
          <w:rFonts w:eastAsia="Calibri"/>
          <w:b/>
          <w:bCs/>
          <w:i/>
          <w:u w:val="single"/>
          <w:lang w:eastAsia="en-US"/>
        </w:rPr>
        <w:t>ІV. Фискален контрол върху движението на рискови стоки</w:t>
      </w:r>
    </w:p>
    <w:p w:rsidR="00523AD6" w:rsidRDefault="00523AD6" w:rsidP="00523AD6">
      <w:pPr>
        <w:ind w:firstLine="709"/>
        <w:jc w:val="both"/>
        <w:rPr>
          <w:rFonts w:eastAsia="Calibri"/>
          <w:lang w:eastAsia="en-US"/>
        </w:rPr>
      </w:pPr>
      <w:r>
        <w:rPr>
          <w:rFonts w:eastAsia="Calibri"/>
          <w:lang w:eastAsia="en-US"/>
        </w:rPr>
        <w:t>Дейността по фискален контрол се осъществява основно на т. нар. фискални контролни пунктове (20 действащи) организирани на територията на Република България в непосредствена близост с граничните контролно-пропускателни пунктове, както и във вътрешността на страната на територията на големите борси и тържища. През 2015 г. бяха разкрити 41 нови пунк</w:t>
      </w:r>
      <w:r w:rsidR="00C2099C">
        <w:rPr>
          <w:rFonts w:eastAsia="Calibri"/>
          <w:lang w:eastAsia="en-US"/>
        </w:rPr>
        <w:t>та</w:t>
      </w:r>
      <w:r>
        <w:rPr>
          <w:rFonts w:eastAsia="Calibri"/>
          <w:lang w:eastAsia="en-US"/>
        </w:rPr>
        <w:t xml:space="preserve"> за фискален контрол във вътрешността на страната, с което общо пунктовете станаха 138 броя. </w:t>
      </w:r>
    </w:p>
    <w:p w:rsidR="00523AD6" w:rsidRDefault="00523AD6" w:rsidP="00523AD6">
      <w:pPr>
        <w:spacing w:after="120"/>
        <w:ind w:firstLine="709"/>
        <w:jc w:val="both"/>
        <w:rPr>
          <w:rFonts w:eastAsia="Calibri"/>
          <w:b/>
          <w:lang w:eastAsia="en-US"/>
        </w:rPr>
      </w:pPr>
      <w:r>
        <w:rPr>
          <w:rFonts w:eastAsia="Calibri"/>
          <w:lang w:eastAsia="en-US"/>
        </w:rPr>
        <w:t xml:space="preserve">Стоки с висок фискален риск са стоките, най-често използвани в схеми за измами с ДДС и идентифицирани от приходната администрация като рискови (акцизните или бързооборотни стоки като плодове, зеленчуци, месо и месни продукти, захар и продукти за производство на захар, мляко и млечни продукти и др.), с които за кратко време може да бъде реализирана данъчна измама. </w:t>
      </w:r>
    </w:p>
    <w:p w:rsidR="00523AD6" w:rsidRDefault="00523AD6" w:rsidP="002979A4">
      <w:pPr>
        <w:spacing w:before="120" w:after="120"/>
        <w:ind w:firstLine="709"/>
        <w:jc w:val="both"/>
        <w:rPr>
          <w:rFonts w:eastAsia="Calibri"/>
          <w:b/>
          <w:lang w:eastAsia="en-US"/>
        </w:rPr>
      </w:pPr>
      <w:r>
        <w:rPr>
          <w:rFonts w:eastAsia="Calibri"/>
          <w:b/>
          <w:lang w:eastAsia="en-US"/>
        </w:rPr>
        <w:t>1</w:t>
      </w:r>
      <w:r>
        <w:rPr>
          <w:rFonts w:eastAsia="Calibri"/>
          <w:b/>
          <w:lang w:val="en-US" w:eastAsia="en-US"/>
        </w:rPr>
        <w:t xml:space="preserve">. </w:t>
      </w:r>
      <w:r>
        <w:rPr>
          <w:rFonts w:eastAsia="Calibri"/>
          <w:b/>
          <w:lang w:eastAsia="en-US"/>
        </w:rPr>
        <w:t xml:space="preserve">Резултати от дейността </w:t>
      </w:r>
      <w:r w:rsidR="00C2099C">
        <w:rPr>
          <w:rFonts w:eastAsia="Calibri"/>
          <w:b/>
          <w:lang w:eastAsia="en-US"/>
        </w:rPr>
        <w:t xml:space="preserve">за </w:t>
      </w:r>
      <w:r>
        <w:rPr>
          <w:rFonts w:eastAsia="Calibri"/>
          <w:b/>
          <w:lang w:eastAsia="en-US"/>
        </w:rPr>
        <w:t>2015 г.</w:t>
      </w:r>
    </w:p>
    <w:p w:rsidR="00523AD6" w:rsidRDefault="00523AD6" w:rsidP="002979A4">
      <w:pPr>
        <w:spacing w:before="120" w:after="120"/>
        <w:ind w:firstLine="709"/>
        <w:jc w:val="both"/>
        <w:rPr>
          <w:rFonts w:eastAsia="Calibri"/>
          <w:lang w:val="en-US" w:eastAsia="en-US"/>
        </w:rPr>
      </w:pPr>
      <w:r>
        <w:rPr>
          <w:rFonts w:eastAsia="Calibri"/>
          <w:b/>
          <w:lang w:eastAsia="en-US"/>
        </w:rPr>
        <w:t>1</w:t>
      </w:r>
      <w:r>
        <w:rPr>
          <w:rFonts w:eastAsia="Calibri"/>
          <w:b/>
          <w:lang w:val="en-US" w:eastAsia="en-US"/>
        </w:rPr>
        <w:t>.1.</w:t>
      </w:r>
      <w:r>
        <w:rPr>
          <w:rFonts w:eastAsia="Calibri"/>
          <w:lang w:val="en-US" w:eastAsia="en-US"/>
        </w:rPr>
        <w:t xml:space="preserve"> </w:t>
      </w:r>
      <w:r>
        <w:rPr>
          <w:rFonts w:eastAsia="Calibri"/>
          <w:b/>
          <w:lang w:eastAsia="en-US"/>
        </w:rPr>
        <w:t>Проверки на транспортни средства</w:t>
      </w:r>
    </w:p>
    <w:p w:rsidR="00523AD6" w:rsidRDefault="00523AD6" w:rsidP="00523AD6">
      <w:pPr>
        <w:ind w:firstLine="709"/>
        <w:jc w:val="both"/>
        <w:rPr>
          <w:rFonts w:eastAsia="Calibri"/>
          <w:lang w:eastAsia="en-US"/>
        </w:rPr>
      </w:pPr>
      <w:r>
        <w:rPr>
          <w:rFonts w:eastAsia="Calibri"/>
          <w:lang w:eastAsia="en-US"/>
        </w:rPr>
        <w:t xml:space="preserve">На фискалните контролни пунктове на ГКПП са извършени общо </w:t>
      </w:r>
      <w:r>
        <w:rPr>
          <w:rFonts w:eastAsia="Calibri"/>
          <w:bCs/>
          <w:lang w:eastAsia="en-US"/>
        </w:rPr>
        <w:t xml:space="preserve">280 040 </w:t>
      </w:r>
      <w:r>
        <w:rPr>
          <w:rFonts w:eastAsia="Calibri"/>
          <w:lang w:eastAsia="en-US"/>
        </w:rPr>
        <w:t xml:space="preserve">проверки на транспортни средства извършващи ВОП, ВОД, напускащи страната без товар, както и на преминаващи товарни превозни средства през територията на Р. България. На </w:t>
      </w:r>
      <w:r>
        <w:rPr>
          <w:rFonts w:eastAsia="Calibri"/>
          <w:bCs/>
          <w:lang w:eastAsia="en-US"/>
        </w:rPr>
        <w:t xml:space="preserve">73 314 </w:t>
      </w:r>
      <w:r>
        <w:rPr>
          <w:rFonts w:eastAsia="Calibri"/>
          <w:lang w:eastAsia="en-US"/>
        </w:rPr>
        <w:t xml:space="preserve">транспортни средства са поставени технически средства за контрол. </w:t>
      </w:r>
    </w:p>
    <w:p w:rsidR="00523AD6" w:rsidRDefault="00523AD6" w:rsidP="002979A4">
      <w:pPr>
        <w:spacing w:before="120" w:after="120"/>
        <w:ind w:firstLine="709"/>
        <w:jc w:val="both"/>
        <w:rPr>
          <w:rFonts w:eastAsia="Calibri"/>
          <w:b/>
          <w:lang w:val="en-US" w:eastAsia="en-US"/>
        </w:rPr>
      </w:pPr>
      <w:r>
        <w:rPr>
          <w:rFonts w:eastAsia="Calibri"/>
          <w:b/>
          <w:lang w:eastAsia="en-US"/>
        </w:rPr>
        <w:t>1</w:t>
      </w:r>
      <w:r>
        <w:rPr>
          <w:rFonts w:eastAsia="Calibri"/>
          <w:b/>
          <w:lang w:val="en-US" w:eastAsia="en-US"/>
        </w:rPr>
        <w:t>.</w:t>
      </w:r>
      <w:r>
        <w:rPr>
          <w:rFonts w:eastAsia="Calibri"/>
          <w:b/>
          <w:lang w:eastAsia="en-US"/>
        </w:rPr>
        <w:t>2</w:t>
      </w:r>
      <w:r>
        <w:rPr>
          <w:rFonts w:eastAsia="Calibri"/>
          <w:b/>
          <w:lang w:val="en-US" w:eastAsia="en-US"/>
        </w:rPr>
        <w:t>.</w:t>
      </w:r>
      <w:r>
        <w:rPr>
          <w:rFonts w:eastAsia="Calibri"/>
          <w:lang w:val="en-US" w:eastAsia="en-US"/>
        </w:rPr>
        <w:t xml:space="preserve"> </w:t>
      </w:r>
      <w:r>
        <w:rPr>
          <w:rFonts w:eastAsia="Calibri"/>
          <w:b/>
          <w:lang w:eastAsia="en-US"/>
        </w:rPr>
        <w:t>Количество проверени стоки</w:t>
      </w:r>
    </w:p>
    <w:p w:rsidR="00CF3794" w:rsidRDefault="00523AD6" w:rsidP="00523AD6">
      <w:pPr>
        <w:spacing w:after="120"/>
        <w:ind w:firstLine="709"/>
        <w:jc w:val="both"/>
        <w:rPr>
          <w:rFonts w:eastAsia="Calibri"/>
          <w:b/>
          <w:lang w:eastAsia="en-US"/>
        </w:rPr>
      </w:pPr>
      <w:r>
        <w:rPr>
          <w:rFonts w:eastAsia="Calibri"/>
          <w:b/>
          <w:lang w:eastAsia="en-US"/>
        </w:rPr>
        <w:t>Количество на проверените стоки с висок фискален риск за 2015 г. по групи рискови стоки</w:t>
      </w:r>
    </w:p>
    <w:tbl>
      <w:tblPr>
        <w:tblW w:w="7371" w:type="dxa"/>
        <w:tblInd w:w="860" w:type="dxa"/>
        <w:tblCellMar>
          <w:left w:w="0" w:type="dxa"/>
          <w:right w:w="0" w:type="dxa"/>
        </w:tblCellMar>
        <w:tblLook w:val="04A0" w:firstRow="1" w:lastRow="0" w:firstColumn="1" w:lastColumn="0" w:noHBand="0" w:noVBand="1"/>
      </w:tblPr>
      <w:tblGrid>
        <w:gridCol w:w="5245"/>
        <w:gridCol w:w="2126"/>
      </w:tblGrid>
      <w:tr w:rsidR="00CF3794" w:rsidRPr="0027234E" w:rsidTr="00EC33FC">
        <w:trPr>
          <w:trHeight w:val="432"/>
        </w:trPr>
        <w:tc>
          <w:tcPr>
            <w:tcW w:w="5245" w:type="dxa"/>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hideMark/>
          </w:tcPr>
          <w:p w:rsidR="00CF3794" w:rsidRPr="0027234E" w:rsidRDefault="00CF3794" w:rsidP="00EC33FC">
            <w:pPr>
              <w:jc w:val="center"/>
              <w:rPr>
                <w:rFonts w:eastAsia="Calibri"/>
                <w:b/>
                <w:bCs/>
                <w:color w:val="000000"/>
              </w:rPr>
            </w:pPr>
            <w:r w:rsidRPr="0027234E">
              <w:rPr>
                <w:b/>
                <w:color w:val="000000"/>
              </w:rPr>
              <w:t>Вид стока</w:t>
            </w:r>
          </w:p>
        </w:tc>
        <w:tc>
          <w:tcPr>
            <w:tcW w:w="2126"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hideMark/>
          </w:tcPr>
          <w:p w:rsidR="00CF3794" w:rsidRPr="0027234E" w:rsidRDefault="00CF3794" w:rsidP="00EC33FC">
            <w:pPr>
              <w:jc w:val="center"/>
              <w:rPr>
                <w:rFonts w:eastAsia="Calibri"/>
                <w:b/>
                <w:bCs/>
                <w:color w:val="000000"/>
              </w:rPr>
            </w:pPr>
            <w:r w:rsidRPr="0027234E">
              <w:rPr>
                <w:b/>
                <w:color w:val="000000"/>
              </w:rPr>
              <w:t>Тегло в кг.</w:t>
            </w:r>
          </w:p>
        </w:tc>
      </w:tr>
      <w:tr w:rsidR="00CF3794" w:rsidRPr="0027234E" w:rsidTr="00EC33FC">
        <w:trPr>
          <w:trHeight w:val="91"/>
        </w:trPr>
        <w:tc>
          <w:tcPr>
            <w:tcW w:w="52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rPr>
                <w:rFonts w:eastAsia="Calibri"/>
                <w:bCs/>
                <w:color w:val="000000"/>
              </w:rPr>
            </w:pPr>
            <w:r w:rsidRPr="0027234E">
              <w:rPr>
                <w:bCs/>
                <w:color w:val="000000"/>
              </w:rPr>
              <w:t>Плодове и зеленчуци</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jc w:val="right"/>
              <w:rPr>
                <w:rFonts w:eastAsia="Calibri"/>
                <w:bCs/>
                <w:color w:val="000000"/>
              </w:rPr>
            </w:pPr>
            <w:r w:rsidRPr="0027234E">
              <w:rPr>
                <w:bCs/>
                <w:color w:val="000000"/>
              </w:rPr>
              <w:t>471 975 427</w:t>
            </w:r>
          </w:p>
        </w:tc>
      </w:tr>
      <w:tr w:rsidR="00CF3794" w:rsidRPr="0027234E" w:rsidTr="00EC33FC">
        <w:trPr>
          <w:trHeight w:val="223"/>
        </w:trPr>
        <w:tc>
          <w:tcPr>
            <w:tcW w:w="52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rPr>
                <w:rFonts w:eastAsia="Calibri"/>
                <w:bCs/>
                <w:color w:val="000000"/>
              </w:rPr>
            </w:pPr>
            <w:r w:rsidRPr="0027234E">
              <w:rPr>
                <w:bCs/>
                <w:color w:val="000000"/>
              </w:rPr>
              <w:t>Месо и месни продукти</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jc w:val="right"/>
              <w:rPr>
                <w:rFonts w:eastAsia="Calibri"/>
                <w:bCs/>
                <w:color w:val="000000"/>
              </w:rPr>
            </w:pPr>
            <w:r w:rsidRPr="0027234E">
              <w:rPr>
                <w:bCs/>
                <w:color w:val="000000"/>
              </w:rPr>
              <w:t>204 765 291</w:t>
            </w:r>
          </w:p>
        </w:tc>
      </w:tr>
      <w:tr w:rsidR="00CF3794" w:rsidRPr="0027234E" w:rsidTr="00EC33FC">
        <w:trPr>
          <w:trHeight w:val="213"/>
        </w:trPr>
        <w:tc>
          <w:tcPr>
            <w:tcW w:w="52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rPr>
                <w:rFonts w:eastAsia="Calibri"/>
                <w:bCs/>
                <w:color w:val="000000"/>
              </w:rPr>
            </w:pPr>
            <w:r w:rsidRPr="0027234E">
              <w:rPr>
                <w:bCs/>
                <w:color w:val="000000"/>
              </w:rPr>
              <w:t>Захар и глюкоза</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jc w:val="right"/>
              <w:rPr>
                <w:rFonts w:eastAsia="Calibri"/>
                <w:bCs/>
                <w:color w:val="000000"/>
              </w:rPr>
            </w:pPr>
            <w:r w:rsidRPr="0027234E">
              <w:rPr>
                <w:bCs/>
                <w:color w:val="000000"/>
              </w:rPr>
              <w:t>57 723 355</w:t>
            </w:r>
          </w:p>
        </w:tc>
      </w:tr>
      <w:tr w:rsidR="00CF3794" w:rsidRPr="0027234E" w:rsidTr="00EC33FC">
        <w:trPr>
          <w:trHeight w:val="203"/>
        </w:trPr>
        <w:tc>
          <w:tcPr>
            <w:tcW w:w="524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CF3794" w:rsidRPr="0027234E" w:rsidRDefault="00CF3794" w:rsidP="00EC33FC">
            <w:pPr>
              <w:rPr>
                <w:rFonts w:eastAsia="Calibri"/>
                <w:bCs/>
                <w:color w:val="000000"/>
              </w:rPr>
            </w:pPr>
            <w:r w:rsidRPr="0027234E">
              <w:rPr>
                <w:bCs/>
                <w:color w:val="000000"/>
              </w:rPr>
              <w:t xml:space="preserve">Мляко и млечни продукти, яйца </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jc w:val="right"/>
              <w:rPr>
                <w:rFonts w:eastAsia="Calibri"/>
                <w:bCs/>
                <w:color w:val="000000"/>
              </w:rPr>
            </w:pPr>
            <w:r w:rsidRPr="0027234E">
              <w:rPr>
                <w:bCs/>
                <w:color w:val="000000"/>
              </w:rPr>
              <w:t>112 441 777</w:t>
            </w:r>
          </w:p>
        </w:tc>
      </w:tr>
      <w:tr w:rsidR="00CF3794" w:rsidRPr="0027234E" w:rsidTr="00EC33FC">
        <w:trPr>
          <w:trHeight w:val="179"/>
        </w:trPr>
        <w:tc>
          <w:tcPr>
            <w:tcW w:w="52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rPr>
                <w:rFonts w:eastAsia="Calibri"/>
                <w:bCs/>
                <w:color w:val="000000"/>
              </w:rPr>
            </w:pPr>
            <w:r w:rsidRPr="0027234E">
              <w:rPr>
                <w:bCs/>
                <w:color w:val="000000"/>
              </w:rPr>
              <w:t>Сурови масла – слънчогледово олио, зехтин</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jc w:val="right"/>
              <w:rPr>
                <w:rFonts w:eastAsia="Calibri"/>
                <w:bCs/>
                <w:color w:val="000000"/>
              </w:rPr>
            </w:pPr>
            <w:r w:rsidRPr="0027234E">
              <w:rPr>
                <w:bCs/>
                <w:color w:val="000000"/>
              </w:rPr>
              <w:t>14 087 351</w:t>
            </w:r>
          </w:p>
        </w:tc>
      </w:tr>
      <w:tr w:rsidR="00CF3794" w:rsidRPr="0027234E" w:rsidTr="00EC33FC">
        <w:trPr>
          <w:trHeight w:val="170"/>
        </w:trPr>
        <w:tc>
          <w:tcPr>
            <w:tcW w:w="52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rPr>
                <w:rFonts w:eastAsia="Calibri"/>
                <w:bCs/>
                <w:color w:val="000000"/>
              </w:rPr>
            </w:pPr>
            <w:r w:rsidRPr="0027234E">
              <w:rPr>
                <w:bCs/>
                <w:color w:val="000000"/>
              </w:rPr>
              <w:t xml:space="preserve">Брашно </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jc w:val="right"/>
              <w:rPr>
                <w:rFonts w:eastAsia="Calibri"/>
                <w:bCs/>
                <w:color w:val="000000"/>
              </w:rPr>
            </w:pPr>
            <w:r w:rsidRPr="0027234E">
              <w:rPr>
                <w:bCs/>
                <w:color w:val="000000"/>
              </w:rPr>
              <w:t>13 414 074</w:t>
            </w:r>
          </w:p>
        </w:tc>
      </w:tr>
      <w:tr w:rsidR="00CF3794" w:rsidRPr="0027234E" w:rsidTr="00EC33FC">
        <w:trPr>
          <w:trHeight w:val="545"/>
        </w:trPr>
        <w:tc>
          <w:tcPr>
            <w:tcW w:w="52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rPr>
                <w:rFonts w:eastAsia="Calibri"/>
                <w:bCs/>
                <w:color w:val="000000"/>
              </w:rPr>
            </w:pPr>
            <w:r w:rsidRPr="0027234E">
              <w:rPr>
                <w:bCs/>
                <w:color w:val="000000"/>
              </w:rPr>
              <w:lastRenderedPageBreak/>
              <w:t xml:space="preserve">Риба и ракообразни, мекотели и др. водни безгръбначни </w:t>
            </w:r>
          </w:p>
        </w:tc>
        <w:tc>
          <w:tcPr>
            <w:tcW w:w="2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CF3794" w:rsidRPr="0027234E" w:rsidRDefault="00CF3794" w:rsidP="00EC33FC">
            <w:pPr>
              <w:jc w:val="right"/>
              <w:rPr>
                <w:rFonts w:eastAsia="Calibri"/>
                <w:bCs/>
                <w:color w:val="000000"/>
              </w:rPr>
            </w:pPr>
            <w:r w:rsidRPr="0027234E">
              <w:rPr>
                <w:bCs/>
                <w:color w:val="000000"/>
              </w:rPr>
              <w:t>17 461 052</w:t>
            </w:r>
          </w:p>
        </w:tc>
      </w:tr>
      <w:tr w:rsidR="00CF3794" w:rsidRPr="0027234E" w:rsidTr="00EC33FC">
        <w:trPr>
          <w:trHeight w:val="130"/>
        </w:trPr>
        <w:tc>
          <w:tcPr>
            <w:tcW w:w="5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F3794" w:rsidRPr="0027234E" w:rsidRDefault="00CF3794" w:rsidP="00EC33FC">
            <w:pPr>
              <w:jc w:val="both"/>
            </w:pPr>
            <w:r w:rsidRPr="0027234E">
              <w:t>Колбаси, приготвени храни и консерви от месо</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F3794" w:rsidRPr="0027234E" w:rsidRDefault="00CF3794" w:rsidP="00EC33FC">
            <w:pPr>
              <w:jc w:val="right"/>
            </w:pPr>
            <w:r w:rsidRPr="0027234E">
              <w:t>190 623</w:t>
            </w:r>
          </w:p>
        </w:tc>
      </w:tr>
      <w:tr w:rsidR="00CF3794" w:rsidRPr="0027234E" w:rsidTr="00EC33FC">
        <w:trPr>
          <w:trHeight w:val="398"/>
        </w:trPr>
        <w:tc>
          <w:tcPr>
            <w:tcW w:w="5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CF3794" w:rsidRPr="0027234E" w:rsidRDefault="00CF3794" w:rsidP="00EC33FC">
            <w:pPr>
              <w:rPr>
                <w:b/>
              </w:rPr>
            </w:pPr>
            <w:r w:rsidRPr="0027234E">
              <w:rPr>
                <w:b/>
              </w:rPr>
              <w:t>Общо количество</w:t>
            </w:r>
            <w:r w:rsidRPr="0027234E">
              <w:rPr>
                <w:b/>
                <w:lang w:val="en-US"/>
              </w:rPr>
              <w:t xml:space="preserve"> </w:t>
            </w:r>
            <w:r w:rsidRPr="0027234E">
              <w:rPr>
                <w:b/>
              </w:rPr>
              <w:t>проверени стоки:</w:t>
            </w:r>
          </w:p>
        </w:tc>
        <w:tc>
          <w:tcPr>
            <w:tcW w:w="2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CF3794" w:rsidRPr="0027234E" w:rsidRDefault="00CF3794" w:rsidP="00EC33FC">
            <w:pPr>
              <w:jc w:val="right"/>
              <w:rPr>
                <w:b/>
              </w:rPr>
            </w:pPr>
            <w:r w:rsidRPr="0027234E">
              <w:rPr>
                <w:b/>
              </w:rPr>
              <w:t>892 058 950</w:t>
            </w:r>
          </w:p>
        </w:tc>
      </w:tr>
    </w:tbl>
    <w:p w:rsidR="00523AD6" w:rsidRDefault="00523AD6" w:rsidP="00523AD6">
      <w:pPr>
        <w:spacing w:after="120"/>
        <w:ind w:left="5664" w:firstLine="709"/>
        <w:jc w:val="both"/>
        <w:rPr>
          <w:rFonts w:eastAsia="Calibri"/>
          <w:b/>
          <w:lang w:eastAsia="en-US"/>
        </w:rPr>
      </w:pPr>
      <w:r>
        <w:rPr>
          <w:rFonts w:eastAsia="Calibri"/>
          <w:i/>
          <w:lang w:eastAsia="en-US"/>
        </w:rPr>
        <w:t>Източник: НАП</w:t>
      </w:r>
    </w:p>
    <w:p w:rsidR="00523AD6" w:rsidRDefault="00523AD6" w:rsidP="002979A4">
      <w:pPr>
        <w:spacing w:before="120" w:after="120"/>
        <w:ind w:firstLine="709"/>
        <w:jc w:val="both"/>
        <w:rPr>
          <w:rFonts w:eastAsia="Calibri"/>
          <w:b/>
          <w:lang w:eastAsia="en-US"/>
        </w:rPr>
      </w:pPr>
      <w:r>
        <w:rPr>
          <w:rFonts w:eastAsia="Calibri"/>
          <w:b/>
          <w:lang w:eastAsia="en-US"/>
        </w:rPr>
        <w:t>2. Ефект от дейността:</w:t>
      </w:r>
    </w:p>
    <w:p w:rsidR="00523AD6" w:rsidRDefault="00523AD6" w:rsidP="00523AD6">
      <w:pPr>
        <w:ind w:firstLine="709"/>
        <w:jc w:val="both"/>
        <w:rPr>
          <w:rFonts w:eastAsia="Calibri"/>
          <w:lang w:eastAsia="en-US"/>
        </w:rPr>
      </w:pPr>
      <w:r>
        <w:rPr>
          <w:rFonts w:eastAsia="Calibri"/>
          <w:lang w:eastAsia="en-US"/>
        </w:rPr>
        <w:t>Ефект</w:t>
      </w:r>
      <w:r w:rsidR="00C2099C">
        <w:rPr>
          <w:rFonts w:eastAsia="Calibri"/>
          <w:lang w:eastAsia="en-US"/>
        </w:rPr>
        <w:t>ите</w:t>
      </w:r>
      <w:r>
        <w:rPr>
          <w:rFonts w:eastAsia="Calibri"/>
          <w:lang w:eastAsia="en-US"/>
        </w:rPr>
        <w:t>/ползите от дейността по фискален контрол, могат да бъдат разделени на преки и косвени, като по замисъл косвените са с много по-висока стойност.</w:t>
      </w:r>
    </w:p>
    <w:p w:rsidR="00523AD6" w:rsidRDefault="00523AD6" w:rsidP="002979A4">
      <w:pPr>
        <w:spacing w:before="120" w:after="120"/>
        <w:ind w:firstLine="709"/>
        <w:jc w:val="both"/>
        <w:rPr>
          <w:rFonts w:eastAsia="Calibri"/>
          <w:b/>
          <w:lang w:eastAsia="en-US"/>
        </w:rPr>
      </w:pPr>
      <w:r>
        <w:rPr>
          <w:rFonts w:eastAsia="Calibri"/>
          <w:b/>
          <w:lang w:eastAsia="en-US"/>
        </w:rPr>
        <w:t>2</w:t>
      </w:r>
      <w:r>
        <w:rPr>
          <w:rFonts w:eastAsia="Calibri"/>
          <w:b/>
          <w:lang w:val="en-US" w:eastAsia="en-US"/>
        </w:rPr>
        <w:t xml:space="preserve">.1. </w:t>
      </w:r>
      <w:r>
        <w:rPr>
          <w:rFonts w:eastAsia="Calibri"/>
          <w:b/>
          <w:lang w:eastAsia="en-US"/>
        </w:rPr>
        <w:t>Преки ползи от дейността:</w:t>
      </w:r>
    </w:p>
    <w:p w:rsidR="00523AD6" w:rsidRDefault="00523AD6" w:rsidP="00EC33FC">
      <w:pPr>
        <w:widowControl w:val="0"/>
        <w:numPr>
          <w:ilvl w:val="0"/>
          <w:numId w:val="49"/>
        </w:numPr>
        <w:suppressAutoHyphens/>
        <w:spacing w:after="200"/>
        <w:ind w:left="1066" w:hanging="357"/>
        <w:jc w:val="both"/>
        <w:rPr>
          <w:rFonts w:eastAsia="Calibri"/>
          <w:color w:val="000000"/>
          <w:lang w:eastAsia="en-US"/>
        </w:rPr>
      </w:pPr>
      <w:r>
        <w:rPr>
          <w:rFonts w:eastAsia="Calibri"/>
          <w:color w:val="000000"/>
          <w:lang w:eastAsia="en-US"/>
        </w:rPr>
        <w:t>В резултат на извършените контролни действия за 2015 г. са наложени 1 367 обезпечения на 755 задължени лица. Общата стойност на наложените обезпечения е 12</w:t>
      </w:r>
      <w:r w:rsidR="00C2099C">
        <w:rPr>
          <w:rFonts w:eastAsia="Calibri"/>
          <w:color w:val="000000"/>
          <w:lang w:eastAsia="en-US"/>
        </w:rPr>
        <w:t>,1</w:t>
      </w:r>
      <w:r>
        <w:rPr>
          <w:rFonts w:eastAsia="Calibri"/>
          <w:color w:val="000000"/>
          <w:lang w:eastAsia="en-US"/>
        </w:rPr>
        <w:t xml:space="preserve"> млн. лв. (12 080 525 лв.);</w:t>
      </w:r>
    </w:p>
    <w:p w:rsidR="00523AD6" w:rsidRDefault="00523AD6" w:rsidP="00781B85">
      <w:pPr>
        <w:widowControl w:val="0"/>
        <w:numPr>
          <w:ilvl w:val="0"/>
          <w:numId w:val="49"/>
        </w:numPr>
        <w:suppressAutoHyphens/>
        <w:spacing w:after="200" w:line="276" w:lineRule="auto"/>
        <w:jc w:val="both"/>
        <w:rPr>
          <w:rFonts w:ascii="Calibri" w:eastAsia="Calibri" w:hAnsi="Calibri"/>
          <w:bCs/>
          <w:sz w:val="22"/>
          <w:szCs w:val="22"/>
          <w:lang w:eastAsia="en-US"/>
        </w:rPr>
      </w:pPr>
      <w:r>
        <w:rPr>
          <w:rFonts w:eastAsia="Calibri"/>
          <w:color w:val="000000"/>
          <w:lang w:eastAsia="en-US"/>
        </w:rPr>
        <w:t>След наложени обезпечителни мерки, при двадесет и четири задължени лица, при които стоката е оставена на отговорно пазене, след изтичане на срока по чл. 121а от ДОПК, които не са предоставили обезпечение в пари или безусловна и неотменяема гаранция и са се разпоредили със стоката и тя не е била налична, съгласно разпоредбите на чл. 205 от НК, същите са предадени на прокуратурата за предприемане на последващи действия</w:t>
      </w:r>
      <w:r>
        <w:rPr>
          <w:rFonts w:ascii="Calibri" w:eastAsia="Calibri" w:hAnsi="Calibri"/>
          <w:bCs/>
          <w:sz w:val="22"/>
          <w:szCs w:val="22"/>
          <w:lang w:eastAsia="en-US"/>
        </w:rPr>
        <w:t xml:space="preserve">. </w:t>
      </w:r>
    </w:p>
    <w:p w:rsidR="00523AD6" w:rsidRDefault="00523AD6" w:rsidP="00523AD6">
      <w:pPr>
        <w:widowControl w:val="0"/>
        <w:suppressAutoHyphens/>
        <w:ind w:firstLine="709"/>
        <w:jc w:val="both"/>
        <w:rPr>
          <w:rFonts w:ascii="Calibri" w:eastAsia="Calibri" w:hAnsi="Calibri"/>
          <w:bCs/>
          <w:sz w:val="22"/>
          <w:szCs w:val="22"/>
          <w:lang w:eastAsia="en-US"/>
        </w:rPr>
      </w:pPr>
      <w:r>
        <w:rPr>
          <w:rFonts w:eastAsia="Calibri"/>
          <w:b/>
          <w:bCs/>
          <w:u w:val="single"/>
          <w:lang w:eastAsia="en-US"/>
        </w:rPr>
        <w:t>Отнети в полза на държавата са както следва:</w:t>
      </w:r>
    </w:p>
    <w:p w:rsidR="00523AD6" w:rsidRDefault="00523AD6" w:rsidP="00EC33FC">
      <w:pPr>
        <w:widowControl w:val="0"/>
        <w:numPr>
          <w:ilvl w:val="0"/>
          <w:numId w:val="49"/>
        </w:numPr>
        <w:suppressAutoHyphens/>
        <w:spacing w:after="100" w:afterAutospacing="1" w:line="276" w:lineRule="auto"/>
        <w:ind w:left="1066" w:hanging="357"/>
        <w:jc w:val="both"/>
        <w:rPr>
          <w:rFonts w:eastAsia="Calibri"/>
          <w:color w:val="000000"/>
          <w:lang w:eastAsia="en-US"/>
        </w:rPr>
      </w:pPr>
      <w:r>
        <w:rPr>
          <w:rFonts w:eastAsia="Calibri"/>
          <w:color w:val="000000"/>
          <w:lang w:eastAsia="en-US"/>
        </w:rPr>
        <w:t>5 обезпечения на плодове и зеленчуци с общо тегло 63 500 кг. на обща стойност 18 362,92 лв.;</w:t>
      </w:r>
    </w:p>
    <w:p w:rsidR="00523AD6" w:rsidRDefault="00523AD6" w:rsidP="00EC33FC">
      <w:pPr>
        <w:widowControl w:val="0"/>
        <w:numPr>
          <w:ilvl w:val="0"/>
          <w:numId w:val="49"/>
        </w:numPr>
        <w:suppressAutoHyphens/>
        <w:spacing w:after="100" w:afterAutospacing="1" w:line="276" w:lineRule="auto"/>
        <w:ind w:left="1066" w:hanging="357"/>
        <w:jc w:val="both"/>
        <w:rPr>
          <w:rFonts w:eastAsia="Calibri"/>
          <w:color w:val="000000"/>
          <w:lang w:eastAsia="en-US"/>
        </w:rPr>
      </w:pPr>
      <w:r>
        <w:rPr>
          <w:rFonts w:eastAsia="Calibri"/>
          <w:color w:val="000000"/>
          <w:lang w:eastAsia="en-US"/>
        </w:rPr>
        <w:t>3 обезпечения на месо и месни продукти с общо тегло 43 674,78 кг. на обща стойност 50 192 лв.;</w:t>
      </w:r>
    </w:p>
    <w:p w:rsidR="00523AD6" w:rsidRDefault="00523AD6" w:rsidP="00EC33FC">
      <w:pPr>
        <w:widowControl w:val="0"/>
        <w:numPr>
          <w:ilvl w:val="0"/>
          <w:numId w:val="49"/>
        </w:numPr>
        <w:suppressAutoHyphens/>
        <w:spacing w:after="100" w:afterAutospacing="1" w:line="276" w:lineRule="auto"/>
        <w:ind w:left="1066" w:hanging="357"/>
        <w:jc w:val="both"/>
        <w:rPr>
          <w:rFonts w:eastAsia="Calibri"/>
          <w:color w:val="000000"/>
          <w:lang w:eastAsia="en-US"/>
        </w:rPr>
      </w:pPr>
      <w:r>
        <w:rPr>
          <w:rFonts w:eastAsia="Calibri"/>
          <w:color w:val="000000"/>
          <w:lang w:eastAsia="en-US"/>
        </w:rPr>
        <w:t>3 обезпечения на мляко и млечни продукти с общо тегло 57 941 кг. на обща стойност 40 779,47 лв.;</w:t>
      </w:r>
    </w:p>
    <w:p w:rsidR="00523AD6" w:rsidRPr="00EC33FC" w:rsidRDefault="00523AD6" w:rsidP="00EC33FC">
      <w:pPr>
        <w:widowControl w:val="0"/>
        <w:numPr>
          <w:ilvl w:val="0"/>
          <w:numId w:val="49"/>
        </w:numPr>
        <w:suppressAutoHyphens/>
        <w:spacing w:line="276" w:lineRule="auto"/>
        <w:ind w:left="1066" w:hanging="357"/>
        <w:jc w:val="both"/>
        <w:rPr>
          <w:rFonts w:eastAsia="Calibri"/>
          <w:color w:val="000000"/>
          <w:lang w:eastAsia="en-US"/>
        </w:rPr>
      </w:pPr>
      <w:r>
        <w:rPr>
          <w:rFonts w:eastAsia="Calibri"/>
          <w:color w:val="000000"/>
          <w:lang w:eastAsia="en-US"/>
        </w:rPr>
        <w:t>1 обезпечение на риба и ракообразни, мекотели и др. водни безгръбначни с общо тегло 20 500 кг. на обща стойност 24 231 лева</w:t>
      </w:r>
      <w:r w:rsidRPr="00EC33FC">
        <w:rPr>
          <w:rFonts w:eastAsia="Calibri"/>
          <w:color w:val="000000"/>
          <w:lang w:eastAsia="en-US"/>
        </w:rPr>
        <w:t>.</w:t>
      </w:r>
    </w:p>
    <w:p w:rsidR="00523AD6" w:rsidRDefault="00523AD6" w:rsidP="00523AD6">
      <w:pPr>
        <w:ind w:firstLine="709"/>
        <w:jc w:val="both"/>
        <w:rPr>
          <w:rFonts w:eastAsia="Calibri"/>
          <w:lang w:eastAsia="en-US"/>
        </w:rPr>
      </w:pPr>
      <w:r w:rsidRPr="009E221F">
        <w:rPr>
          <w:rFonts w:eastAsia="Calibri"/>
          <w:bCs/>
          <w:lang w:eastAsia="en-US"/>
        </w:rPr>
        <w:t xml:space="preserve">Общото количество стоки, отнети в полза на държавата за 2015 г. е </w:t>
      </w:r>
      <w:r w:rsidRPr="009E221F">
        <w:rPr>
          <w:rFonts w:eastAsia="Calibri"/>
          <w:lang w:eastAsia="en-US"/>
        </w:rPr>
        <w:t xml:space="preserve">185 615,78 кг.  </w:t>
      </w:r>
    </w:p>
    <w:p w:rsidR="009E221F" w:rsidRPr="009E221F" w:rsidRDefault="009E221F" w:rsidP="00523AD6">
      <w:pPr>
        <w:ind w:firstLine="709"/>
        <w:jc w:val="both"/>
        <w:rPr>
          <w:rFonts w:eastAsia="Calibri"/>
          <w:lang w:eastAsia="en-US"/>
        </w:rPr>
      </w:pPr>
    </w:p>
    <w:p w:rsidR="00523AD6" w:rsidRDefault="00523AD6" w:rsidP="009E221F">
      <w:pPr>
        <w:spacing w:before="120" w:after="120"/>
        <w:ind w:firstLine="709"/>
        <w:jc w:val="both"/>
        <w:rPr>
          <w:rFonts w:eastAsia="Calibri"/>
          <w:b/>
          <w:lang w:eastAsia="en-US"/>
        </w:rPr>
      </w:pPr>
      <w:r>
        <w:rPr>
          <w:rFonts w:eastAsia="Calibri"/>
          <w:b/>
          <w:lang w:eastAsia="en-US"/>
        </w:rPr>
        <w:t>2</w:t>
      </w:r>
      <w:r>
        <w:rPr>
          <w:rFonts w:eastAsia="Calibri"/>
          <w:b/>
          <w:lang w:val="en-US" w:eastAsia="en-US"/>
        </w:rPr>
        <w:t xml:space="preserve">.2. </w:t>
      </w:r>
      <w:r>
        <w:rPr>
          <w:rFonts w:eastAsia="Calibri"/>
          <w:b/>
          <w:lang w:eastAsia="en-US"/>
        </w:rPr>
        <w:t>Косвен ефект от дейността:</w:t>
      </w:r>
    </w:p>
    <w:p w:rsidR="00523AD6" w:rsidRDefault="00523AD6" w:rsidP="00523AD6">
      <w:pPr>
        <w:ind w:firstLine="709"/>
        <w:jc w:val="both"/>
        <w:rPr>
          <w:rFonts w:eastAsia="Calibri"/>
          <w:lang w:eastAsia="en-US"/>
        </w:rPr>
      </w:pPr>
      <w:r>
        <w:rPr>
          <w:rFonts w:eastAsia="Calibri"/>
          <w:lang w:eastAsia="en-US"/>
        </w:rPr>
        <w:t xml:space="preserve">Косвеният ефект от въвеждането на фискалния контрол </w:t>
      </w:r>
      <w:r w:rsidR="007014E9">
        <w:rPr>
          <w:rFonts w:eastAsia="Calibri"/>
          <w:lang w:eastAsia="en-US"/>
        </w:rPr>
        <w:t>с</w:t>
      </w:r>
      <w:r>
        <w:rPr>
          <w:rFonts w:eastAsia="Calibri"/>
          <w:lang w:eastAsia="en-US"/>
        </w:rPr>
        <w:t xml:space="preserve">е </w:t>
      </w:r>
      <w:r w:rsidR="007014E9">
        <w:rPr>
          <w:rFonts w:eastAsia="Calibri"/>
          <w:lang w:eastAsia="en-US"/>
        </w:rPr>
        <w:t>изразява в</w:t>
      </w:r>
      <w:r>
        <w:rPr>
          <w:rFonts w:eastAsia="Calibri"/>
          <w:lang w:eastAsia="en-US"/>
        </w:rPr>
        <w:t xml:space="preserve"> предприемане на ефективни мерки за защита на фиска чрез предотвратяване неплащането на ДДС, корпоративни данъци и ДДФЛ, както и ограничаване на нелоялната конкуренция и защита на българските производители на стоки с висок фискален риск (плодове и зеленчуци, захар, месо и месни продукти, мляко и млечни продукти и др.). Измененията, които бяха направени в ДОПК във връзка със създаването на новото звено разшириха обхвата на досега действащите фискални правила и наложиха допълнителни и засилени ограничения върху данъчните измами в дългосрочен план.</w:t>
      </w:r>
    </w:p>
    <w:p w:rsidR="00523AD6" w:rsidRDefault="00523AD6" w:rsidP="00523AD6">
      <w:pPr>
        <w:ind w:firstLine="709"/>
        <w:jc w:val="both"/>
        <w:rPr>
          <w:rFonts w:eastAsia="Calibri"/>
          <w:lang w:eastAsia="en-US"/>
        </w:rPr>
      </w:pPr>
      <w:r>
        <w:rPr>
          <w:rFonts w:eastAsia="Calibri"/>
          <w:lang w:eastAsia="en-US"/>
        </w:rPr>
        <w:t>Основният търсен ефект на фискалния контрол е превантивната му роля. Досега измамите се установяваха на по-късен етап с ревизии и беше много трудно да се съберат задълженията, тъй като фирмите се прехвърляха на лица, които не притежават активи и тези задължения ставаха несъбираеми. Фискалният контрол позволява при потенциален риск вземанията за бюджета да бъдат осигурени още преди да е реализирана стоката – или чрез представяне на обезпечение, или чрез конфискуване на самата стока.</w:t>
      </w:r>
    </w:p>
    <w:p w:rsidR="00523AD6" w:rsidRDefault="00523AD6" w:rsidP="00523AD6">
      <w:pPr>
        <w:ind w:firstLine="709"/>
        <w:jc w:val="both"/>
        <w:rPr>
          <w:rFonts w:eastAsia="Calibri"/>
          <w:lang w:eastAsia="en-US"/>
        </w:rPr>
      </w:pPr>
      <w:r>
        <w:rPr>
          <w:rFonts w:eastAsia="Calibri"/>
          <w:lang w:eastAsia="en-US"/>
        </w:rPr>
        <w:lastRenderedPageBreak/>
        <w:t>През 2014 г. бяха засечени задължени лица, търгуващи със захар и месо и месни продукти, участващи в организирани схеми за данъчни измами, които през 2015 г. бяха пресечени, като на участниците в схемите са възложени ревизионни производства, уведомена е прокуратурата, а някои от лицата са дерегистр</w:t>
      </w:r>
      <w:r w:rsidR="005D4D0C">
        <w:rPr>
          <w:rFonts w:eastAsia="Calibri"/>
          <w:lang w:eastAsia="en-US"/>
        </w:rPr>
        <w:t>ир</w:t>
      </w:r>
      <w:r>
        <w:rPr>
          <w:rFonts w:eastAsia="Calibri"/>
          <w:lang w:eastAsia="en-US"/>
        </w:rPr>
        <w:t>ани по ЗДДС.</w:t>
      </w:r>
    </w:p>
    <w:p w:rsidR="00523AD6" w:rsidRDefault="00523AD6" w:rsidP="00523AD6">
      <w:pPr>
        <w:ind w:firstLine="709"/>
        <w:jc w:val="both"/>
        <w:rPr>
          <w:rFonts w:eastAsia="Calibri"/>
          <w:lang w:eastAsia="en-US"/>
        </w:rPr>
      </w:pPr>
      <w:r>
        <w:rPr>
          <w:rFonts w:eastAsia="Calibri"/>
          <w:lang w:eastAsia="en-US"/>
        </w:rPr>
        <w:t>Създаден беше и механизъм по пресичане на кражби на чужда идентичност (ЕИК на задължено лице) на изрядни данъкоплатци, като за отговорните лица е уведомена прокуратурата.</w:t>
      </w:r>
    </w:p>
    <w:p w:rsidR="00523AD6" w:rsidRDefault="00523AD6" w:rsidP="00523AD6">
      <w:pPr>
        <w:spacing w:after="120"/>
        <w:ind w:firstLine="709"/>
        <w:jc w:val="both"/>
        <w:rPr>
          <w:rFonts w:eastAsia="Calibri"/>
          <w:lang w:eastAsia="en-US"/>
        </w:rPr>
      </w:pPr>
      <w:r>
        <w:rPr>
          <w:rFonts w:eastAsia="Calibri"/>
          <w:lang w:eastAsia="en-US"/>
        </w:rPr>
        <w:t>Предотвратен беше опит за фиктивен ВОД на 8 тона замразени пилешки бутчета. За случая са уведомени  органите на МВР.</w:t>
      </w:r>
    </w:p>
    <w:p w:rsidR="00523AD6" w:rsidRDefault="00523AD6" w:rsidP="009E221F">
      <w:pPr>
        <w:spacing w:before="120" w:after="120"/>
        <w:ind w:firstLine="709"/>
        <w:jc w:val="both"/>
        <w:rPr>
          <w:rFonts w:eastAsia="Calibri"/>
          <w:b/>
          <w:lang w:eastAsia="en-US"/>
        </w:rPr>
      </w:pPr>
      <w:r>
        <w:rPr>
          <w:rFonts w:eastAsia="Calibri"/>
          <w:b/>
          <w:lang w:eastAsia="en-US"/>
        </w:rPr>
        <w:t>3. Отчетена промяна в поведението на лицата, осъществяващи ВОП на стоки с висок фискален риск:</w:t>
      </w:r>
    </w:p>
    <w:p w:rsidR="00523AD6" w:rsidRDefault="00523AD6" w:rsidP="00EC33FC">
      <w:pPr>
        <w:widowControl w:val="0"/>
        <w:numPr>
          <w:ilvl w:val="0"/>
          <w:numId w:val="49"/>
        </w:numPr>
        <w:suppressAutoHyphens/>
        <w:ind w:left="1066" w:hanging="357"/>
        <w:jc w:val="both"/>
        <w:rPr>
          <w:rFonts w:eastAsia="Calibri"/>
          <w:color w:val="000000"/>
          <w:lang w:eastAsia="en-US"/>
        </w:rPr>
      </w:pPr>
      <w:r>
        <w:rPr>
          <w:rFonts w:eastAsia="Calibri"/>
          <w:color w:val="000000"/>
          <w:lang w:eastAsia="en-US"/>
        </w:rPr>
        <w:t xml:space="preserve">Ръст на декларираната данъчна основа от ЗЛ осъществили ВОП на стоки с висок фискален риск с 605,5 млн. лв. (16,5 %). (по данни от справки-декларации по ЗДДС, подадени </w:t>
      </w:r>
      <w:r w:rsidR="007014E9">
        <w:rPr>
          <w:rFonts w:eastAsia="Calibri"/>
          <w:color w:val="000000"/>
          <w:lang w:eastAsia="en-US"/>
        </w:rPr>
        <w:t xml:space="preserve">през </w:t>
      </w:r>
      <w:r>
        <w:rPr>
          <w:rFonts w:eastAsia="Calibri"/>
          <w:color w:val="000000"/>
          <w:lang w:eastAsia="en-US"/>
        </w:rPr>
        <w:t>2015 г., спрямо подадените данни за същия период на 2014 година);</w:t>
      </w:r>
    </w:p>
    <w:p w:rsidR="00523AD6" w:rsidRDefault="00523AD6" w:rsidP="00781B85">
      <w:pPr>
        <w:widowControl w:val="0"/>
        <w:numPr>
          <w:ilvl w:val="0"/>
          <w:numId w:val="49"/>
        </w:numPr>
        <w:suppressAutoHyphens/>
        <w:spacing w:after="200" w:line="276" w:lineRule="auto"/>
        <w:jc w:val="both"/>
        <w:rPr>
          <w:rFonts w:eastAsia="Calibri"/>
          <w:lang w:eastAsia="en-US"/>
        </w:rPr>
      </w:pPr>
      <w:r>
        <w:rPr>
          <w:rFonts w:eastAsia="Calibri"/>
          <w:color w:val="000000"/>
          <w:lang w:eastAsia="en-US"/>
        </w:rPr>
        <w:t>Ръст на приходите от данъци и задължителни осигурителни вноски на лицата с наложени обезпечения  с 53,3 млн. лв. (13,6 %) (2015 г., спрямо 2014 г.).</w:t>
      </w:r>
    </w:p>
    <w:p w:rsidR="00523AD6" w:rsidRDefault="00523AD6" w:rsidP="00523AD6">
      <w:pPr>
        <w:ind w:firstLine="708"/>
        <w:jc w:val="both"/>
        <w:rPr>
          <w:rFonts w:eastAsia="Calibri"/>
          <w:b/>
          <w:bCs/>
          <w:i/>
          <w:lang w:eastAsia="en-US"/>
        </w:rPr>
      </w:pPr>
      <w:r>
        <w:rPr>
          <w:rFonts w:eastAsia="Calibri"/>
          <w:bCs/>
          <w:lang w:eastAsia="en-US"/>
        </w:rPr>
        <w:t xml:space="preserve">Общата оценка от въвеждането на „Фискален контрол“ е следната: </w:t>
      </w:r>
      <w:r>
        <w:rPr>
          <w:rFonts w:eastAsia="Calibri"/>
          <w:b/>
          <w:bCs/>
          <w:i/>
          <w:lang w:eastAsia="en-US"/>
        </w:rPr>
        <w:t>Ръстът на декларираната данъчна основа при ВОП за 2015 г. спрямо 2014 г. е в размер на 605</w:t>
      </w:r>
      <w:r w:rsidR="007014E9">
        <w:rPr>
          <w:rFonts w:eastAsia="Calibri"/>
          <w:b/>
          <w:bCs/>
          <w:i/>
          <w:lang w:eastAsia="en-US"/>
        </w:rPr>
        <w:t xml:space="preserve">,5 млн. </w:t>
      </w:r>
      <w:r>
        <w:rPr>
          <w:rFonts w:eastAsia="Calibri"/>
          <w:b/>
          <w:bCs/>
          <w:i/>
          <w:lang w:eastAsia="en-US"/>
        </w:rPr>
        <w:t xml:space="preserve"> </w:t>
      </w:r>
      <w:r w:rsidR="00C97245">
        <w:rPr>
          <w:rFonts w:eastAsia="Calibri"/>
          <w:b/>
          <w:bCs/>
          <w:i/>
          <w:lang w:eastAsia="en-US"/>
        </w:rPr>
        <w:t xml:space="preserve">лв. </w:t>
      </w:r>
      <w:r>
        <w:rPr>
          <w:rFonts w:eastAsia="Calibri"/>
          <w:b/>
          <w:bCs/>
          <w:i/>
          <w:lang w:eastAsia="en-US"/>
        </w:rPr>
        <w:t>или 16,5 %.</w:t>
      </w:r>
    </w:p>
    <w:p w:rsidR="00523AD6" w:rsidRDefault="00523AD6" w:rsidP="00523AD6">
      <w:pPr>
        <w:ind w:firstLine="709"/>
        <w:jc w:val="both"/>
        <w:rPr>
          <w:rFonts w:eastAsia="Calibri"/>
          <w:b/>
          <w:bCs/>
          <w:i/>
          <w:lang w:eastAsia="en-US"/>
        </w:rPr>
      </w:pPr>
    </w:p>
    <w:tbl>
      <w:tblPr>
        <w:tblW w:w="4799" w:type="dxa"/>
        <w:tblInd w:w="2255" w:type="dxa"/>
        <w:tblLook w:val="04A0" w:firstRow="1" w:lastRow="0" w:firstColumn="1" w:lastColumn="0" w:noHBand="0" w:noVBand="1"/>
      </w:tblPr>
      <w:tblGrid>
        <w:gridCol w:w="2389"/>
        <w:gridCol w:w="2410"/>
      </w:tblGrid>
      <w:tr w:rsidR="00523AD6" w:rsidTr="00523AD6">
        <w:trPr>
          <w:trHeight w:val="675"/>
        </w:trPr>
        <w:tc>
          <w:tcPr>
            <w:tcW w:w="238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523AD6" w:rsidRDefault="00523AD6">
            <w:pPr>
              <w:jc w:val="center"/>
              <w:rPr>
                <w:b/>
                <w:bCs/>
                <w:color w:val="000000"/>
                <w:lang w:val="en-US" w:eastAsia="en-US"/>
              </w:rPr>
            </w:pPr>
            <w:r>
              <w:rPr>
                <w:b/>
                <w:bCs/>
                <w:color w:val="000000"/>
                <w:lang w:val="en-US" w:eastAsia="en-US"/>
              </w:rPr>
              <w:t>2014 г. ДО на ВОП</w:t>
            </w:r>
          </w:p>
        </w:tc>
        <w:tc>
          <w:tcPr>
            <w:tcW w:w="2410" w:type="dxa"/>
            <w:tcBorders>
              <w:top w:val="single" w:sz="4" w:space="0" w:color="auto"/>
              <w:left w:val="nil"/>
              <w:bottom w:val="single" w:sz="4" w:space="0" w:color="auto"/>
              <w:right w:val="single" w:sz="4" w:space="0" w:color="auto"/>
            </w:tcBorders>
            <w:shd w:val="clear" w:color="auto" w:fill="D9D9D9"/>
            <w:noWrap/>
            <w:vAlign w:val="center"/>
            <w:hideMark/>
          </w:tcPr>
          <w:p w:rsidR="00523AD6" w:rsidRDefault="00523AD6">
            <w:pPr>
              <w:jc w:val="center"/>
              <w:rPr>
                <w:b/>
                <w:bCs/>
                <w:color w:val="000000"/>
                <w:lang w:val="en-US" w:eastAsia="en-US"/>
              </w:rPr>
            </w:pPr>
            <w:r>
              <w:rPr>
                <w:b/>
                <w:bCs/>
                <w:color w:val="000000"/>
                <w:lang w:val="en-US" w:eastAsia="en-US"/>
              </w:rPr>
              <w:t>2015 г. ДО на ВОП</w:t>
            </w:r>
          </w:p>
        </w:tc>
      </w:tr>
      <w:tr w:rsidR="00523AD6" w:rsidTr="00523AD6">
        <w:trPr>
          <w:trHeight w:val="540"/>
        </w:trPr>
        <w:tc>
          <w:tcPr>
            <w:tcW w:w="2389" w:type="dxa"/>
            <w:tcBorders>
              <w:top w:val="nil"/>
              <w:left w:val="single" w:sz="4" w:space="0" w:color="auto"/>
              <w:bottom w:val="single" w:sz="4" w:space="0" w:color="auto"/>
              <w:right w:val="single" w:sz="4" w:space="0" w:color="auto"/>
            </w:tcBorders>
            <w:noWrap/>
            <w:vAlign w:val="center"/>
            <w:hideMark/>
          </w:tcPr>
          <w:p w:rsidR="00523AD6" w:rsidRPr="00EC33FC" w:rsidRDefault="00523AD6">
            <w:pPr>
              <w:jc w:val="center"/>
              <w:rPr>
                <w:color w:val="000000"/>
                <w:lang w:eastAsia="en-US"/>
              </w:rPr>
            </w:pPr>
            <w:r>
              <w:rPr>
                <w:color w:val="000000"/>
                <w:lang w:val="en-US" w:eastAsia="en-US"/>
              </w:rPr>
              <w:t>3 664 594</w:t>
            </w:r>
            <w:r w:rsidR="007014E9">
              <w:rPr>
                <w:color w:val="000000"/>
                <w:lang w:val="en-US" w:eastAsia="en-US"/>
              </w:rPr>
              <w:t> </w:t>
            </w:r>
            <w:r>
              <w:rPr>
                <w:color w:val="000000"/>
                <w:lang w:val="en-US" w:eastAsia="en-US"/>
              </w:rPr>
              <w:t>824</w:t>
            </w:r>
            <w:r w:rsidR="007014E9">
              <w:rPr>
                <w:color w:val="000000"/>
                <w:lang w:eastAsia="en-US"/>
              </w:rPr>
              <w:t xml:space="preserve"> лв.</w:t>
            </w:r>
          </w:p>
        </w:tc>
        <w:tc>
          <w:tcPr>
            <w:tcW w:w="2410" w:type="dxa"/>
            <w:tcBorders>
              <w:top w:val="nil"/>
              <w:left w:val="nil"/>
              <w:bottom w:val="single" w:sz="4" w:space="0" w:color="auto"/>
              <w:right w:val="single" w:sz="4" w:space="0" w:color="auto"/>
            </w:tcBorders>
            <w:noWrap/>
            <w:vAlign w:val="center"/>
            <w:hideMark/>
          </w:tcPr>
          <w:p w:rsidR="00523AD6" w:rsidRPr="00EC33FC" w:rsidRDefault="00523AD6">
            <w:pPr>
              <w:spacing w:before="100" w:beforeAutospacing="1" w:after="100" w:afterAutospacing="1"/>
              <w:jc w:val="center"/>
              <w:rPr>
                <w:color w:val="000000"/>
                <w:lang w:eastAsia="en-US"/>
              </w:rPr>
            </w:pPr>
            <w:r>
              <w:rPr>
                <w:color w:val="000000"/>
                <w:lang w:val="en-US" w:eastAsia="en-US"/>
              </w:rPr>
              <w:t>4 270 103</w:t>
            </w:r>
            <w:r w:rsidR="007014E9">
              <w:rPr>
                <w:color w:val="000000"/>
                <w:lang w:val="en-US" w:eastAsia="en-US"/>
              </w:rPr>
              <w:t> </w:t>
            </w:r>
            <w:r>
              <w:rPr>
                <w:color w:val="000000"/>
                <w:lang w:val="en-US" w:eastAsia="en-US"/>
              </w:rPr>
              <w:t>482</w:t>
            </w:r>
            <w:r w:rsidR="007014E9">
              <w:rPr>
                <w:color w:val="000000"/>
                <w:lang w:eastAsia="en-US"/>
              </w:rPr>
              <w:t xml:space="preserve"> лв.</w:t>
            </w:r>
          </w:p>
        </w:tc>
      </w:tr>
    </w:tbl>
    <w:p w:rsidR="00523AD6" w:rsidRDefault="00523AD6" w:rsidP="00523AD6">
      <w:pPr>
        <w:ind w:firstLine="709"/>
        <w:jc w:val="both"/>
        <w:rPr>
          <w:rFonts w:eastAsia="Calibri"/>
          <w:bCs/>
          <w:lang w:eastAsia="en-US"/>
        </w:rPr>
      </w:pPr>
      <w:r>
        <w:rPr>
          <w:rFonts w:eastAsia="Calibri"/>
          <w:bCs/>
          <w:lang w:eastAsia="en-US"/>
        </w:rPr>
        <w:tab/>
      </w:r>
      <w:r>
        <w:rPr>
          <w:rFonts w:eastAsia="Calibri"/>
          <w:bCs/>
          <w:lang w:eastAsia="en-US"/>
        </w:rPr>
        <w:tab/>
      </w:r>
      <w:r>
        <w:rPr>
          <w:rFonts w:eastAsia="Calibri"/>
          <w:bCs/>
          <w:lang w:eastAsia="en-US"/>
        </w:rPr>
        <w:tab/>
      </w:r>
      <w:r>
        <w:rPr>
          <w:rFonts w:eastAsia="Calibri"/>
          <w:bCs/>
          <w:lang w:eastAsia="en-US"/>
        </w:rPr>
        <w:tab/>
      </w:r>
      <w:r>
        <w:rPr>
          <w:rFonts w:eastAsia="Calibri"/>
          <w:bCs/>
          <w:lang w:eastAsia="en-US"/>
        </w:rPr>
        <w:tab/>
      </w:r>
      <w:r>
        <w:rPr>
          <w:rFonts w:eastAsia="Calibri"/>
          <w:bCs/>
          <w:lang w:eastAsia="en-US"/>
        </w:rPr>
        <w:tab/>
        <w:t xml:space="preserve">    </w:t>
      </w:r>
      <w:r>
        <w:rPr>
          <w:rFonts w:eastAsia="Calibri"/>
          <w:i/>
          <w:lang w:eastAsia="en-US"/>
        </w:rPr>
        <w:t>Източник: НАП</w:t>
      </w:r>
    </w:p>
    <w:p w:rsidR="00523AD6" w:rsidRDefault="00523AD6" w:rsidP="00523AD6">
      <w:pPr>
        <w:spacing w:after="200" w:line="276" w:lineRule="auto"/>
        <w:rPr>
          <w:rFonts w:ascii="Calibri" w:eastAsia="Calibri" w:hAnsi="Calibri"/>
          <w:sz w:val="22"/>
          <w:szCs w:val="21"/>
          <w:lang w:eastAsia="en-US"/>
        </w:rPr>
      </w:pPr>
      <w:r>
        <w:rPr>
          <w:rFonts w:ascii="Calibri" w:eastAsia="Calibri" w:hAnsi="Calibri"/>
          <w:b/>
          <w:sz w:val="22"/>
          <w:szCs w:val="22"/>
          <w:lang w:eastAsia="en-US"/>
        </w:rPr>
        <w:t xml:space="preserve">     </w:t>
      </w:r>
      <w:r>
        <w:rPr>
          <w:rFonts w:ascii="Calibri" w:eastAsia="Calibri" w:hAnsi="Calibri"/>
          <w:sz w:val="22"/>
          <w:szCs w:val="21"/>
          <w:lang w:eastAsia="en-US"/>
        </w:rPr>
        <w:t xml:space="preserve">                   </w:t>
      </w:r>
    </w:p>
    <w:p w:rsidR="00523AD6" w:rsidRDefault="00523AD6" w:rsidP="00523AD6">
      <w:pPr>
        <w:spacing w:after="200" w:line="276" w:lineRule="auto"/>
        <w:rPr>
          <w:rFonts w:eastAsia="Calibri"/>
          <w:i/>
          <w:lang w:eastAsia="en-US"/>
        </w:rPr>
      </w:pPr>
      <w:r>
        <w:rPr>
          <w:rFonts w:ascii="Calibri" w:eastAsia="Calibri" w:hAnsi="Calibri"/>
          <w:b/>
          <w:sz w:val="22"/>
          <w:szCs w:val="22"/>
          <w:lang w:eastAsia="en-US"/>
        </w:rPr>
        <w:t xml:space="preserve">                           </w:t>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r>
      <w:r>
        <w:rPr>
          <w:rFonts w:ascii="Calibri" w:eastAsia="Calibri" w:hAnsi="Calibri"/>
          <w:b/>
          <w:sz w:val="22"/>
          <w:szCs w:val="22"/>
          <w:lang w:eastAsia="en-US"/>
        </w:rPr>
        <w:tab/>
        <w:t xml:space="preserve">            </w:t>
      </w:r>
    </w:p>
    <w:p w:rsidR="00523AD6" w:rsidRDefault="00523AD6" w:rsidP="00EC33FC">
      <w:pPr>
        <w:widowControl w:val="0"/>
        <w:numPr>
          <w:ilvl w:val="0"/>
          <w:numId w:val="49"/>
        </w:numPr>
        <w:suppressAutoHyphens/>
        <w:jc w:val="both"/>
        <w:rPr>
          <w:rFonts w:eastAsia="Calibri"/>
          <w:color w:val="000000"/>
          <w:lang w:eastAsia="en-US"/>
        </w:rPr>
      </w:pPr>
      <w:r>
        <w:rPr>
          <w:rFonts w:eastAsia="Calibri"/>
          <w:color w:val="000000"/>
          <w:lang w:eastAsia="en-US"/>
        </w:rPr>
        <w:t>За 2014 г., при сделките в страната, се наблюдава намаление на декларираната данъчна основа в размер на 2</w:t>
      </w:r>
      <w:r w:rsidR="007014E9">
        <w:rPr>
          <w:rFonts w:eastAsia="Calibri"/>
          <w:color w:val="000000"/>
          <w:lang w:eastAsia="en-US"/>
        </w:rPr>
        <w:t> </w:t>
      </w:r>
      <w:r>
        <w:rPr>
          <w:rFonts w:eastAsia="Calibri"/>
          <w:color w:val="000000"/>
          <w:lang w:eastAsia="en-US"/>
        </w:rPr>
        <w:t>190</w:t>
      </w:r>
      <w:r w:rsidR="007014E9">
        <w:rPr>
          <w:rFonts w:eastAsia="Calibri"/>
          <w:color w:val="000000"/>
          <w:lang w:eastAsia="en-US"/>
        </w:rPr>
        <w:t>,4 млн. лв.</w:t>
      </w:r>
      <w:r>
        <w:rPr>
          <w:rFonts w:eastAsia="Calibri"/>
          <w:color w:val="000000"/>
          <w:lang w:eastAsia="en-US"/>
        </w:rPr>
        <w:t xml:space="preserve"> или 1,2 %;</w:t>
      </w:r>
    </w:p>
    <w:p w:rsidR="00523AD6" w:rsidRDefault="00523AD6" w:rsidP="00EC33FC">
      <w:pPr>
        <w:widowControl w:val="0"/>
        <w:numPr>
          <w:ilvl w:val="0"/>
          <w:numId w:val="49"/>
        </w:numPr>
        <w:suppressAutoHyphens/>
        <w:ind w:left="1066" w:hanging="357"/>
        <w:jc w:val="both"/>
        <w:rPr>
          <w:rFonts w:eastAsia="Calibri"/>
          <w:color w:val="000000"/>
          <w:lang w:eastAsia="en-US"/>
        </w:rPr>
      </w:pPr>
      <w:r>
        <w:rPr>
          <w:rFonts w:eastAsia="Calibri"/>
          <w:color w:val="000000"/>
          <w:lang w:eastAsia="en-US"/>
        </w:rPr>
        <w:t>За 2015 г., при сделките в страната, се наблюдава увеличение на декларираната данъчна основа в размер на 7</w:t>
      </w:r>
      <w:r w:rsidR="007014E9">
        <w:rPr>
          <w:rFonts w:eastAsia="Calibri"/>
          <w:color w:val="000000"/>
          <w:lang w:eastAsia="en-US"/>
        </w:rPr>
        <w:t> </w:t>
      </w:r>
      <w:r>
        <w:rPr>
          <w:rFonts w:eastAsia="Calibri"/>
          <w:color w:val="000000"/>
          <w:lang w:eastAsia="en-US"/>
        </w:rPr>
        <w:t>325</w:t>
      </w:r>
      <w:r w:rsidR="007014E9">
        <w:rPr>
          <w:rFonts w:eastAsia="Calibri"/>
          <w:color w:val="000000"/>
          <w:lang w:eastAsia="en-US"/>
        </w:rPr>
        <w:t>,6 млн. лв.</w:t>
      </w:r>
      <w:r>
        <w:rPr>
          <w:rFonts w:eastAsia="Calibri"/>
          <w:color w:val="000000"/>
          <w:lang w:eastAsia="en-US"/>
        </w:rPr>
        <w:t xml:space="preserve"> или 4,0 %.</w:t>
      </w:r>
    </w:p>
    <w:p w:rsidR="00523AD6" w:rsidRDefault="00523AD6" w:rsidP="009E221F">
      <w:pPr>
        <w:tabs>
          <w:tab w:val="left" w:pos="709"/>
        </w:tabs>
        <w:spacing w:before="120" w:after="120"/>
        <w:ind w:firstLine="709"/>
        <w:jc w:val="both"/>
        <w:rPr>
          <w:rFonts w:eastAsia="Calibri"/>
          <w:lang w:eastAsia="en-US"/>
        </w:rPr>
      </w:pPr>
      <w:r>
        <w:rPr>
          <w:rFonts w:eastAsia="Calibri"/>
          <w:b/>
          <w:lang w:eastAsia="en-US"/>
        </w:rPr>
        <w:t>4. С</w:t>
      </w:r>
      <w:r>
        <w:rPr>
          <w:rFonts w:eastAsia="Calibri"/>
          <w:b/>
          <w:bCs/>
          <w:color w:val="000000"/>
          <w:lang w:eastAsia="en-US"/>
        </w:rPr>
        <w:t>ъставени актове за установяване на административни нарушения</w:t>
      </w:r>
    </w:p>
    <w:p w:rsidR="00523AD6" w:rsidRDefault="0014737F" w:rsidP="00523AD6">
      <w:pPr>
        <w:tabs>
          <w:tab w:val="left" w:pos="709"/>
        </w:tabs>
        <w:ind w:firstLine="709"/>
        <w:jc w:val="both"/>
        <w:rPr>
          <w:rFonts w:eastAsia="Calibri"/>
          <w:color w:val="FF0000"/>
          <w:lang w:eastAsia="en-US"/>
        </w:rPr>
      </w:pPr>
      <w:r>
        <w:rPr>
          <w:rFonts w:eastAsia="Calibri"/>
          <w:bCs/>
          <w:color w:val="000000"/>
          <w:lang w:eastAsia="en-US"/>
        </w:rPr>
        <w:t>През</w:t>
      </w:r>
      <w:r w:rsidR="00523AD6">
        <w:rPr>
          <w:rFonts w:eastAsia="Calibri"/>
          <w:bCs/>
          <w:color w:val="000000"/>
          <w:lang w:eastAsia="en-US"/>
        </w:rPr>
        <w:t>.2015 г., органите по приходите от дирекция „Фискален контрол“ са съставили 160 броя актове за установяване на административни нарушения /АУАН/, въз основа на които са издадени 101 броя наказателни постановления с обща стойност на наложените административни наказания или имуществени санкции в размер на 197 000 лева. По данни от регистър „Административнонаказателни преписки“, влезлите в сила наказателни постановления са 32 броя, с обща стойност на наложените административни наказания или имуществени санкции в размер на 71 000 лева.</w:t>
      </w:r>
      <w:r w:rsidR="00523AD6">
        <w:rPr>
          <w:rFonts w:eastAsia="Calibri"/>
          <w:color w:val="FF0000"/>
          <w:lang w:eastAsia="en-US"/>
        </w:rPr>
        <w:t xml:space="preserve"> </w:t>
      </w:r>
    </w:p>
    <w:p w:rsidR="00523AD6" w:rsidRDefault="00523AD6" w:rsidP="00523AD6">
      <w:pPr>
        <w:spacing w:after="120"/>
        <w:ind w:right="-6" w:firstLine="709"/>
        <w:jc w:val="both"/>
        <w:rPr>
          <w:rFonts w:eastAsia="Calibri"/>
          <w:lang w:eastAsia="en-US"/>
        </w:rPr>
      </w:pPr>
      <w:r>
        <w:rPr>
          <w:rFonts w:eastAsia="Calibri"/>
          <w:color w:val="000000"/>
          <w:lang w:eastAsia="en-US"/>
        </w:rPr>
        <w:t> </w:t>
      </w:r>
      <w:r>
        <w:rPr>
          <w:rFonts w:eastAsia="Calibri"/>
          <w:lang w:eastAsia="en-US"/>
        </w:rPr>
        <w:t>През месец май 2015 г. беше създаден съвместен междуведомствен координационен център между НАП, МВР, ДАНС, Прокуратурата и Агенция „Митници“ и Агенция „Автомобилна администрация“, който наблюдава стоковите потоци на рискови стоки и следи за потенциални данъчни злоупотреби.</w:t>
      </w:r>
    </w:p>
    <w:p w:rsidR="00523AD6" w:rsidRDefault="00523AD6" w:rsidP="00523AD6">
      <w:pPr>
        <w:tabs>
          <w:tab w:val="left" w:pos="993"/>
        </w:tabs>
        <w:spacing w:after="120"/>
        <w:ind w:firstLine="709"/>
        <w:jc w:val="both"/>
        <w:rPr>
          <w:rFonts w:ascii="Calibri" w:eastAsia="Calibri" w:hAnsi="Calibri"/>
          <w:bCs/>
          <w:sz w:val="22"/>
          <w:szCs w:val="22"/>
          <w:lang w:eastAsia="en-US"/>
        </w:rPr>
      </w:pPr>
      <w:r>
        <w:rPr>
          <w:rFonts w:eastAsia="Calibri"/>
          <w:b/>
          <w:i/>
          <w:u w:val="single"/>
          <w:lang w:eastAsia="en-US"/>
        </w:rPr>
        <w:lastRenderedPageBreak/>
        <w:t>V. Продажба на конфискувани, отнети и изоставени в полза на държавата имущества</w:t>
      </w:r>
    </w:p>
    <w:p w:rsidR="00523AD6" w:rsidRDefault="00523AD6" w:rsidP="00523AD6">
      <w:pPr>
        <w:ind w:firstLine="709"/>
        <w:jc w:val="both"/>
        <w:rPr>
          <w:rFonts w:eastAsia="Calibri"/>
          <w:lang w:eastAsia="en-US"/>
        </w:rPr>
      </w:pPr>
      <w:r>
        <w:rPr>
          <w:rFonts w:eastAsia="Calibri"/>
          <w:b/>
          <w:lang w:eastAsia="en-US"/>
        </w:rPr>
        <w:t>1</w:t>
      </w:r>
      <w:r>
        <w:rPr>
          <w:rFonts w:eastAsia="Calibri"/>
          <w:b/>
          <w:lang w:val="en-US" w:eastAsia="en-US"/>
        </w:rPr>
        <w:t xml:space="preserve">. </w:t>
      </w:r>
      <w:r>
        <w:rPr>
          <w:rFonts w:eastAsia="Calibri"/>
          <w:b/>
          <w:lang w:eastAsia="en-US"/>
        </w:rPr>
        <w:t>Действия по реализация на конфискувани, отнети и изоставени в полза на държавата имущества и имущества, придобити от държавата в производство по несъстоятелност</w:t>
      </w:r>
    </w:p>
    <w:p w:rsidR="00523AD6" w:rsidRDefault="00523AD6" w:rsidP="00523AD6">
      <w:pPr>
        <w:ind w:firstLine="709"/>
        <w:jc w:val="both"/>
        <w:rPr>
          <w:rFonts w:eastAsia="Calibri"/>
          <w:lang w:eastAsia="en-US"/>
        </w:rPr>
      </w:pPr>
      <w:r>
        <w:rPr>
          <w:rFonts w:eastAsia="Calibri"/>
          <w:lang w:eastAsia="en-US"/>
        </w:rPr>
        <w:t xml:space="preserve">Приходите от продажба на конфискувани, отнети и изоставени в полза на държавата имущества и имущества, придобити от държавата в производство по несъстоятелност от различни източници за 2015 г., са в размер </w:t>
      </w:r>
      <w:r>
        <w:rPr>
          <w:rFonts w:eastAsia="Calibri"/>
          <w:color w:val="000000"/>
          <w:lang w:eastAsia="en-US"/>
        </w:rPr>
        <w:t>на 4,4 млн</w:t>
      </w:r>
      <w:r>
        <w:rPr>
          <w:rFonts w:eastAsia="Calibri"/>
          <w:lang w:eastAsia="en-US"/>
        </w:rPr>
        <w:t>. лева.</w:t>
      </w:r>
    </w:p>
    <w:p w:rsidR="00523AD6" w:rsidRDefault="00523AD6" w:rsidP="00523AD6">
      <w:pPr>
        <w:ind w:firstLine="709"/>
        <w:jc w:val="both"/>
        <w:rPr>
          <w:rFonts w:eastAsia="Calibri"/>
          <w:b/>
          <w:color w:val="000000"/>
          <w:lang w:eastAsia="en-US"/>
        </w:rPr>
      </w:pPr>
      <w:r>
        <w:rPr>
          <w:rFonts w:eastAsia="Calibri"/>
          <w:color w:val="000000"/>
          <w:lang w:eastAsia="en-US"/>
        </w:rPr>
        <w:t>Със заповеди на директорите на ТД на НАП и на изпълнителния директор на НАП са предоставени безвъзмездно на бюджетни организации и на БЧК 39 тона храни на стойност</w:t>
      </w:r>
      <w:r>
        <w:rPr>
          <w:rFonts w:eastAsia="Calibri"/>
          <w:b/>
          <w:color w:val="000000"/>
          <w:lang w:eastAsia="en-US"/>
        </w:rPr>
        <w:t xml:space="preserve"> </w:t>
      </w:r>
      <w:r>
        <w:rPr>
          <w:rFonts w:eastAsia="Calibri"/>
          <w:color w:val="000000"/>
          <w:lang w:eastAsia="en-US"/>
        </w:rPr>
        <w:t>0,</w:t>
      </w:r>
      <w:r>
        <w:rPr>
          <w:rFonts w:eastAsia="Calibri"/>
          <w:color w:val="000000"/>
          <w:lang w:val="en-US" w:eastAsia="en-US"/>
        </w:rPr>
        <w:t>1</w:t>
      </w:r>
      <w:r>
        <w:rPr>
          <w:rFonts w:eastAsia="Calibri"/>
          <w:color w:val="000000"/>
          <w:lang w:eastAsia="en-US"/>
        </w:rPr>
        <w:t xml:space="preserve"> млн. лева. С решение на Министерския съвет един имот е предоставен за управление на Министерство на правосъдието за нуждите на Агенцията по вписванията.</w:t>
      </w:r>
    </w:p>
    <w:p w:rsidR="00523AD6" w:rsidRDefault="00523AD6" w:rsidP="00523AD6">
      <w:pPr>
        <w:ind w:firstLine="709"/>
        <w:jc w:val="both"/>
        <w:rPr>
          <w:rFonts w:eastAsia="Calibri"/>
          <w:color w:val="000000"/>
          <w:lang w:eastAsia="en-US"/>
        </w:rPr>
      </w:pPr>
      <w:r>
        <w:rPr>
          <w:rFonts w:eastAsia="Calibri"/>
          <w:lang w:eastAsia="en-US"/>
        </w:rPr>
        <w:t xml:space="preserve">От търгове, проведени по реда на ДОПК, са реализирани приходи </w:t>
      </w:r>
      <w:r w:rsidR="0014737F">
        <w:rPr>
          <w:rFonts w:eastAsia="Calibri"/>
          <w:lang w:eastAsia="en-US"/>
        </w:rPr>
        <w:t>в размер на</w:t>
      </w:r>
      <w:r>
        <w:rPr>
          <w:rFonts w:eastAsia="Calibri"/>
          <w:lang w:eastAsia="en-US"/>
        </w:rPr>
        <w:t xml:space="preserve"> 3</w:t>
      </w:r>
      <w:r w:rsidR="0014737F">
        <w:rPr>
          <w:rFonts w:eastAsia="Calibri"/>
          <w:lang w:eastAsia="en-US"/>
        </w:rPr>
        <w:t>,0</w:t>
      </w:r>
      <w:r>
        <w:rPr>
          <w:rFonts w:eastAsia="Calibri"/>
          <w:lang w:eastAsia="en-US"/>
        </w:rPr>
        <w:t xml:space="preserve"> млн. лева. </w:t>
      </w:r>
      <w:r>
        <w:rPr>
          <w:rFonts w:eastAsia="Calibri"/>
          <w:color w:val="000000"/>
          <w:lang w:eastAsia="en-US"/>
        </w:rPr>
        <w:t xml:space="preserve">От тях 1,3 млн. лв. са от продажба на имущества, възложени на НАП по реда на Закона за отнемане в полза на държавата на незаконно придобито имущество. </w:t>
      </w:r>
      <w:r>
        <w:rPr>
          <w:rFonts w:eastAsia="Calibri"/>
          <w:lang w:eastAsia="en-US"/>
        </w:rPr>
        <w:t>От и</w:t>
      </w:r>
      <w:r>
        <w:rPr>
          <w:rFonts w:eastAsia="Calibri"/>
          <w:color w:val="000000"/>
          <w:lang w:eastAsia="en-US"/>
        </w:rPr>
        <w:t>мущества, изоставени в полза на държавата в резултат на осъществен фискален контрол от НАП, са реализирани приходи от продажби чрез пряко договаряне за 0,1 млн. лева.</w:t>
      </w:r>
      <w:r>
        <w:rPr>
          <w:rFonts w:eastAsia="Calibri"/>
          <w:lang w:eastAsia="en-US"/>
        </w:rPr>
        <w:t xml:space="preserve"> </w:t>
      </w:r>
      <w:r>
        <w:rPr>
          <w:rFonts w:eastAsia="Calibri"/>
          <w:color w:val="000000"/>
          <w:lang w:eastAsia="en-US"/>
        </w:rPr>
        <w:t>Конфискуваните или отнети парични средства, реализирани от НАП, са в размер на 0,2 млн. лева.</w:t>
      </w:r>
    </w:p>
    <w:p w:rsidR="00523AD6" w:rsidRDefault="00523AD6" w:rsidP="00523AD6">
      <w:pPr>
        <w:ind w:firstLine="709"/>
        <w:jc w:val="both"/>
        <w:rPr>
          <w:rFonts w:eastAsia="Calibri"/>
          <w:lang w:eastAsia="en-US"/>
        </w:rPr>
      </w:pPr>
      <w:r>
        <w:rPr>
          <w:rFonts w:eastAsia="Calibri"/>
          <w:lang w:eastAsia="en-US"/>
        </w:rPr>
        <w:t xml:space="preserve">Основната част от приходите е формирана от вещи, които са приети от НАП по актове на органи на съдебната власт (съд и прокуратура) и Агенция „Митници“. Значителна част от тези постъпления са от продажбата на отнети в полза на държавата имоти. По отношение на недвижимите имоти продължава тенденцията за трудна реализация, предвид няколкогодишната криза на този пазар. Влияние в тази посока оказват и обстоятелствата, свързани с лошото състояние на конфискуваните и отнети в полза на държавата имоти, наличието на тежести върху част от тях /ипотеки, възбрани/, както и лошата слава на бившите им собственици. </w:t>
      </w:r>
    </w:p>
    <w:p w:rsidR="00523AD6" w:rsidRDefault="00523AD6" w:rsidP="00523AD6">
      <w:pPr>
        <w:ind w:firstLine="709"/>
        <w:jc w:val="both"/>
        <w:rPr>
          <w:rFonts w:eastAsia="Calibri"/>
          <w:lang w:val="en-US" w:eastAsia="en-US"/>
        </w:rPr>
      </w:pPr>
      <w:r>
        <w:rPr>
          <w:rFonts w:eastAsia="Calibri"/>
          <w:lang w:eastAsia="en-US"/>
        </w:rPr>
        <w:t xml:space="preserve">Продължава трайната тенденция към намаляване на приходите от продажба на конфискувани и отнети в полза на държавата благородни метали, вследствие на рязко намаляване на отнетите </w:t>
      </w:r>
      <w:r>
        <w:rPr>
          <w:rFonts w:eastAsia="Calibri"/>
          <w:color w:val="000000"/>
          <w:lang w:eastAsia="en-US"/>
        </w:rPr>
        <w:t>количества. Относителният дял на приходите от реализация на изделия от благородни метали е 17 % от общия годишен приход за 2015 година. За сравнение, през 2014 г. е бил 27,1 %, а през 2013 г. – 69,3 %, от общия годишен приход.</w:t>
      </w:r>
    </w:p>
    <w:p w:rsidR="00523AD6" w:rsidRDefault="00523AD6" w:rsidP="00523AD6">
      <w:pPr>
        <w:spacing w:after="120"/>
        <w:ind w:firstLine="709"/>
        <w:jc w:val="both"/>
        <w:rPr>
          <w:rFonts w:eastAsia="Calibri"/>
          <w:b/>
          <w:color w:val="000000"/>
          <w:lang w:eastAsia="en-US"/>
        </w:rPr>
      </w:pPr>
      <w:r>
        <w:rPr>
          <w:rFonts w:eastAsia="Calibri"/>
          <w:lang w:eastAsia="en-US"/>
        </w:rPr>
        <w:t xml:space="preserve">През 2015 г. са изготвени конкретни предложения за промени в ДОПК и ЗНАП, насочени към оптимизиране на процесите по реализация на конфискувани, отнети и изоставени в полза на държавата имущества. Същите са приети от Народното събрание на Република България на 04.12.2015 г. и са в сила, считано от 01.01.2016 година. С тях се увеличава чувствително бързината на тръжните процедури, намалява се броят на търговете, въвежда се задължително връчването на документи по електронен път и други. Подписани са и инструкции за взаимодействие и обмен на информация с Комисията за защита на потребителите и Държавната агенция за метрологичен и технически надзор. Разработена е концепция за извършване на електронни продажби на конфискувани, отнети и изоставени в полза на държавата имущества и на имущества на длъжници към държавата, реализирани в изпълнителното производство по реда на ДОПК. </w:t>
      </w:r>
      <w:r>
        <w:rPr>
          <w:rFonts w:eastAsia="Calibri"/>
          <w:b/>
          <w:color w:val="000000"/>
          <w:lang w:eastAsia="en-US"/>
        </w:rPr>
        <w:tab/>
      </w:r>
    </w:p>
    <w:p w:rsidR="00523AD6" w:rsidRDefault="00523AD6" w:rsidP="00523AD6">
      <w:pPr>
        <w:ind w:firstLine="709"/>
        <w:jc w:val="both"/>
        <w:rPr>
          <w:rFonts w:eastAsia="Calibri"/>
          <w:b/>
          <w:color w:val="000000"/>
          <w:lang w:eastAsia="en-US"/>
        </w:rPr>
      </w:pPr>
      <w:r>
        <w:rPr>
          <w:rFonts w:eastAsia="Calibri"/>
          <w:b/>
          <w:color w:val="000000"/>
          <w:lang w:eastAsia="en-US"/>
        </w:rPr>
        <w:t>2</w:t>
      </w:r>
      <w:r>
        <w:rPr>
          <w:rFonts w:eastAsia="Calibri"/>
          <w:b/>
          <w:color w:val="000000"/>
          <w:lang w:val="en-US" w:eastAsia="en-US"/>
        </w:rPr>
        <w:t xml:space="preserve">. </w:t>
      </w:r>
      <w:r>
        <w:rPr>
          <w:rFonts w:eastAsia="Calibri"/>
          <w:b/>
          <w:color w:val="000000"/>
          <w:lang w:eastAsia="en-US"/>
        </w:rPr>
        <w:t>Действия по събиране на публични вземания в производствата по несъстоятелност</w:t>
      </w:r>
    </w:p>
    <w:p w:rsidR="00523AD6" w:rsidRDefault="00523AD6" w:rsidP="00523AD6">
      <w:pPr>
        <w:ind w:firstLine="709"/>
        <w:jc w:val="both"/>
        <w:rPr>
          <w:rFonts w:eastAsia="Calibri"/>
          <w:b/>
          <w:color w:val="000000"/>
          <w:lang w:eastAsia="en-US"/>
        </w:rPr>
      </w:pPr>
      <w:r>
        <w:rPr>
          <w:rFonts w:eastAsia="Calibri"/>
          <w:bCs/>
          <w:lang w:eastAsia="en-US"/>
        </w:rPr>
        <w:t xml:space="preserve">НАП осъществява процесуално представителство на държавата в производствата по несъстоятелност, в които държавата е кредитор (чл. 3, ал.1, т.10 от ЗНАП). </w:t>
      </w:r>
    </w:p>
    <w:p w:rsidR="00523AD6" w:rsidRDefault="00523AD6" w:rsidP="00796806">
      <w:pPr>
        <w:ind w:firstLine="709"/>
        <w:jc w:val="both"/>
        <w:rPr>
          <w:rFonts w:eastAsia="Calibri"/>
          <w:bCs/>
          <w:lang w:eastAsia="en-US"/>
        </w:rPr>
      </w:pPr>
      <w:r>
        <w:rPr>
          <w:rFonts w:eastAsia="Calibri"/>
          <w:bCs/>
          <w:lang w:eastAsia="en-US"/>
        </w:rPr>
        <w:t>Събраните публични вземания от търговци в открити производства по несъстоятелност за 201</w:t>
      </w:r>
      <w:r>
        <w:rPr>
          <w:rFonts w:eastAsia="Calibri"/>
          <w:bCs/>
          <w:lang w:val="en-US" w:eastAsia="en-US"/>
        </w:rPr>
        <w:t>5</w:t>
      </w:r>
      <w:r>
        <w:rPr>
          <w:rFonts w:eastAsia="Calibri"/>
          <w:bCs/>
          <w:lang w:eastAsia="en-US"/>
        </w:rPr>
        <w:t xml:space="preserve"> г. са в размер на 7,8 млн. лева.</w:t>
      </w:r>
      <w:r w:rsidR="00796806">
        <w:rPr>
          <w:rFonts w:eastAsia="Calibri"/>
          <w:bCs/>
          <w:lang w:eastAsia="en-US"/>
        </w:rPr>
        <w:t xml:space="preserve"> </w:t>
      </w:r>
      <w:r>
        <w:rPr>
          <w:rFonts w:eastAsia="Calibri"/>
          <w:bCs/>
          <w:lang w:eastAsia="en-US"/>
        </w:rPr>
        <w:t xml:space="preserve">Събраните суми са формирани от разпределение на суми в производството по несъстоятелност, в резултат от осребряване на </w:t>
      </w:r>
      <w:r>
        <w:rPr>
          <w:rFonts w:eastAsia="Calibri"/>
          <w:bCs/>
          <w:lang w:eastAsia="en-US"/>
        </w:rPr>
        <w:lastRenderedPageBreak/>
        <w:t xml:space="preserve">имущества на несъстоятелни търговци – </w:t>
      </w:r>
      <w:r>
        <w:rPr>
          <w:rFonts w:eastAsia="Calibri"/>
          <w:bCs/>
          <w:lang w:val="en-US" w:eastAsia="en-US"/>
        </w:rPr>
        <w:t>4</w:t>
      </w:r>
      <w:r>
        <w:rPr>
          <w:rFonts w:eastAsia="Calibri"/>
          <w:bCs/>
          <w:lang w:eastAsia="en-US"/>
        </w:rPr>
        <w:t>,8 млн. лв., а от изпълнение на утвърдени оздравителни планове – 3 млн. лева.</w:t>
      </w:r>
      <w:r w:rsidR="00796806">
        <w:rPr>
          <w:rFonts w:eastAsia="Calibri"/>
          <w:bCs/>
          <w:lang w:eastAsia="en-US"/>
        </w:rPr>
        <w:t xml:space="preserve"> </w:t>
      </w:r>
      <w:r>
        <w:rPr>
          <w:rFonts w:eastAsia="Calibri"/>
          <w:bCs/>
          <w:lang w:eastAsia="en-US"/>
        </w:rPr>
        <w:t xml:space="preserve">С оглед повишаване ефективността на процеса по откриване на производство по несъстоятелност по молба на НАП, след селекция през изминалата година бяха предприети действия по откриване на производство по несъстоятелност срещу търговци с размер на публичните вземания над 1 млн. лева. НАП е депозирала 41 молби за откриване на производство по несъстоятелност за публичноправни вземания в размер на 227,8 млн. лева. </w:t>
      </w:r>
    </w:p>
    <w:p w:rsidR="00523AD6" w:rsidRDefault="00523AD6" w:rsidP="00523AD6">
      <w:pPr>
        <w:keepNext/>
        <w:spacing w:after="120"/>
        <w:ind w:firstLine="709"/>
        <w:jc w:val="both"/>
        <w:rPr>
          <w:rFonts w:eastAsia="Calibri"/>
          <w:bCs/>
          <w:color w:val="000000"/>
          <w:lang w:eastAsia="en-US"/>
        </w:rPr>
      </w:pPr>
      <w:r>
        <w:rPr>
          <w:rFonts w:eastAsia="Calibri"/>
          <w:bCs/>
          <w:lang w:eastAsia="en-US"/>
        </w:rPr>
        <w:t>През 2015 г. е осъществен контрол върху изготвени от синдиците на търговци в открито производство по несъстоятелност 852 списъка на приети и/или неприети вземания и 332 сметки за разпределение (общо 1 184 акта), като са предприети съответните процесуални действия чрез изготвянето на 309 възражения.</w:t>
      </w:r>
    </w:p>
    <w:p w:rsidR="00523AD6" w:rsidRDefault="00523AD6" w:rsidP="00523AD6">
      <w:pPr>
        <w:ind w:firstLine="709"/>
        <w:jc w:val="both"/>
        <w:rPr>
          <w:rFonts w:eastAsia="Calibri"/>
          <w:b/>
          <w:bCs/>
          <w:color w:val="000000"/>
          <w:lang w:val="en-US" w:eastAsia="en-US"/>
        </w:rPr>
      </w:pPr>
      <w:r>
        <w:rPr>
          <w:rFonts w:eastAsia="Calibri"/>
          <w:b/>
          <w:bCs/>
          <w:color w:val="000000"/>
          <w:lang w:eastAsia="en-US"/>
        </w:rPr>
        <w:t>3</w:t>
      </w:r>
      <w:r>
        <w:rPr>
          <w:rFonts w:eastAsia="Calibri"/>
          <w:b/>
          <w:bCs/>
          <w:color w:val="000000"/>
          <w:lang w:val="en-US" w:eastAsia="en-US"/>
        </w:rPr>
        <w:t xml:space="preserve">. </w:t>
      </w:r>
      <w:r>
        <w:rPr>
          <w:rFonts w:eastAsia="Calibri"/>
          <w:b/>
          <w:bCs/>
          <w:color w:val="000000"/>
          <w:lang w:eastAsia="en-US"/>
        </w:rPr>
        <w:t xml:space="preserve">Действия по събиране на </w:t>
      </w:r>
      <w:r>
        <w:rPr>
          <w:rFonts w:eastAsia="Calibri"/>
          <w:b/>
          <w:color w:val="000000"/>
          <w:lang w:eastAsia="en-US"/>
        </w:rPr>
        <w:t xml:space="preserve">частни държавни вземания </w:t>
      </w:r>
    </w:p>
    <w:p w:rsidR="00523AD6" w:rsidRDefault="00523AD6" w:rsidP="00523AD6">
      <w:pPr>
        <w:ind w:firstLine="709"/>
        <w:jc w:val="both"/>
        <w:rPr>
          <w:rFonts w:eastAsia="Calibri"/>
          <w:lang w:eastAsia="en-US"/>
        </w:rPr>
      </w:pPr>
      <w:r>
        <w:rPr>
          <w:rFonts w:eastAsia="Calibri"/>
          <w:lang w:eastAsia="en-US"/>
        </w:rPr>
        <w:t xml:space="preserve">През 2015 г. събраните суми от частни държавни вземания /ЧДВ/ са в размер на 8,1 млн. лв., от които 1,2 млн. лв. – платени с компенсаторни инструменти. </w:t>
      </w:r>
    </w:p>
    <w:p w:rsidR="00523AD6" w:rsidRDefault="00523AD6" w:rsidP="00523AD6">
      <w:pPr>
        <w:ind w:firstLine="709"/>
        <w:jc w:val="both"/>
        <w:rPr>
          <w:rFonts w:eastAsia="Calibri"/>
          <w:lang w:eastAsia="en-US"/>
        </w:rPr>
      </w:pPr>
      <w:r>
        <w:rPr>
          <w:rFonts w:eastAsia="Calibri"/>
          <w:lang w:eastAsia="en-US"/>
        </w:rPr>
        <w:t xml:space="preserve">Администрирани са вземания по чл. 3, ал. 7, т. 6 от ЗНАП срещу 968 длъжници (по програми САПАРД, ФАР, ОП „Развитие на човешките ресурси”, ОП „Административен капацитет”, ОП „Развитие на конкурентоспособността на българската икономика”, ОП „Околна среда”, ОП „Регионално развитие” и др.), като преписките по 95 от тях са приключени през годината. Събирането на средствата, подлежащи на възстановяване по европейски програми продължава да е приоритет в работата по обезпечаване и събиране на частни държавни вземания, като реализираните приходи са повече в сравнение с 2014 г., когато са отчетени 1,7 млн. лв., а през 2015 г. от този източник са постъпили 1,8 млн. лева. </w:t>
      </w:r>
    </w:p>
    <w:p w:rsidR="00523AD6" w:rsidRDefault="00523AD6" w:rsidP="00523AD6">
      <w:pPr>
        <w:ind w:firstLine="709"/>
        <w:jc w:val="both"/>
        <w:rPr>
          <w:rFonts w:eastAsia="Calibri"/>
          <w:lang w:eastAsia="en-US"/>
        </w:rPr>
      </w:pPr>
      <w:r>
        <w:rPr>
          <w:rFonts w:eastAsia="Calibri"/>
          <w:lang w:eastAsia="en-US"/>
        </w:rPr>
        <w:t>През 2015 г. на НАП са предадени за събиране 53 339 изпълнителни листа, издадени в полза на НБПП, 298 преписки за вземания по чл. 3, ал. 7, т. 5 и 6 от ЗНАП и 75 преписки по Закона за кредитиране на студенти и докторанти (ЗКСД). През 2015 г. в информационната система за администриране на частни държавни вземания са въведени 13 765 изпълнителни листа за длъжници на НБПП и 100 % за останалите видове вземания.</w:t>
      </w:r>
    </w:p>
    <w:p w:rsidR="00523AD6" w:rsidRDefault="00523AD6" w:rsidP="00523AD6">
      <w:pPr>
        <w:ind w:firstLine="709"/>
        <w:jc w:val="both"/>
        <w:rPr>
          <w:rFonts w:eastAsia="Calibri"/>
          <w:lang w:eastAsia="en-US"/>
        </w:rPr>
      </w:pPr>
      <w:r>
        <w:rPr>
          <w:rFonts w:eastAsia="Calibri"/>
          <w:lang w:eastAsia="en-US"/>
        </w:rPr>
        <w:t xml:space="preserve">С оглед предприемане на действия по установяване и събиране на ЧДВ, през 2015г. са изготвени 3 699 молби за образуване/присъединяване по изпълнителни дела, което е над два пъти повече от 2014 г. (1 800 молби). Издадени са 112 акта за установяване на ЧДВ, при 62 за 2014 година.  </w:t>
      </w:r>
    </w:p>
    <w:p w:rsidR="00523AD6" w:rsidRDefault="00523AD6" w:rsidP="00523AD6">
      <w:pPr>
        <w:ind w:firstLine="709"/>
        <w:jc w:val="both"/>
        <w:rPr>
          <w:rFonts w:eastAsia="Calibri"/>
          <w:lang w:eastAsia="en-US"/>
        </w:rPr>
      </w:pPr>
      <w:r>
        <w:rPr>
          <w:rFonts w:eastAsia="Calibri"/>
          <w:lang w:eastAsia="en-US"/>
        </w:rPr>
        <w:t xml:space="preserve">През 2015 г. са получени 5 635 призовки и съобщения, свързани с производства относно ЧДВ, във връзка с които са предприети последващи действия. В сравнение с броя на получените през 2014 г. призовки и съобщения - 5 188, през тази година се забелязва ръст от 8,6 %. </w:t>
      </w:r>
    </w:p>
    <w:p w:rsidR="00523AD6" w:rsidRDefault="00523AD6" w:rsidP="00523AD6">
      <w:pPr>
        <w:ind w:firstLine="709"/>
        <w:jc w:val="both"/>
        <w:rPr>
          <w:rFonts w:eastAsia="Calibri"/>
          <w:lang w:eastAsia="en-US"/>
        </w:rPr>
      </w:pPr>
      <w:r>
        <w:rPr>
          <w:rFonts w:eastAsia="Calibri"/>
          <w:lang w:eastAsia="en-US"/>
        </w:rPr>
        <w:t>Във връзка с предадените за събиране през 2015 г. преписки е извършвано проучване на имущественото състояние на всички лица, за които през периода са изготвени молби за образуване/присъединяване по изпълнителни дела за вземания на НБПП, както и за 76,3 % от преписките за другите видове администрирани вземания, за които е било необходимо, като по отношение на вземанията по предадени изпълнителни листове са достигнати 94,5 %.</w:t>
      </w:r>
    </w:p>
    <w:p w:rsidR="00523AD6" w:rsidRDefault="00523AD6" w:rsidP="00523AD6">
      <w:pPr>
        <w:tabs>
          <w:tab w:val="left" w:pos="993"/>
        </w:tabs>
        <w:ind w:firstLine="709"/>
        <w:jc w:val="both"/>
        <w:rPr>
          <w:rFonts w:eastAsia="Calibri"/>
          <w:lang w:eastAsia="en-US"/>
        </w:rPr>
      </w:pPr>
      <w:r>
        <w:rPr>
          <w:rFonts w:eastAsia="Calibri"/>
          <w:lang w:eastAsia="en-US"/>
        </w:rPr>
        <w:t>Съществен проблем за осъществяване на дейност</w:t>
      </w:r>
      <w:r w:rsidR="008C02AF">
        <w:rPr>
          <w:rFonts w:eastAsia="Calibri"/>
          <w:lang w:eastAsia="en-US"/>
        </w:rPr>
        <w:t>ите</w:t>
      </w:r>
      <w:r>
        <w:rPr>
          <w:rFonts w:eastAsia="Calibri"/>
          <w:lang w:eastAsia="en-US"/>
        </w:rPr>
        <w:t xml:space="preserve"> по обезпечаване и събиране на ЧДВ продължава да бъде необходимостта от предварително извършване на разходи за държавни такси във връзка с предприемането на действия по принудително изпълнение. Към извършването на разходи в производствата се пристъпва след изчерпването на всички други възможности и след прецизно анализиране на всеки един казус, но въпреки това, с оглед необходимостта от предприемане на действия, през 2015 г. от НАП са платени 0,2 млн. лева. Съответно се предприемат всички необходими действия и за възстановяване на </w:t>
      </w:r>
      <w:r>
        <w:rPr>
          <w:rFonts w:eastAsia="Calibri"/>
          <w:lang w:eastAsia="en-US"/>
        </w:rPr>
        <w:lastRenderedPageBreak/>
        <w:t>тези разходи, като през 2015 г. събраната сума за направени разноски и присъдени юрисконсултски възнаграждения възлиза на 0,3 млн. лева.</w:t>
      </w:r>
    </w:p>
    <w:p w:rsidR="00523AD6" w:rsidRDefault="00523AD6" w:rsidP="00523AD6">
      <w:pPr>
        <w:tabs>
          <w:tab w:val="left" w:pos="993"/>
        </w:tabs>
        <w:ind w:firstLine="709"/>
        <w:jc w:val="both"/>
        <w:rPr>
          <w:b/>
          <w:u w:val="single"/>
        </w:rPr>
      </w:pPr>
    </w:p>
    <w:p w:rsidR="00523AD6" w:rsidRDefault="00523AD6" w:rsidP="00523AD6">
      <w:pPr>
        <w:tabs>
          <w:tab w:val="left" w:pos="993"/>
        </w:tabs>
        <w:spacing w:after="120"/>
        <w:ind w:firstLine="709"/>
        <w:jc w:val="both"/>
        <w:rPr>
          <w:b/>
          <w:u w:val="single"/>
        </w:rPr>
      </w:pPr>
      <w:r>
        <w:rPr>
          <w:b/>
          <w:u w:val="single"/>
        </w:rPr>
        <w:t>Мерки, предприети от АМ</w:t>
      </w:r>
    </w:p>
    <w:p w:rsidR="00523AD6" w:rsidRDefault="00523AD6" w:rsidP="00523AD6">
      <w:pPr>
        <w:tabs>
          <w:tab w:val="left" w:pos="993"/>
        </w:tabs>
        <w:spacing w:after="120"/>
        <w:ind w:firstLine="709"/>
        <w:jc w:val="both"/>
        <w:rPr>
          <w:b/>
          <w:u w:val="single"/>
        </w:rPr>
      </w:pPr>
      <w:r>
        <w:rPr>
          <w:b/>
          <w:i/>
          <w:u w:val="single"/>
        </w:rPr>
        <w:t>Мерки за борба с контрабандата, митническите, акцизните и валутните нарушения и постигнати резултати от предприетите действия</w:t>
      </w:r>
    </w:p>
    <w:p w:rsidR="00523AD6" w:rsidRDefault="00523AD6" w:rsidP="00523AD6">
      <w:pPr>
        <w:widowControl w:val="0"/>
        <w:overflowPunct w:val="0"/>
        <w:autoSpaceDE w:val="0"/>
        <w:autoSpaceDN w:val="0"/>
        <w:adjustRightInd w:val="0"/>
        <w:ind w:firstLine="709"/>
        <w:jc w:val="both"/>
        <w:rPr>
          <w:rFonts w:eastAsia="Calibri"/>
          <w:lang w:eastAsia="en-US"/>
        </w:rPr>
      </w:pPr>
      <w:r>
        <w:rPr>
          <w:rFonts w:eastAsia="Calibri"/>
          <w:lang w:eastAsia="en-US"/>
        </w:rPr>
        <w:t xml:space="preserve">През 2015 г. митническите органи са съставили 5 167 броя актове за установяване на административни нарушения (АУАН), при изпълнение на вменените им със закон правомощия по противодействие на митническите, акцизни и валутни нарушения. Запазва се тенденцията при броя на съставените актове от 2014 г., като се наблюдава лек спад с около 6,0 %. Броят на издадените наказателни постановления през 2015 г. е 6 618, които са с 8,8 % по-малко спрямо 2014 година. Размерът на наложените наказания е 22,8 млн. лв., </w:t>
      </w:r>
      <w:r w:rsidR="00C768F2">
        <w:rPr>
          <w:rFonts w:eastAsia="Calibri"/>
          <w:lang w:eastAsia="en-US"/>
        </w:rPr>
        <w:t xml:space="preserve">което е </w:t>
      </w:r>
      <w:r>
        <w:rPr>
          <w:rFonts w:eastAsia="Calibri"/>
          <w:lang w:eastAsia="en-US"/>
        </w:rPr>
        <w:t>увеличение с около 12,0 % спрямо 2014 г., като реално платените глоби и имуществени санкции възлизат на 3,0 млн. лева. Има образувани 518 досъдебни производства (ДП), от които 235 броя по чл. 234 от Наказателния кодекс (НК), 266 броя по чл. 242 от НК, 16 броя по чл. 251 от НК и 1 брой по чл. 242а от НК.</w:t>
      </w:r>
    </w:p>
    <w:p w:rsidR="00523AD6" w:rsidRDefault="00523AD6" w:rsidP="00523AD6">
      <w:pPr>
        <w:widowControl w:val="0"/>
        <w:overflowPunct w:val="0"/>
        <w:autoSpaceDE w:val="0"/>
        <w:autoSpaceDN w:val="0"/>
        <w:adjustRightInd w:val="0"/>
        <w:ind w:firstLine="709"/>
        <w:jc w:val="both"/>
        <w:rPr>
          <w:rFonts w:eastAsia="Calibri"/>
          <w:lang w:eastAsia="en-US"/>
        </w:rPr>
      </w:pPr>
      <w:r>
        <w:rPr>
          <w:rFonts w:eastAsia="Calibri"/>
          <w:lang w:eastAsia="en-US"/>
        </w:rPr>
        <w:t>За 2015 г., служителите на Агенция „Митници” са съставили 73 броя актове за констатирани нарушения на Валутния закон. Общата равностойност на задържаната валута в лева е 4,7 млн. лева. Задържаните благородни метали са на обща стойност 1,6 млн. лв. като изделията от злато са 25 078 грама, а изделията от сребро са 20 222 грама. Служители от митница „Аерогара София“ са задържали 39 броя сребърни монети, които впоследствие са отнети с наказателно постановление.</w:t>
      </w:r>
    </w:p>
    <w:p w:rsidR="00523AD6" w:rsidRDefault="00523AD6" w:rsidP="00523AD6">
      <w:pPr>
        <w:widowControl w:val="0"/>
        <w:autoSpaceDE w:val="0"/>
        <w:autoSpaceDN w:val="0"/>
        <w:adjustRightInd w:val="0"/>
        <w:ind w:firstLine="708"/>
        <w:rPr>
          <w:rFonts w:eastAsia="Calibri"/>
          <w:lang w:eastAsia="en-US"/>
        </w:rPr>
      </w:pPr>
      <w:r>
        <w:rPr>
          <w:rFonts w:eastAsia="Calibri"/>
          <w:lang w:eastAsia="en-US"/>
        </w:rPr>
        <w:t>Наложените глоби са на стойност 0,03 млн. лева.</w:t>
      </w:r>
    </w:p>
    <w:p w:rsidR="00523AD6" w:rsidRDefault="00523AD6" w:rsidP="00523AD6">
      <w:pPr>
        <w:widowControl w:val="0"/>
        <w:overflowPunct w:val="0"/>
        <w:autoSpaceDE w:val="0"/>
        <w:autoSpaceDN w:val="0"/>
        <w:adjustRightInd w:val="0"/>
        <w:ind w:firstLine="709"/>
        <w:jc w:val="both"/>
        <w:rPr>
          <w:rFonts w:eastAsia="Calibri"/>
          <w:lang w:eastAsia="en-US"/>
        </w:rPr>
      </w:pPr>
      <w:r>
        <w:rPr>
          <w:rFonts w:eastAsia="Calibri"/>
          <w:lang w:eastAsia="en-US"/>
        </w:rPr>
        <w:t>Отнетата с влезли в сила наказателни постановления валута е 0,8 млн. лева. Отнетите благородни метали са на обща стойност 0,03 млн. лв. (изделията от злато са 348 грама и изделията от сребро са 2 584 грама).</w:t>
      </w:r>
    </w:p>
    <w:p w:rsidR="00523AD6" w:rsidRDefault="00523AD6" w:rsidP="00523AD6">
      <w:pPr>
        <w:widowControl w:val="0"/>
        <w:overflowPunct w:val="0"/>
        <w:autoSpaceDE w:val="0"/>
        <w:autoSpaceDN w:val="0"/>
        <w:adjustRightInd w:val="0"/>
        <w:ind w:firstLine="709"/>
        <w:jc w:val="both"/>
        <w:rPr>
          <w:rFonts w:eastAsia="Calibri"/>
          <w:lang w:eastAsia="en-US"/>
        </w:rPr>
      </w:pPr>
      <w:r>
        <w:rPr>
          <w:rFonts w:eastAsia="Calibri"/>
          <w:lang w:eastAsia="en-US"/>
        </w:rPr>
        <w:t>Продадената валута от влезли в сила административнонаказателни преписки е 0,3 млн. лева.</w:t>
      </w:r>
    </w:p>
    <w:p w:rsidR="00523AD6" w:rsidRDefault="00523AD6" w:rsidP="00523AD6">
      <w:pPr>
        <w:widowControl w:val="0"/>
        <w:overflowPunct w:val="0"/>
        <w:autoSpaceDE w:val="0"/>
        <w:autoSpaceDN w:val="0"/>
        <w:adjustRightInd w:val="0"/>
        <w:ind w:firstLine="709"/>
        <w:jc w:val="both"/>
        <w:rPr>
          <w:rFonts w:eastAsia="Calibri"/>
          <w:lang w:eastAsia="en-US"/>
        </w:rPr>
      </w:pPr>
      <w:r>
        <w:rPr>
          <w:rFonts w:eastAsia="Calibri"/>
          <w:lang w:eastAsia="en-US"/>
        </w:rPr>
        <w:t>През 2015 г., в</w:t>
      </w:r>
      <w:r w:rsidR="00C768F2">
        <w:rPr>
          <w:rFonts w:eastAsia="Calibri"/>
          <w:lang w:eastAsia="en-US"/>
        </w:rPr>
        <w:t xml:space="preserve"> </w:t>
      </w:r>
      <w:r>
        <w:rPr>
          <w:rFonts w:eastAsia="Calibri"/>
          <w:lang w:eastAsia="en-US"/>
        </w:rPr>
        <w:t>следствие на предприетите от Агенция „Митници” мерки за повишаване на събираемостта на приходите от акциз, митническите органи продължиха със засиления контрол на акцизните стоки и лицата, извършващи дейност с тях. В хода на осъществявания контрол бяха извършени общо над 16 хил. проверки по реда на ЗАДС и Закона за митниците (ЗМ). В следствие на извършвания анализ на риска и своевременната реакция на митническите органи, бяха обезпечени като веществени доказателства (за нарушения на ЗАДС), задържани (за нарушения на ЗМ) и иззети като веществени доказателства по досъдебни производства следните количества акцизни стоки:</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над 97,6 хил. литра вино;</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над 112,7 хил. литра етилов алкохол (спирт) и високоалкохолни напитки;</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над 29,9 млн. къса цигари;</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над 28,8 хил. килограма тютюн за пушене;</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над 474,0 хил. литра енергийни продукти (основно моторни горива).</w:t>
      </w:r>
    </w:p>
    <w:p w:rsidR="00523AD6" w:rsidRDefault="00523AD6" w:rsidP="00523AD6">
      <w:pPr>
        <w:widowControl w:val="0"/>
        <w:overflowPunct w:val="0"/>
        <w:autoSpaceDE w:val="0"/>
        <w:autoSpaceDN w:val="0"/>
        <w:adjustRightInd w:val="0"/>
        <w:ind w:firstLine="708"/>
        <w:jc w:val="both"/>
        <w:rPr>
          <w:rFonts w:eastAsia="Calibri"/>
          <w:lang w:eastAsia="en-US"/>
        </w:rPr>
      </w:pPr>
      <w:r>
        <w:rPr>
          <w:rFonts w:eastAsia="Calibri"/>
          <w:lang w:eastAsia="en-US"/>
        </w:rPr>
        <w:t>С действията си митническите органи са предотвратили щети за бюджета от невнесен акциз (изчислени при осреднени показатели) общо за над 10,8 млн. лв., както следва:</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над 0,6 млн. лв. от етилов алкохол и високоалкохолни напитки;</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над 5,6 млн. лв. от цигари;</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над 4,3 млн. лв. от тютюн за пушене;</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над 0,3 млн. лв. от енергийни продукти.</w:t>
      </w:r>
    </w:p>
    <w:p w:rsidR="00523AD6" w:rsidRDefault="00523AD6" w:rsidP="00523AD6">
      <w:pPr>
        <w:tabs>
          <w:tab w:val="left" w:pos="993"/>
        </w:tabs>
        <w:jc w:val="both"/>
        <w:rPr>
          <w:rFonts w:eastAsia="Calibri"/>
          <w:lang w:eastAsia="en-US"/>
        </w:rPr>
      </w:pPr>
      <w:bookmarkStart w:id="119" w:name="page23"/>
      <w:bookmarkEnd w:id="119"/>
      <w:r>
        <w:rPr>
          <w:rFonts w:eastAsia="Calibri"/>
          <w:lang w:eastAsia="en-US"/>
        </w:rPr>
        <w:lastRenderedPageBreak/>
        <w:tab/>
        <w:t xml:space="preserve">През </w:t>
      </w:r>
      <w:r w:rsidR="00C768F2">
        <w:rPr>
          <w:rFonts w:eastAsia="Calibri"/>
          <w:lang w:eastAsia="en-US"/>
        </w:rPr>
        <w:t>2015 г.</w:t>
      </w:r>
      <w:r>
        <w:rPr>
          <w:rFonts w:eastAsia="Calibri"/>
          <w:lang w:eastAsia="en-US"/>
        </w:rPr>
        <w:t xml:space="preserve"> митническите мобилни групи (ММГ) извършваха проверки на територията на Република България по ЗАДС, ЗМ и Валутния закон, които касаят дейността на митническата администрация. ММГ участваха и в провеждането на мониторинг на 7 броя данъчни складове. Общо извършени</w:t>
      </w:r>
      <w:r w:rsidR="00C768F2">
        <w:rPr>
          <w:rFonts w:eastAsia="Calibri"/>
          <w:lang w:eastAsia="en-US"/>
        </w:rPr>
        <w:t>те</w:t>
      </w:r>
      <w:r>
        <w:rPr>
          <w:rFonts w:eastAsia="Calibri"/>
          <w:lang w:eastAsia="en-US"/>
        </w:rPr>
        <w:t xml:space="preserve"> проверки </w:t>
      </w:r>
      <w:r w:rsidR="00C768F2">
        <w:rPr>
          <w:rFonts w:eastAsia="Calibri"/>
          <w:lang w:eastAsia="en-US"/>
        </w:rPr>
        <w:t xml:space="preserve">са </w:t>
      </w:r>
      <w:r>
        <w:rPr>
          <w:rFonts w:eastAsia="Calibri"/>
          <w:lang w:eastAsia="en-US"/>
        </w:rPr>
        <w:t>11 330 броя, в т.ч. 630 броя по ЗАДС, 2 100 броя по ЗМ на ГКПП, 8 600 броя проверки тип „roadstop” по пътя и на ГКПП. В резултат на проверките са съставени 450 АУАН, издадени са 42 фиша за глоби, образувани са 31 ДП.</w:t>
      </w:r>
    </w:p>
    <w:p w:rsidR="00CC6AFC" w:rsidRDefault="00CC6AFC" w:rsidP="00523AD6">
      <w:pPr>
        <w:tabs>
          <w:tab w:val="left" w:pos="993"/>
        </w:tabs>
        <w:jc w:val="both"/>
        <w:rPr>
          <w:rFonts w:eastAsia="Calibri"/>
          <w:lang w:eastAsia="en-US"/>
        </w:rPr>
      </w:pPr>
    </w:p>
    <w:p w:rsidR="00523AD6" w:rsidRDefault="00523AD6" w:rsidP="00523AD6">
      <w:pPr>
        <w:tabs>
          <w:tab w:val="left" w:pos="993"/>
        </w:tabs>
        <w:ind w:firstLine="709"/>
        <w:jc w:val="both"/>
        <w:rPr>
          <w:rFonts w:eastAsia="Calibri"/>
          <w:bCs/>
          <w:lang w:eastAsia="en-US"/>
        </w:rPr>
      </w:pPr>
      <w:r>
        <w:rPr>
          <w:rFonts w:eastAsia="Calibri"/>
          <w:bCs/>
          <w:lang w:eastAsia="en-US"/>
        </w:rPr>
        <w:t>Обобщена в цифри</w:t>
      </w:r>
      <w:r w:rsidR="00C768F2">
        <w:rPr>
          <w:rFonts w:eastAsia="Calibri"/>
          <w:bCs/>
          <w:lang w:eastAsia="en-US"/>
        </w:rPr>
        <w:t>,</w:t>
      </w:r>
      <w:r>
        <w:rPr>
          <w:rFonts w:eastAsia="Calibri"/>
          <w:bCs/>
          <w:lang w:eastAsia="en-US"/>
        </w:rPr>
        <w:t xml:space="preserve"> дейността на ММГ към ЦМУ може да се онагледи в следната таблица:</w:t>
      </w:r>
    </w:p>
    <w:tbl>
      <w:tblPr>
        <w:tblW w:w="9072" w:type="dxa"/>
        <w:tblInd w:w="10" w:type="dxa"/>
        <w:tblLayout w:type="fixed"/>
        <w:tblCellMar>
          <w:left w:w="0" w:type="dxa"/>
          <w:right w:w="0" w:type="dxa"/>
        </w:tblCellMar>
        <w:tblLook w:val="04A0" w:firstRow="1" w:lastRow="0" w:firstColumn="1" w:lastColumn="0" w:noHBand="0" w:noVBand="1"/>
      </w:tblPr>
      <w:tblGrid>
        <w:gridCol w:w="5103"/>
        <w:gridCol w:w="1418"/>
        <w:gridCol w:w="1239"/>
        <w:gridCol w:w="1312"/>
      </w:tblGrid>
      <w:tr w:rsidR="00523AD6" w:rsidTr="00523AD6">
        <w:trPr>
          <w:trHeight w:val="229"/>
        </w:trPr>
        <w:tc>
          <w:tcPr>
            <w:tcW w:w="5103" w:type="dxa"/>
            <w:tcBorders>
              <w:top w:val="single" w:sz="8" w:space="0" w:color="auto"/>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28" w:lineRule="exact"/>
              <w:ind w:left="80"/>
            </w:pPr>
            <w:r>
              <w:rPr>
                <w:b/>
                <w:bCs/>
              </w:rPr>
              <w:t>Вид акцизна стока / задържани стоки</w:t>
            </w:r>
          </w:p>
        </w:tc>
        <w:tc>
          <w:tcPr>
            <w:tcW w:w="1418" w:type="dxa"/>
            <w:tcBorders>
              <w:top w:val="single" w:sz="8" w:space="0" w:color="auto"/>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8" w:lineRule="exact"/>
              <w:jc w:val="center"/>
            </w:pPr>
            <w:r>
              <w:rPr>
                <w:b/>
                <w:bCs/>
              </w:rPr>
              <w:t>Количество</w:t>
            </w:r>
          </w:p>
        </w:tc>
        <w:tc>
          <w:tcPr>
            <w:tcW w:w="1239" w:type="dxa"/>
            <w:tcBorders>
              <w:top w:val="single" w:sz="8" w:space="0" w:color="auto"/>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8" w:lineRule="exact"/>
              <w:jc w:val="center"/>
            </w:pPr>
            <w:r>
              <w:rPr>
                <w:b/>
                <w:bCs/>
              </w:rPr>
              <w:t>Мярка</w:t>
            </w:r>
          </w:p>
        </w:tc>
        <w:tc>
          <w:tcPr>
            <w:tcW w:w="1312" w:type="dxa"/>
            <w:tcBorders>
              <w:top w:val="single" w:sz="8" w:space="0" w:color="auto"/>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8" w:lineRule="exact"/>
              <w:jc w:val="center"/>
            </w:pPr>
            <w:r>
              <w:rPr>
                <w:b/>
                <w:bCs/>
              </w:rPr>
              <w:t>Дължим акциз</w:t>
            </w:r>
          </w:p>
        </w:tc>
      </w:tr>
      <w:tr w:rsidR="00523AD6" w:rsidTr="00523AD6">
        <w:trPr>
          <w:trHeight w:val="218"/>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4" w:lineRule="exact"/>
              <w:ind w:left="80"/>
            </w:pPr>
            <w:r>
              <w:t>Енергийни продукти</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4" w:lineRule="exact"/>
              <w:jc w:val="right"/>
            </w:pPr>
            <w:r>
              <w:t>364 000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4" w:lineRule="exact"/>
              <w:jc w:val="right"/>
            </w:pPr>
            <w:r>
              <w:t>литри</w:t>
            </w:r>
          </w:p>
        </w:tc>
        <w:tc>
          <w:tcPr>
            <w:tcW w:w="1312"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4" w:lineRule="exact"/>
              <w:jc w:val="right"/>
            </w:pPr>
            <w:r>
              <w:t>270 100</w:t>
            </w:r>
          </w:p>
        </w:tc>
      </w:tr>
      <w:tr w:rsidR="00523AD6" w:rsidTr="00523AD6">
        <w:trPr>
          <w:trHeight w:val="291"/>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ind w:left="80"/>
            </w:pPr>
            <w:r>
              <w:t>Цигари</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3 463 220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къса</w:t>
            </w:r>
          </w:p>
        </w:tc>
        <w:tc>
          <w:tcPr>
            <w:tcW w:w="1312"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551 000</w:t>
            </w:r>
          </w:p>
        </w:tc>
      </w:tr>
      <w:tr w:rsidR="00523AD6" w:rsidTr="00523AD6">
        <w:trPr>
          <w:trHeight w:val="29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ind w:left="80"/>
            </w:pPr>
            <w:r>
              <w:t>Тютюн за пушене</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1 121</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килограми</w:t>
            </w:r>
          </w:p>
        </w:tc>
        <w:tc>
          <w:tcPr>
            <w:tcW w:w="1312"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171 000</w:t>
            </w:r>
          </w:p>
        </w:tc>
      </w:tr>
      <w:tr w:rsidR="00523AD6" w:rsidTr="00523AD6">
        <w:trPr>
          <w:trHeight w:val="29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ind w:left="80"/>
            </w:pPr>
            <w:r>
              <w:t>Алкохол / ракия /</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16 000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литри</w:t>
            </w:r>
          </w:p>
        </w:tc>
        <w:tc>
          <w:tcPr>
            <w:tcW w:w="1312"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6 140</w:t>
            </w:r>
          </w:p>
        </w:tc>
      </w:tr>
      <w:tr w:rsidR="00523AD6" w:rsidTr="00523AD6">
        <w:trPr>
          <w:trHeight w:val="29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ind w:left="80"/>
            </w:pPr>
            <w:r>
              <w:t>Спирт</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2 000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литри</w:t>
            </w:r>
          </w:p>
        </w:tc>
        <w:tc>
          <w:tcPr>
            <w:tcW w:w="1312"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22 100</w:t>
            </w:r>
          </w:p>
        </w:tc>
      </w:tr>
      <w:tr w:rsidR="00523AD6" w:rsidTr="00523AD6">
        <w:trPr>
          <w:trHeight w:val="29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ind w:left="80"/>
            </w:pPr>
            <w:r>
              <w:t>Бира светло</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43 308</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литри</w:t>
            </w:r>
          </w:p>
        </w:tc>
        <w:tc>
          <w:tcPr>
            <w:tcW w:w="1312"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3 300</w:t>
            </w: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Произведена елетроенергия</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93317</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мвтч</w:t>
            </w:r>
          </w:p>
        </w:tc>
        <w:tc>
          <w:tcPr>
            <w:tcW w:w="1312"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200 000</w:t>
            </w: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Масла - двигателни, моторни, трансмисионни, хидавлични</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44 385</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литри</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Регл.</w:t>
            </w:r>
            <w:r w:rsidR="00C768F2">
              <w:t xml:space="preserve"> </w:t>
            </w:r>
            <w:r>
              <w:t>№ 608/2013 и ЗМГО - облекла, обувки, парфюми и др.</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46 000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брой</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Регл.№ 608/2013 и ЗМГО - облекла, обувки, парфюми и др.</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47 635</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брой</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Регл.№ 608/2013 и ЗМГО - плат, фигуративно люи вуитон</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700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метри</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Недекларирани стоки - облекла, патрони за брави, обувки</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2 687</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брой</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91"/>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ind w:left="80"/>
            </w:pPr>
            <w:r>
              <w:t>Хероин</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59,636</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9" w:lineRule="exact"/>
              <w:jc w:val="right"/>
            </w:pPr>
            <w:r>
              <w:t>килограми</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19"/>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4" w:lineRule="exact"/>
              <w:ind w:left="80"/>
            </w:pPr>
            <w:r>
              <w:t>Амфетамини</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4" w:lineRule="exact"/>
              <w:jc w:val="right"/>
            </w:pPr>
            <w:r>
              <w:t>26,677</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4" w:lineRule="exact"/>
              <w:jc w:val="right"/>
            </w:pPr>
            <w:r>
              <w:t>килограми</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Псевдоефедрин</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49</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килограми</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Марихуана</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300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грамове</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Съоръжение за дестилиране</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12</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брой</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Изделия от сребро</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4 620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грамове</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Изделия от злато</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68</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грамове</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Валута</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20 000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usd</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Валута</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44 920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euro</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Скимиращи устройства</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45</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брой</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Укрити лица без документи</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7</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брой</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Вино</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121 659</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литри</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Машина за рязане на тютюн</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1</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брой</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Тютюн на листа</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232</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килограми</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Старинни монети</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97</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брой</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Хербициди</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700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литри</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Течен ефедрин</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70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милилитри</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ind w:left="80"/>
            </w:pPr>
            <w:r>
              <w:t>Обезпечения по вземания - леки автомобили</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5</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брой</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0"/>
        </w:trPr>
        <w:tc>
          <w:tcPr>
            <w:tcW w:w="5103" w:type="dxa"/>
            <w:tcBorders>
              <w:top w:val="nil"/>
              <w:left w:val="single" w:sz="8" w:space="0" w:color="auto"/>
              <w:bottom w:val="single" w:sz="8" w:space="0" w:color="auto"/>
              <w:right w:val="single" w:sz="8" w:space="0" w:color="auto"/>
            </w:tcBorders>
            <w:vAlign w:val="bottom"/>
            <w:hideMark/>
          </w:tcPr>
          <w:p w:rsidR="00523AD6" w:rsidRDefault="00523AD6" w:rsidP="00C768F2">
            <w:pPr>
              <w:widowControl w:val="0"/>
              <w:autoSpaceDE w:val="0"/>
              <w:autoSpaceDN w:val="0"/>
              <w:adjustRightInd w:val="0"/>
              <w:spacing w:line="216" w:lineRule="exact"/>
              <w:ind w:left="80"/>
            </w:pPr>
            <w:r>
              <w:t>Обезпечения по вземания - лева</w:t>
            </w:r>
          </w:p>
        </w:tc>
        <w:tc>
          <w:tcPr>
            <w:tcW w:w="1418"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4 400</w:t>
            </w: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pPr>
            <w:r>
              <w:t>лева</w:t>
            </w:r>
          </w:p>
        </w:tc>
        <w:tc>
          <w:tcPr>
            <w:tcW w:w="1312"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r>
      <w:tr w:rsidR="00523AD6" w:rsidTr="00523AD6">
        <w:trPr>
          <w:trHeight w:val="222"/>
        </w:trPr>
        <w:tc>
          <w:tcPr>
            <w:tcW w:w="5103" w:type="dxa"/>
            <w:tcBorders>
              <w:top w:val="nil"/>
              <w:left w:val="single" w:sz="8" w:space="0" w:color="auto"/>
              <w:bottom w:val="single" w:sz="8" w:space="0" w:color="auto"/>
              <w:right w:val="single" w:sz="8" w:space="0" w:color="auto"/>
            </w:tcBorders>
            <w:vAlign w:val="bottom"/>
            <w:hideMark/>
          </w:tcPr>
          <w:p w:rsidR="00523AD6" w:rsidRDefault="00523AD6">
            <w:pPr>
              <w:widowControl w:val="0"/>
              <w:autoSpaceDE w:val="0"/>
              <w:autoSpaceDN w:val="0"/>
              <w:adjustRightInd w:val="0"/>
              <w:spacing w:line="220" w:lineRule="exact"/>
              <w:ind w:left="140"/>
            </w:pPr>
            <w:r>
              <w:rPr>
                <w:b/>
                <w:bCs/>
              </w:rPr>
              <w:t>Акциз</w:t>
            </w:r>
          </w:p>
        </w:tc>
        <w:tc>
          <w:tcPr>
            <w:tcW w:w="1418" w:type="dxa"/>
            <w:tcBorders>
              <w:top w:val="nil"/>
              <w:left w:val="nil"/>
              <w:bottom w:val="single" w:sz="8" w:space="0" w:color="auto"/>
              <w:right w:val="single" w:sz="8" w:space="0" w:color="auto"/>
            </w:tcBorders>
            <w:vAlign w:val="bottom"/>
          </w:tcPr>
          <w:p w:rsidR="00523AD6" w:rsidRDefault="00523AD6">
            <w:pPr>
              <w:widowControl w:val="0"/>
              <w:autoSpaceDE w:val="0"/>
              <w:autoSpaceDN w:val="0"/>
              <w:adjustRightInd w:val="0"/>
            </w:pPr>
          </w:p>
        </w:tc>
        <w:tc>
          <w:tcPr>
            <w:tcW w:w="1239"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16" w:lineRule="exact"/>
              <w:jc w:val="right"/>
              <w:rPr>
                <w:b/>
              </w:rPr>
            </w:pPr>
            <w:r>
              <w:rPr>
                <w:b/>
              </w:rPr>
              <w:t>лева</w:t>
            </w:r>
          </w:p>
        </w:tc>
        <w:tc>
          <w:tcPr>
            <w:tcW w:w="1312" w:type="dxa"/>
            <w:tcBorders>
              <w:top w:val="nil"/>
              <w:left w:val="nil"/>
              <w:bottom w:val="single" w:sz="8" w:space="0" w:color="auto"/>
              <w:right w:val="single" w:sz="8" w:space="0" w:color="auto"/>
            </w:tcBorders>
            <w:vAlign w:val="bottom"/>
            <w:hideMark/>
          </w:tcPr>
          <w:p w:rsidR="00523AD6" w:rsidRDefault="00523AD6">
            <w:pPr>
              <w:widowControl w:val="0"/>
              <w:autoSpaceDE w:val="0"/>
              <w:autoSpaceDN w:val="0"/>
              <w:adjustRightInd w:val="0"/>
              <w:spacing w:line="220" w:lineRule="exact"/>
              <w:jc w:val="right"/>
            </w:pPr>
            <w:r>
              <w:rPr>
                <w:b/>
                <w:bCs/>
              </w:rPr>
              <w:t>1 323 640</w:t>
            </w:r>
          </w:p>
        </w:tc>
      </w:tr>
    </w:tbl>
    <w:p w:rsidR="00523AD6" w:rsidRDefault="00523AD6" w:rsidP="00523AD6">
      <w:pPr>
        <w:autoSpaceDE w:val="0"/>
        <w:autoSpaceDN w:val="0"/>
        <w:adjustRightInd w:val="0"/>
        <w:ind w:firstLine="709"/>
        <w:jc w:val="both"/>
        <w:rPr>
          <w:rFonts w:eastAsia="Calibri"/>
          <w:i/>
          <w:color w:val="000000"/>
          <w:lang w:eastAsia="en-US"/>
        </w:rPr>
      </w:pPr>
      <w:r>
        <w:rPr>
          <w:rFonts w:eastAsia="Calibri"/>
          <w:color w:val="000000"/>
          <w:lang w:eastAsia="en-US"/>
        </w:rPr>
        <w:tab/>
      </w:r>
      <w:r>
        <w:rPr>
          <w:rFonts w:eastAsia="Calibri"/>
          <w:color w:val="000000"/>
          <w:lang w:eastAsia="en-US"/>
        </w:rPr>
        <w:tab/>
      </w:r>
      <w:r>
        <w:rPr>
          <w:rFonts w:eastAsia="Calibri"/>
          <w:color w:val="000000"/>
          <w:lang w:eastAsia="en-US"/>
        </w:rPr>
        <w:tab/>
      </w:r>
      <w:r>
        <w:rPr>
          <w:rFonts w:eastAsia="Calibri"/>
          <w:color w:val="000000"/>
          <w:lang w:eastAsia="en-US"/>
        </w:rPr>
        <w:tab/>
      </w:r>
      <w:r>
        <w:rPr>
          <w:rFonts w:eastAsia="Calibri"/>
          <w:color w:val="000000"/>
          <w:lang w:eastAsia="en-US"/>
        </w:rPr>
        <w:tab/>
      </w:r>
      <w:r>
        <w:rPr>
          <w:rFonts w:eastAsia="Calibri"/>
          <w:color w:val="000000"/>
          <w:lang w:eastAsia="en-US"/>
        </w:rPr>
        <w:tab/>
      </w:r>
      <w:r>
        <w:rPr>
          <w:rFonts w:eastAsia="Calibri"/>
          <w:color w:val="000000"/>
          <w:lang w:eastAsia="en-US"/>
        </w:rPr>
        <w:tab/>
        <w:t xml:space="preserve">  </w:t>
      </w:r>
      <w:r>
        <w:rPr>
          <w:rFonts w:eastAsia="Calibri"/>
          <w:i/>
          <w:color w:val="000000"/>
          <w:lang w:eastAsia="en-US"/>
        </w:rPr>
        <w:t>Източник: Агенция „Митници“</w:t>
      </w:r>
    </w:p>
    <w:p w:rsidR="00523AD6" w:rsidRDefault="00523AD6" w:rsidP="00523AD6">
      <w:pPr>
        <w:autoSpaceDE w:val="0"/>
        <w:autoSpaceDN w:val="0"/>
        <w:adjustRightInd w:val="0"/>
        <w:ind w:firstLine="709"/>
        <w:jc w:val="both"/>
        <w:rPr>
          <w:rFonts w:eastAsia="Calibri"/>
          <w:color w:val="000000"/>
          <w:lang w:eastAsia="en-US"/>
        </w:rPr>
      </w:pPr>
      <w:r>
        <w:rPr>
          <w:rFonts w:eastAsia="Calibri"/>
          <w:color w:val="000000"/>
          <w:lang w:eastAsia="en-US"/>
        </w:rPr>
        <w:lastRenderedPageBreak/>
        <w:t xml:space="preserve">Видно от горепосочените данни, предотвратени са щети за бюджета от акциз в размер 1,3 млн. лв., митни сборове в размер 5 000 лв., в т.ч. 1 800 лв. мито, 3 200 лв. ДДС. </w:t>
      </w:r>
    </w:p>
    <w:p w:rsidR="00523AD6" w:rsidRDefault="00523AD6" w:rsidP="00523AD6">
      <w:pPr>
        <w:autoSpaceDE w:val="0"/>
        <w:autoSpaceDN w:val="0"/>
        <w:adjustRightInd w:val="0"/>
        <w:ind w:firstLine="709"/>
        <w:jc w:val="both"/>
        <w:rPr>
          <w:rFonts w:eastAsia="Calibri"/>
          <w:color w:val="000000"/>
          <w:lang w:eastAsia="en-US"/>
        </w:rPr>
      </w:pPr>
      <w:r>
        <w:rPr>
          <w:rFonts w:eastAsia="Calibri"/>
          <w:color w:val="000000"/>
          <w:lang w:eastAsia="en-US"/>
        </w:rPr>
        <w:t>Звената за последващ контрол през 2015 г. са извършили проверки за спазване на митническото законодателство, както следва:</w:t>
      </w:r>
    </w:p>
    <w:p w:rsidR="00523AD6" w:rsidRDefault="00523AD6" w:rsidP="00781B85">
      <w:pPr>
        <w:numPr>
          <w:ilvl w:val="0"/>
          <w:numId w:val="50"/>
        </w:numPr>
        <w:autoSpaceDE w:val="0"/>
        <w:autoSpaceDN w:val="0"/>
        <w:adjustRightInd w:val="0"/>
        <w:spacing w:after="200" w:line="276" w:lineRule="auto"/>
        <w:contextualSpacing/>
        <w:jc w:val="both"/>
        <w:rPr>
          <w:color w:val="000000"/>
        </w:rPr>
      </w:pPr>
      <w:r>
        <w:rPr>
          <w:color w:val="000000"/>
        </w:rPr>
        <w:t>39 повторни проверки на декларирането по реда на чл. 78, параграф 1 от Регламент (ЕИО) № 2913/92 на Съвета, в резултат на които са установени нарушения, водещи до възникване на задължения за заплащане на публични държавни вземания на обща стойност 0,22 млн. лв., в т.ч. мито – 0,1 млн. лв., ДДС – 0,1 млн. лв. и акциз – 0,02 млн. лв.;</w:t>
      </w:r>
    </w:p>
    <w:p w:rsidR="00523AD6" w:rsidRDefault="00523AD6" w:rsidP="00781B85">
      <w:pPr>
        <w:numPr>
          <w:ilvl w:val="0"/>
          <w:numId w:val="50"/>
        </w:numPr>
        <w:autoSpaceDE w:val="0"/>
        <w:autoSpaceDN w:val="0"/>
        <w:adjustRightInd w:val="0"/>
        <w:spacing w:after="200" w:line="276" w:lineRule="auto"/>
        <w:contextualSpacing/>
        <w:jc w:val="both"/>
        <w:rPr>
          <w:color w:val="000000"/>
        </w:rPr>
      </w:pPr>
      <w:r>
        <w:rPr>
          <w:color w:val="000000"/>
        </w:rPr>
        <w:t xml:space="preserve">110 проверки в рамките на последващия контрол по реда на чл. 78, параграф 2 от Регламент (ЕИО) № 2913/92 на Съвета на икономически оператори, в резултат на които са установени нарушения, водещи до възникване на </w:t>
      </w:r>
      <w:r>
        <w:t xml:space="preserve">задължения за заплащане на публични държавни вземания на обща стойност 3 432 млн. лв., в т.ч. мито – 0,3 млн. лв. и ДДС – 3 094 млн. лева. </w:t>
      </w:r>
    </w:p>
    <w:p w:rsidR="00523AD6" w:rsidRDefault="00523AD6" w:rsidP="00523AD6">
      <w:pPr>
        <w:autoSpaceDE w:val="0"/>
        <w:autoSpaceDN w:val="0"/>
        <w:adjustRightInd w:val="0"/>
        <w:ind w:firstLine="709"/>
        <w:jc w:val="both"/>
        <w:rPr>
          <w:rFonts w:eastAsia="Calibri"/>
          <w:lang w:eastAsia="en-US"/>
        </w:rPr>
      </w:pPr>
      <w:r>
        <w:rPr>
          <w:rFonts w:eastAsia="Calibri"/>
          <w:lang w:eastAsia="en-US"/>
        </w:rPr>
        <w:t>В резултат на извършените проверки по реда на чл. 78, параграф 2 от Регламент (ЕИО) № 2913/92 на Съвета са постигнати следните резултати:</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съставени са 67 акта за установяване на административни нарушения (АУАН);</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изготвени са 8 административни акта, издадени от директора на Агенция „Митници” в качеството му на по - горестоящ административен орган;</w:t>
      </w:r>
    </w:p>
    <w:p w:rsidR="00523AD6" w:rsidRDefault="00523AD6" w:rsidP="00781B85">
      <w:pPr>
        <w:widowControl w:val="0"/>
        <w:numPr>
          <w:ilvl w:val="0"/>
          <w:numId w:val="49"/>
        </w:numPr>
        <w:overflowPunct w:val="0"/>
        <w:autoSpaceDE w:val="0"/>
        <w:autoSpaceDN w:val="0"/>
        <w:adjustRightInd w:val="0"/>
        <w:spacing w:after="200" w:line="276" w:lineRule="auto"/>
        <w:contextualSpacing/>
        <w:jc w:val="both"/>
      </w:pPr>
      <w:r>
        <w:t xml:space="preserve">извършени са 5 обмена на информация по линия на административното сътрудничество с държави членки на ЕС. </w:t>
      </w:r>
    </w:p>
    <w:p w:rsidR="00523AD6" w:rsidRDefault="00523AD6" w:rsidP="00781B85">
      <w:pPr>
        <w:numPr>
          <w:ilvl w:val="0"/>
          <w:numId w:val="51"/>
        </w:numPr>
        <w:autoSpaceDE w:val="0"/>
        <w:autoSpaceDN w:val="0"/>
        <w:adjustRightInd w:val="0"/>
        <w:spacing w:after="200" w:line="276" w:lineRule="auto"/>
        <w:contextualSpacing/>
        <w:jc w:val="both"/>
      </w:pPr>
      <w:r>
        <w:t>11 предварителни проверки във връзка с издаването на сертификати за одобрен икономически оператор (ОИО), искания за ползване на опростена процедура за деклариране чрез оформяне на място и разрешения за митнически икономически режим, както и 5 последващи проверки на титуляри на сертификат за ОИО.</w:t>
      </w:r>
    </w:p>
    <w:p w:rsidR="00523AD6" w:rsidRDefault="00523AD6" w:rsidP="00523AD6">
      <w:pPr>
        <w:autoSpaceDE w:val="0"/>
        <w:autoSpaceDN w:val="0"/>
        <w:adjustRightInd w:val="0"/>
        <w:ind w:firstLine="709"/>
        <w:jc w:val="both"/>
        <w:rPr>
          <w:rFonts w:eastAsia="Calibri"/>
          <w:lang w:eastAsia="en-US"/>
        </w:rPr>
      </w:pPr>
      <w:r>
        <w:rPr>
          <w:rFonts w:eastAsia="Calibri"/>
          <w:lang w:eastAsia="en-US"/>
        </w:rPr>
        <w:t xml:space="preserve">Звената за последващ контрол са приключили 54 ревизии на данъчнозадължени лица, като са установени задължения за акциз в размер на 14,4 млн. лв. и лихви за просрочие 2,7 млн. лева. Установените с ревизионни актове задължения за акциз са погасени – 4,0 млн. лв. и лихви за просрочие в размер на 2,1 млн. лева. </w:t>
      </w:r>
    </w:p>
    <w:p w:rsidR="00523AD6" w:rsidRDefault="00523AD6" w:rsidP="00523AD6">
      <w:pPr>
        <w:autoSpaceDE w:val="0"/>
        <w:autoSpaceDN w:val="0"/>
        <w:adjustRightInd w:val="0"/>
        <w:ind w:firstLine="709"/>
        <w:jc w:val="both"/>
        <w:rPr>
          <w:rFonts w:eastAsia="Calibri"/>
          <w:lang w:eastAsia="en-US"/>
        </w:rPr>
      </w:pPr>
      <w:r>
        <w:rPr>
          <w:rFonts w:eastAsia="Calibri"/>
          <w:lang w:eastAsia="en-US"/>
        </w:rPr>
        <w:t xml:space="preserve">Изготвени са 15 мотивирани решения, с които директорът на Агенция „Митници”, в качеството му на решаващ орган по смисъла на чл. 152, ал. 2 от Данъчно-осигурителния процесуален кодекс, се е произнесъл по жалби, подадени срещу ревизионни актове по ЗАДС. </w:t>
      </w:r>
    </w:p>
    <w:p w:rsidR="00523AD6" w:rsidRDefault="00523AD6" w:rsidP="00523AD6">
      <w:pPr>
        <w:autoSpaceDE w:val="0"/>
        <w:autoSpaceDN w:val="0"/>
        <w:adjustRightInd w:val="0"/>
        <w:ind w:firstLine="709"/>
        <w:jc w:val="both"/>
        <w:rPr>
          <w:rFonts w:eastAsia="Calibri"/>
          <w:lang w:eastAsia="en-US"/>
        </w:rPr>
      </w:pPr>
      <w:r>
        <w:rPr>
          <w:rFonts w:eastAsia="Calibri"/>
          <w:lang w:eastAsia="en-US"/>
        </w:rPr>
        <w:t xml:space="preserve">В териториалните митнически управления, през отчетния период са извършени общо 2 055 броя проверки, относно спазване на акцизното законодателство, които включват: </w:t>
      </w:r>
    </w:p>
    <w:p w:rsidR="00523AD6" w:rsidRDefault="00523AD6" w:rsidP="00781B85">
      <w:pPr>
        <w:numPr>
          <w:ilvl w:val="0"/>
          <w:numId w:val="51"/>
        </w:numPr>
        <w:autoSpaceDE w:val="0"/>
        <w:autoSpaceDN w:val="0"/>
        <w:adjustRightInd w:val="0"/>
        <w:spacing w:after="200" w:line="276" w:lineRule="auto"/>
        <w:contextualSpacing/>
        <w:jc w:val="both"/>
      </w:pPr>
      <w:r>
        <w:t>насрещни проверки - 109 броя;</w:t>
      </w:r>
    </w:p>
    <w:p w:rsidR="00523AD6" w:rsidRDefault="00523AD6" w:rsidP="00781B85">
      <w:pPr>
        <w:numPr>
          <w:ilvl w:val="0"/>
          <w:numId w:val="51"/>
        </w:numPr>
        <w:autoSpaceDE w:val="0"/>
        <w:autoSpaceDN w:val="0"/>
        <w:adjustRightInd w:val="0"/>
        <w:spacing w:after="200" w:line="276" w:lineRule="auto"/>
        <w:contextualSpacing/>
        <w:jc w:val="both"/>
      </w:pPr>
      <w:r>
        <w:t>проверки по делегация - 13 броя;</w:t>
      </w:r>
    </w:p>
    <w:p w:rsidR="00523AD6" w:rsidRDefault="00523AD6" w:rsidP="00781B85">
      <w:pPr>
        <w:numPr>
          <w:ilvl w:val="0"/>
          <w:numId w:val="51"/>
        </w:numPr>
        <w:autoSpaceDE w:val="0"/>
        <w:autoSpaceDN w:val="0"/>
        <w:adjustRightInd w:val="0"/>
        <w:spacing w:after="200" w:line="276" w:lineRule="auto"/>
        <w:contextualSpacing/>
        <w:jc w:val="both"/>
      </w:pPr>
      <w:r>
        <w:t>проверки във връзка с искания за възстановяване и прихващане на акциз - 271 броя;</w:t>
      </w:r>
    </w:p>
    <w:p w:rsidR="00523AD6" w:rsidRDefault="00523AD6" w:rsidP="00781B85">
      <w:pPr>
        <w:numPr>
          <w:ilvl w:val="0"/>
          <w:numId w:val="51"/>
        </w:numPr>
        <w:autoSpaceDE w:val="0"/>
        <w:autoSpaceDN w:val="0"/>
        <w:adjustRightInd w:val="0"/>
        <w:spacing w:after="200" w:line="276" w:lineRule="auto"/>
        <w:contextualSpacing/>
        <w:jc w:val="both"/>
      </w:pPr>
      <w:r>
        <w:t>проверки за установяване на факти и обстоятелства - 629 броя;</w:t>
      </w:r>
    </w:p>
    <w:p w:rsidR="00523AD6" w:rsidRDefault="00523AD6" w:rsidP="00781B85">
      <w:pPr>
        <w:numPr>
          <w:ilvl w:val="0"/>
          <w:numId w:val="51"/>
        </w:numPr>
        <w:autoSpaceDE w:val="0"/>
        <w:autoSpaceDN w:val="0"/>
        <w:adjustRightInd w:val="0"/>
        <w:spacing w:after="200" w:line="276" w:lineRule="auto"/>
        <w:contextualSpacing/>
        <w:jc w:val="both"/>
      </w:pPr>
      <w:r>
        <w:t>проверки във връзка с международното сътрудничество - 249 броя;</w:t>
      </w:r>
    </w:p>
    <w:p w:rsidR="00523AD6" w:rsidRDefault="00523AD6" w:rsidP="00781B85">
      <w:pPr>
        <w:numPr>
          <w:ilvl w:val="0"/>
          <w:numId w:val="51"/>
        </w:numPr>
        <w:autoSpaceDE w:val="0"/>
        <w:autoSpaceDN w:val="0"/>
        <w:adjustRightInd w:val="0"/>
        <w:spacing w:after="200" w:line="276" w:lineRule="auto"/>
        <w:contextualSpacing/>
        <w:jc w:val="both"/>
      </w:pPr>
      <w:r>
        <w:t xml:space="preserve">проверки във връзка с Наредба Н-1 за специфичните изисквания и контрола осъществяван от митническите органи върху средствата за измерване на акцизни стоки, издадена от министъра на финансите и други - 784 броя. </w:t>
      </w:r>
    </w:p>
    <w:p w:rsidR="00523AD6" w:rsidRDefault="00523AD6" w:rsidP="00523AD6">
      <w:pPr>
        <w:autoSpaceDE w:val="0"/>
        <w:autoSpaceDN w:val="0"/>
        <w:adjustRightInd w:val="0"/>
        <w:ind w:firstLine="709"/>
        <w:jc w:val="both"/>
        <w:rPr>
          <w:rFonts w:eastAsia="Calibri"/>
          <w:lang w:eastAsia="en-US"/>
        </w:rPr>
      </w:pPr>
      <w:r>
        <w:rPr>
          <w:rFonts w:eastAsia="Calibri"/>
          <w:lang w:eastAsia="en-US"/>
        </w:rPr>
        <w:t>В резултат на извършваните проверки и ревизии за допуснати нарушения на акцизното законодателство са съставени 124 АУАН по ЗАДС.</w:t>
      </w:r>
    </w:p>
    <w:p w:rsidR="005328CD" w:rsidRPr="00EC33FC" w:rsidRDefault="00523AD6" w:rsidP="00EC33FC">
      <w:pPr>
        <w:numPr>
          <w:ilvl w:val="0"/>
          <w:numId w:val="51"/>
        </w:numPr>
        <w:autoSpaceDE w:val="0"/>
        <w:autoSpaceDN w:val="0"/>
        <w:adjustRightInd w:val="0"/>
        <w:spacing w:after="200" w:line="276" w:lineRule="auto"/>
        <w:contextualSpacing/>
        <w:jc w:val="both"/>
      </w:pPr>
      <w:r w:rsidRPr="00EC33FC">
        <w:lastRenderedPageBreak/>
        <w:t>Административно сътрудничество и обмен на информация с държави членки на ЕС във връзка с извършване на контролни действия – извършени 7 обмена на информация</w:t>
      </w:r>
      <w:r w:rsidR="005328CD" w:rsidRPr="00EC33FC">
        <w:t>.</w:t>
      </w:r>
    </w:p>
    <w:p w:rsidR="005328CD" w:rsidRPr="001F6421" w:rsidRDefault="005328CD" w:rsidP="005328CD">
      <w:pPr>
        <w:tabs>
          <w:tab w:val="left" w:pos="1440"/>
        </w:tabs>
        <w:ind w:left="720"/>
        <w:jc w:val="both"/>
        <w:rPr>
          <w:color w:val="0070C0"/>
          <w:sz w:val="6"/>
          <w:szCs w:val="6"/>
        </w:rPr>
      </w:pPr>
    </w:p>
    <w:p w:rsidR="005328CD" w:rsidRPr="00867920" w:rsidRDefault="005328CD" w:rsidP="00781B85">
      <w:pPr>
        <w:pStyle w:val="Heading3"/>
        <w:pageBreakBefore/>
        <w:numPr>
          <w:ilvl w:val="1"/>
          <w:numId w:val="10"/>
        </w:numPr>
        <w:spacing w:before="0" w:after="0"/>
        <w:ind w:left="714" w:hanging="357"/>
        <w:rPr>
          <w:rFonts w:ascii="Times New Roman" w:hAnsi="Times New Roman"/>
          <w:sz w:val="24"/>
          <w:lang w:val="bg-BG"/>
        </w:rPr>
      </w:pPr>
      <w:bookmarkStart w:id="120" w:name="_Toc324863403"/>
      <w:bookmarkStart w:id="121" w:name="_Toc393728055"/>
      <w:bookmarkStart w:id="122" w:name="_Toc462146104"/>
      <w:r w:rsidRPr="00867920">
        <w:rPr>
          <w:rFonts w:ascii="Times New Roman" w:hAnsi="Times New Roman"/>
          <w:sz w:val="24"/>
          <w:lang w:val="bg-BG"/>
        </w:rPr>
        <w:lastRenderedPageBreak/>
        <w:t>Изпълнение на приходите по консолидираната фискална програма</w:t>
      </w:r>
      <w:bookmarkEnd w:id="120"/>
      <w:bookmarkEnd w:id="121"/>
      <w:bookmarkEnd w:id="122"/>
    </w:p>
    <w:p w:rsidR="005328CD" w:rsidRPr="001F6421" w:rsidRDefault="005328CD" w:rsidP="005328CD">
      <w:pPr>
        <w:tabs>
          <w:tab w:val="left" w:pos="900"/>
        </w:tabs>
        <w:ind w:firstLine="900"/>
        <w:jc w:val="both"/>
        <w:rPr>
          <w:color w:val="0070C0"/>
          <w:sz w:val="8"/>
          <w:szCs w:val="8"/>
        </w:rPr>
      </w:pPr>
    </w:p>
    <w:p w:rsidR="005328CD" w:rsidRPr="00867920" w:rsidRDefault="005328CD" w:rsidP="005328CD">
      <w:pPr>
        <w:ind w:firstLine="540"/>
        <w:jc w:val="both"/>
      </w:pPr>
      <w:r w:rsidRPr="00867920">
        <w:t>Отчетът на приходите по КФП за периода 201</w:t>
      </w:r>
      <w:r w:rsidR="00867920" w:rsidRPr="00867920">
        <w:t>2</w:t>
      </w:r>
      <w:r w:rsidRPr="00867920">
        <w:t xml:space="preserve"> г. – 201</w:t>
      </w:r>
      <w:r w:rsidR="00867920" w:rsidRPr="00867920">
        <w:t>5</w:t>
      </w:r>
      <w:r w:rsidRPr="00867920">
        <w:t xml:space="preserve"> г. по основни групи, представени и като процент от БВП, е както следва:</w:t>
      </w:r>
    </w:p>
    <w:p w:rsidR="005328CD" w:rsidRPr="00867920" w:rsidRDefault="005328CD" w:rsidP="005328CD">
      <w:pPr>
        <w:ind w:firstLine="540"/>
        <w:jc w:val="both"/>
        <w:rPr>
          <w:sz w:val="8"/>
          <w:szCs w:val="8"/>
        </w:rPr>
      </w:pPr>
    </w:p>
    <w:p w:rsidR="005328CD" w:rsidRPr="00867920" w:rsidRDefault="005328CD" w:rsidP="005328CD">
      <w:pPr>
        <w:jc w:val="center"/>
        <w:rPr>
          <w:b/>
          <w:i/>
        </w:rPr>
      </w:pPr>
      <w:r w:rsidRPr="00867920">
        <w:rPr>
          <w:b/>
          <w:i/>
        </w:rPr>
        <w:t>Приходи по консолидираната фискална програма за периода 201</w:t>
      </w:r>
      <w:r w:rsidR="00867920" w:rsidRPr="00867920">
        <w:rPr>
          <w:b/>
          <w:i/>
        </w:rPr>
        <w:t>2</w:t>
      </w:r>
      <w:r w:rsidRPr="00867920">
        <w:rPr>
          <w:b/>
          <w:i/>
        </w:rPr>
        <w:t xml:space="preserve"> г. – 201</w:t>
      </w:r>
      <w:r w:rsidR="00867920" w:rsidRPr="00867920">
        <w:rPr>
          <w:b/>
          <w:i/>
        </w:rPr>
        <w:t>5</w:t>
      </w:r>
      <w:r w:rsidRPr="00867920">
        <w:rPr>
          <w:b/>
          <w:i/>
        </w:rPr>
        <w:t xml:space="preserve"> г.</w:t>
      </w:r>
    </w:p>
    <w:p w:rsidR="005328CD" w:rsidRPr="001F6421" w:rsidRDefault="005328CD" w:rsidP="005328CD">
      <w:pPr>
        <w:jc w:val="center"/>
        <w:rPr>
          <w:b/>
          <w:i/>
          <w:color w:val="0070C0"/>
          <w:sz w:val="8"/>
          <w:szCs w:val="8"/>
        </w:rPr>
      </w:pPr>
    </w:p>
    <w:tbl>
      <w:tblPr>
        <w:tblW w:w="9214" w:type="dxa"/>
        <w:tblInd w:w="-72" w:type="dxa"/>
        <w:tblLayout w:type="fixed"/>
        <w:tblCellMar>
          <w:left w:w="70" w:type="dxa"/>
          <w:right w:w="70" w:type="dxa"/>
        </w:tblCellMar>
        <w:tblLook w:val="0000" w:firstRow="0" w:lastRow="0" w:firstColumn="0" w:lastColumn="0" w:noHBand="0" w:noVBand="0"/>
      </w:tblPr>
      <w:tblGrid>
        <w:gridCol w:w="2835"/>
        <w:gridCol w:w="851"/>
        <w:gridCol w:w="709"/>
        <w:gridCol w:w="850"/>
        <w:gridCol w:w="709"/>
        <w:gridCol w:w="992"/>
        <w:gridCol w:w="709"/>
        <w:gridCol w:w="851"/>
        <w:gridCol w:w="708"/>
      </w:tblGrid>
      <w:tr w:rsidR="001F6421" w:rsidRPr="001F6421" w:rsidTr="00E35AA8">
        <w:trPr>
          <w:trHeight w:val="127"/>
        </w:trPr>
        <w:tc>
          <w:tcPr>
            <w:tcW w:w="2835" w:type="dxa"/>
            <w:vMerge w:val="restart"/>
            <w:tcBorders>
              <w:top w:val="double" w:sz="6" w:space="0" w:color="800000"/>
              <w:left w:val="double" w:sz="6" w:space="0" w:color="800000"/>
              <w:bottom w:val="double" w:sz="6" w:space="0" w:color="800000"/>
              <w:right w:val="single" w:sz="4" w:space="0" w:color="FFFFFF"/>
            </w:tcBorders>
            <w:shd w:val="clear" w:color="auto" w:fill="800000"/>
          </w:tcPr>
          <w:p w:rsidR="005328CD" w:rsidRPr="00867920" w:rsidRDefault="005328CD" w:rsidP="00EC7A58">
            <w:pPr>
              <w:rPr>
                <w:b/>
                <w:bCs/>
              </w:rPr>
            </w:pPr>
          </w:p>
          <w:p w:rsidR="005328CD" w:rsidRPr="00867920" w:rsidRDefault="005328CD" w:rsidP="00EC7A58">
            <w:pPr>
              <w:rPr>
                <w:b/>
                <w:bCs/>
              </w:rPr>
            </w:pPr>
          </w:p>
          <w:p w:rsidR="005328CD" w:rsidRPr="00867920" w:rsidRDefault="005328CD" w:rsidP="00EC7A58">
            <w:pPr>
              <w:jc w:val="right"/>
              <w:rPr>
                <w:b/>
                <w:bCs/>
              </w:rPr>
            </w:pPr>
            <w:r w:rsidRPr="00867920">
              <w:rPr>
                <w:b/>
                <w:bCs/>
                <w:sz w:val="22"/>
                <w:szCs w:val="22"/>
              </w:rPr>
              <w:t>(млн. лв.)</w:t>
            </w:r>
          </w:p>
        </w:tc>
        <w:tc>
          <w:tcPr>
            <w:tcW w:w="1560" w:type="dxa"/>
            <w:gridSpan w:val="2"/>
            <w:tcBorders>
              <w:top w:val="double" w:sz="6" w:space="0" w:color="800000"/>
              <w:left w:val="nil"/>
              <w:bottom w:val="single" w:sz="4" w:space="0" w:color="FFFFFF"/>
              <w:right w:val="single" w:sz="4" w:space="0" w:color="FFFFFF"/>
            </w:tcBorders>
            <w:shd w:val="clear" w:color="auto" w:fill="800000"/>
          </w:tcPr>
          <w:p w:rsidR="005328CD" w:rsidRPr="00867920" w:rsidRDefault="005328CD" w:rsidP="00867920">
            <w:pPr>
              <w:jc w:val="center"/>
              <w:rPr>
                <w:b/>
                <w:bCs/>
                <w:sz w:val="20"/>
                <w:szCs w:val="20"/>
              </w:rPr>
            </w:pPr>
            <w:r w:rsidRPr="00867920">
              <w:rPr>
                <w:b/>
                <w:bCs/>
                <w:sz w:val="20"/>
                <w:szCs w:val="20"/>
              </w:rPr>
              <w:t>201</w:t>
            </w:r>
            <w:r w:rsidR="00867920">
              <w:rPr>
                <w:b/>
                <w:bCs/>
                <w:sz w:val="20"/>
                <w:szCs w:val="20"/>
              </w:rPr>
              <w:t>2</w:t>
            </w:r>
            <w:r w:rsidRPr="00867920">
              <w:rPr>
                <w:b/>
                <w:bCs/>
                <w:sz w:val="20"/>
                <w:szCs w:val="20"/>
              </w:rPr>
              <w:t xml:space="preserve"> г.</w:t>
            </w:r>
          </w:p>
        </w:tc>
        <w:tc>
          <w:tcPr>
            <w:tcW w:w="1559" w:type="dxa"/>
            <w:gridSpan w:val="2"/>
            <w:tcBorders>
              <w:top w:val="double" w:sz="6" w:space="0" w:color="800000"/>
              <w:left w:val="nil"/>
              <w:bottom w:val="single" w:sz="4" w:space="0" w:color="FFFFFF"/>
              <w:right w:val="single" w:sz="4" w:space="0" w:color="FFFFFF"/>
            </w:tcBorders>
            <w:shd w:val="clear" w:color="auto" w:fill="800000"/>
            <w:noWrap/>
          </w:tcPr>
          <w:p w:rsidR="005328CD" w:rsidRPr="00867920" w:rsidRDefault="005328CD" w:rsidP="00867920">
            <w:pPr>
              <w:jc w:val="center"/>
              <w:rPr>
                <w:b/>
                <w:bCs/>
                <w:sz w:val="20"/>
                <w:szCs w:val="20"/>
              </w:rPr>
            </w:pPr>
            <w:r w:rsidRPr="00867920">
              <w:rPr>
                <w:b/>
                <w:bCs/>
                <w:sz w:val="20"/>
                <w:szCs w:val="20"/>
              </w:rPr>
              <w:t>201</w:t>
            </w:r>
            <w:r w:rsidR="00867920">
              <w:rPr>
                <w:b/>
                <w:bCs/>
                <w:sz w:val="20"/>
                <w:szCs w:val="20"/>
              </w:rPr>
              <w:t>3</w:t>
            </w:r>
            <w:r w:rsidRPr="00867920">
              <w:rPr>
                <w:b/>
                <w:bCs/>
                <w:sz w:val="20"/>
                <w:szCs w:val="20"/>
              </w:rPr>
              <w:t xml:space="preserve"> г.</w:t>
            </w:r>
          </w:p>
        </w:tc>
        <w:tc>
          <w:tcPr>
            <w:tcW w:w="1701" w:type="dxa"/>
            <w:gridSpan w:val="2"/>
            <w:tcBorders>
              <w:top w:val="double" w:sz="6" w:space="0" w:color="800000"/>
              <w:left w:val="single" w:sz="4" w:space="0" w:color="FFFFFF"/>
              <w:bottom w:val="single" w:sz="4" w:space="0" w:color="FFFFFF"/>
              <w:right w:val="single" w:sz="4" w:space="0" w:color="FFFFFF"/>
            </w:tcBorders>
            <w:shd w:val="clear" w:color="auto" w:fill="800000"/>
          </w:tcPr>
          <w:p w:rsidR="005328CD" w:rsidRPr="00867920" w:rsidRDefault="005328CD" w:rsidP="00867920">
            <w:pPr>
              <w:jc w:val="center"/>
              <w:rPr>
                <w:b/>
                <w:bCs/>
                <w:sz w:val="20"/>
                <w:szCs w:val="20"/>
              </w:rPr>
            </w:pPr>
            <w:r w:rsidRPr="00867920">
              <w:rPr>
                <w:b/>
                <w:bCs/>
                <w:sz w:val="20"/>
                <w:szCs w:val="20"/>
              </w:rPr>
              <w:t>201</w:t>
            </w:r>
            <w:r w:rsidR="00867920">
              <w:rPr>
                <w:b/>
                <w:bCs/>
                <w:sz w:val="20"/>
                <w:szCs w:val="20"/>
              </w:rPr>
              <w:t>4</w:t>
            </w:r>
            <w:r w:rsidRPr="00867920">
              <w:rPr>
                <w:b/>
                <w:bCs/>
                <w:sz w:val="20"/>
                <w:szCs w:val="20"/>
              </w:rPr>
              <w:t xml:space="preserve"> г.</w:t>
            </w:r>
          </w:p>
        </w:tc>
        <w:tc>
          <w:tcPr>
            <w:tcW w:w="1559" w:type="dxa"/>
            <w:gridSpan w:val="2"/>
            <w:tcBorders>
              <w:top w:val="double" w:sz="6" w:space="0" w:color="800000"/>
              <w:left w:val="nil"/>
              <w:bottom w:val="single" w:sz="4" w:space="0" w:color="FFFFFF"/>
              <w:right w:val="double" w:sz="6" w:space="0" w:color="800000"/>
            </w:tcBorders>
            <w:shd w:val="clear" w:color="auto" w:fill="800000"/>
          </w:tcPr>
          <w:p w:rsidR="005328CD" w:rsidRPr="00867920" w:rsidRDefault="005328CD" w:rsidP="00867920">
            <w:pPr>
              <w:jc w:val="center"/>
              <w:rPr>
                <w:b/>
                <w:bCs/>
                <w:sz w:val="20"/>
                <w:szCs w:val="20"/>
              </w:rPr>
            </w:pPr>
            <w:r w:rsidRPr="00867920">
              <w:rPr>
                <w:b/>
                <w:bCs/>
                <w:sz w:val="20"/>
                <w:szCs w:val="20"/>
              </w:rPr>
              <w:t>201</w:t>
            </w:r>
            <w:r w:rsidR="00867920">
              <w:rPr>
                <w:b/>
                <w:bCs/>
                <w:sz w:val="20"/>
                <w:szCs w:val="20"/>
              </w:rPr>
              <w:t>5</w:t>
            </w:r>
            <w:r w:rsidRPr="00867920">
              <w:rPr>
                <w:b/>
                <w:bCs/>
                <w:sz w:val="20"/>
                <w:szCs w:val="20"/>
              </w:rPr>
              <w:t xml:space="preserve"> г.</w:t>
            </w:r>
          </w:p>
        </w:tc>
      </w:tr>
      <w:tr w:rsidR="00EB39C9" w:rsidRPr="001F6421" w:rsidTr="00E35AA8">
        <w:trPr>
          <w:trHeight w:val="465"/>
        </w:trPr>
        <w:tc>
          <w:tcPr>
            <w:tcW w:w="2835" w:type="dxa"/>
            <w:vMerge/>
            <w:tcBorders>
              <w:top w:val="double" w:sz="6" w:space="0" w:color="FFFFFF"/>
              <w:left w:val="double" w:sz="6" w:space="0" w:color="800000"/>
              <w:bottom w:val="double" w:sz="6" w:space="0" w:color="800000"/>
              <w:right w:val="single" w:sz="4" w:space="0" w:color="FFFFFF"/>
            </w:tcBorders>
            <w:vAlign w:val="center"/>
          </w:tcPr>
          <w:p w:rsidR="00EB39C9" w:rsidRPr="00867920" w:rsidRDefault="00EB39C9" w:rsidP="00EC7A58">
            <w:pPr>
              <w:rPr>
                <w:b/>
                <w:bCs/>
              </w:rPr>
            </w:pPr>
          </w:p>
        </w:tc>
        <w:tc>
          <w:tcPr>
            <w:tcW w:w="851" w:type="dxa"/>
            <w:tcBorders>
              <w:top w:val="nil"/>
              <w:left w:val="nil"/>
              <w:bottom w:val="double" w:sz="6" w:space="0" w:color="800000"/>
              <w:right w:val="single" w:sz="4" w:space="0" w:color="FFFFFF"/>
            </w:tcBorders>
            <w:shd w:val="clear" w:color="auto" w:fill="800000"/>
          </w:tcPr>
          <w:p w:rsidR="00EB39C9" w:rsidRPr="00867920" w:rsidRDefault="00EB39C9" w:rsidP="00EC7A58">
            <w:pPr>
              <w:spacing w:before="100" w:beforeAutospacing="1" w:after="100" w:afterAutospacing="1"/>
              <w:ind w:left="-430" w:firstLine="430"/>
              <w:jc w:val="center"/>
              <w:rPr>
                <w:b/>
                <w:bCs/>
                <w:sz w:val="16"/>
                <w:szCs w:val="16"/>
              </w:rPr>
            </w:pPr>
            <w:r w:rsidRPr="00867920">
              <w:rPr>
                <w:b/>
                <w:bCs/>
                <w:sz w:val="16"/>
                <w:szCs w:val="16"/>
              </w:rPr>
              <w:t>Отчет</w:t>
            </w:r>
          </w:p>
        </w:tc>
        <w:tc>
          <w:tcPr>
            <w:tcW w:w="709" w:type="dxa"/>
            <w:tcBorders>
              <w:top w:val="nil"/>
              <w:left w:val="nil"/>
              <w:bottom w:val="double" w:sz="6" w:space="0" w:color="800000"/>
              <w:right w:val="single" w:sz="4" w:space="0" w:color="FFFFFF"/>
            </w:tcBorders>
            <w:shd w:val="clear" w:color="auto" w:fill="800000"/>
          </w:tcPr>
          <w:p w:rsidR="00EB39C9" w:rsidRPr="00867920" w:rsidRDefault="00EB39C9" w:rsidP="00EC7A58">
            <w:pPr>
              <w:spacing w:before="100" w:beforeAutospacing="1" w:after="100" w:afterAutospacing="1"/>
              <w:jc w:val="center"/>
              <w:rPr>
                <w:b/>
                <w:bCs/>
                <w:sz w:val="16"/>
                <w:szCs w:val="16"/>
              </w:rPr>
            </w:pPr>
            <w:r w:rsidRPr="00867920">
              <w:rPr>
                <w:b/>
                <w:bCs/>
                <w:sz w:val="16"/>
                <w:szCs w:val="16"/>
              </w:rPr>
              <w:t>%БВП</w:t>
            </w:r>
          </w:p>
        </w:tc>
        <w:tc>
          <w:tcPr>
            <w:tcW w:w="850" w:type="dxa"/>
            <w:tcBorders>
              <w:top w:val="nil"/>
              <w:left w:val="nil"/>
              <w:bottom w:val="double" w:sz="6" w:space="0" w:color="800000"/>
              <w:right w:val="single" w:sz="4" w:space="0" w:color="FFFFFF"/>
            </w:tcBorders>
            <w:shd w:val="clear" w:color="auto" w:fill="800000"/>
          </w:tcPr>
          <w:p w:rsidR="00EB39C9" w:rsidRPr="00867920" w:rsidRDefault="00EB39C9" w:rsidP="00EC7A58">
            <w:pPr>
              <w:spacing w:before="100" w:beforeAutospacing="1" w:after="100" w:afterAutospacing="1"/>
              <w:jc w:val="center"/>
              <w:rPr>
                <w:b/>
                <w:bCs/>
                <w:sz w:val="16"/>
                <w:szCs w:val="16"/>
              </w:rPr>
            </w:pPr>
            <w:r w:rsidRPr="00867920">
              <w:rPr>
                <w:b/>
                <w:bCs/>
                <w:sz w:val="16"/>
                <w:szCs w:val="16"/>
              </w:rPr>
              <w:t>Отчет</w:t>
            </w:r>
          </w:p>
        </w:tc>
        <w:tc>
          <w:tcPr>
            <w:tcW w:w="709" w:type="dxa"/>
            <w:tcBorders>
              <w:top w:val="nil"/>
              <w:left w:val="nil"/>
              <w:bottom w:val="double" w:sz="6" w:space="0" w:color="800000"/>
              <w:right w:val="single" w:sz="4" w:space="0" w:color="FFFFFF"/>
            </w:tcBorders>
            <w:shd w:val="clear" w:color="auto" w:fill="800000"/>
          </w:tcPr>
          <w:p w:rsidR="00EB39C9" w:rsidRPr="00867920" w:rsidRDefault="00EB39C9" w:rsidP="00EC7A58">
            <w:pPr>
              <w:spacing w:before="100" w:beforeAutospacing="1" w:after="100" w:afterAutospacing="1"/>
              <w:jc w:val="center"/>
              <w:rPr>
                <w:b/>
                <w:bCs/>
                <w:sz w:val="16"/>
                <w:szCs w:val="16"/>
              </w:rPr>
            </w:pPr>
            <w:r w:rsidRPr="00867920">
              <w:rPr>
                <w:b/>
                <w:bCs/>
                <w:sz w:val="16"/>
                <w:szCs w:val="16"/>
              </w:rPr>
              <w:t>%БВП</w:t>
            </w:r>
          </w:p>
        </w:tc>
        <w:tc>
          <w:tcPr>
            <w:tcW w:w="992" w:type="dxa"/>
            <w:tcBorders>
              <w:top w:val="nil"/>
              <w:left w:val="nil"/>
              <w:bottom w:val="double" w:sz="6" w:space="0" w:color="800000"/>
              <w:right w:val="single" w:sz="4" w:space="0" w:color="FFFFFF"/>
            </w:tcBorders>
            <w:shd w:val="clear" w:color="auto" w:fill="800000"/>
          </w:tcPr>
          <w:p w:rsidR="00EB39C9" w:rsidRPr="00867920" w:rsidRDefault="00EB39C9" w:rsidP="00EC7A58">
            <w:pPr>
              <w:spacing w:before="100" w:beforeAutospacing="1" w:after="100" w:afterAutospacing="1"/>
              <w:jc w:val="center"/>
              <w:rPr>
                <w:b/>
                <w:bCs/>
                <w:sz w:val="16"/>
                <w:szCs w:val="16"/>
              </w:rPr>
            </w:pPr>
            <w:r w:rsidRPr="00867920">
              <w:rPr>
                <w:b/>
                <w:bCs/>
                <w:sz w:val="16"/>
                <w:szCs w:val="16"/>
              </w:rPr>
              <w:t>Отчет</w:t>
            </w:r>
          </w:p>
        </w:tc>
        <w:tc>
          <w:tcPr>
            <w:tcW w:w="709" w:type="dxa"/>
            <w:tcBorders>
              <w:top w:val="nil"/>
              <w:left w:val="nil"/>
              <w:bottom w:val="double" w:sz="6" w:space="0" w:color="800000"/>
              <w:right w:val="single" w:sz="4" w:space="0" w:color="FFFFFF"/>
            </w:tcBorders>
            <w:shd w:val="clear" w:color="auto" w:fill="800000"/>
          </w:tcPr>
          <w:p w:rsidR="00EB39C9" w:rsidRPr="00867920" w:rsidRDefault="00EB39C9" w:rsidP="00EC7A58">
            <w:pPr>
              <w:jc w:val="center"/>
              <w:rPr>
                <w:b/>
                <w:bCs/>
                <w:sz w:val="16"/>
                <w:szCs w:val="16"/>
              </w:rPr>
            </w:pPr>
            <w:r w:rsidRPr="00867920">
              <w:rPr>
                <w:b/>
                <w:bCs/>
                <w:sz w:val="16"/>
                <w:szCs w:val="16"/>
              </w:rPr>
              <w:t>%БВП</w:t>
            </w:r>
          </w:p>
        </w:tc>
        <w:tc>
          <w:tcPr>
            <w:tcW w:w="851" w:type="dxa"/>
            <w:tcBorders>
              <w:top w:val="nil"/>
              <w:left w:val="nil"/>
              <w:bottom w:val="double" w:sz="6" w:space="0" w:color="800000"/>
              <w:right w:val="single" w:sz="4" w:space="0" w:color="FFFFFF"/>
            </w:tcBorders>
            <w:shd w:val="clear" w:color="auto" w:fill="800000"/>
          </w:tcPr>
          <w:p w:rsidR="00EB39C9" w:rsidRPr="00867920" w:rsidRDefault="00EB39C9" w:rsidP="00EC7A58">
            <w:pPr>
              <w:jc w:val="center"/>
              <w:rPr>
                <w:b/>
                <w:bCs/>
                <w:sz w:val="16"/>
                <w:szCs w:val="16"/>
              </w:rPr>
            </w:pPr>
            <w:r w:rsidRPr="00867920">
              <w:rPr>
                <w:b/>
                <w:bCs/>
                <w:sz w:val="16"/>
                <w:szCs w:val="16"/>
              </w:rPr>
              <w:t>Отчет</w:t>
            </w:r>
          </w:p>
        </w:tc>
        <w:tc>
          <w:tcPr>
            <w:tcW w:w="708" w:type="dxa"/>
            <w:tcBorders>
              <w:top w:val="nil"/>
              <w:left w:val="nil"/>
              <w:bottom w:val="double" w:sz="6" w:space="0" w:color="800000"/>
              <w:right w:val="double" w:sz="6" w:space="0" w:color="800000"/>
            </w:tcBorders>
            <w:shd w:val="clear" w:color="auto" w:fill="800000"/>
          </w:tcPr>
          <w:p w:rsidR="00EB39C9" w:rsidRPr="00867920" w:rsidRDefault="00EB39C9" w:rsidP="00EC7A58">
            <w:pPr>
              <w:jc w:val="center"/>
              <w:rPr>
                <w:b/>
                <w:bCs/>
                <w:sz w:val="16"/>
                <w:szCs w:val="16"/>
              </w:rPr>
            </w:pPr>
            <w:r w:rsidRPr="00867920">
              <w:rPr>
                <w:b/>
                <w:bCs/>
                <w:sz w:val="16"/>
                <w:szCs w:val="16"/>
              </w:rPr>
              <w:t>%БВП</w:t>
            </w:r>
          </w:p>
        </w:tc>
      </w:tr>
      <w:tr w:rsidR="00EB39C9" w:rsidRPr="001F6421" w:rsidTr="00E35AA8">
        <w:trPr>
          <w:trHeight w:val="130"/>
        </w:trPr>
        <w:tc>
          <w:tcPr>
            <w:tcW w:w="2835" w:type="dxa"/>
            <w:tcBorders>
              <w:top w:val="double" w:sz="6" w:space="0" w:color="800000"/>
              <w:left w:val="double" w:sz="6" w:space="0" w:color="800000"/>
              <w:bottom w:val="nil"/>
              <w:right w:val="single" w:sz="4" w:space="0" w:color="800000"/>
            </w:tcBorders>
            <w:shd w:val="clear" w:color="auto" w:fill="FFFFCC"/>
            <w:vAlign w:val="bottom"/>
          </w:tcPr>
          <w:p w:rsidR="00EB39C9" w:rsidRPr="00867920" w:rsidRDefault="00EB39C9" w:rsidP="00EC7A58">
            <w:pPr>
              <w:rPr>
                <w:b/>
                <w:bCs/>
              </w:rPr>
            </w:pPr>
            <w:r w:rsidRPr="00867920">
              <w:rPr>
                <w:b/>
                <w:bCs/>
                <w:sz w:val="22"/>
                <w:szCs w:val="22"/>
              </w:rPr>
              <w:t>ОБЩО ПРИХОДИ</w:t>
            </w:r>
          </w:p>
        </w:tc>
        <w:tc>
          <w:tcPr>
            <w:tcW w:w="851" w:type="dxa"/>
            <w:tcBorders>
              <w:top w:val="double" w:sz="6" w:space="0" w:color="800000"/>
              <w:left w:val="nil"/>
              <w:bottom w:val="nil"/>
              <w:right w:val="single" w:sz="4" w:space="0" w:color="800000"/>
            </w:tcBorders>
            <w:shd w:val="clear" w:color="auto" w:fill="FFFFCC"/>
            <w:vAlign w:val="bottom"/>
          </w:tcPr>
          <w:p w:rsidR="00EB39C9" w:rsidRDefault="00EB39C9">
            <w:pPr>
              <w:jc w:val="right"/>
              <w:rPr>
                <w:b/>
                <w:bCs/>
                <w:sz w:val="20"/>
                <w:szCs w:val="20"/>
              </w:rPr>
            </w:pPr>
            <w:r>
              <w:rPr>
                <w:b/>
                <w:bCs/>
                <w:sz w:val="20"/>
                <w:szCs w:val="20"/>
              </w:rPr>
              <w:t>27 469,4</w:t>
            </w:r>
          </w:p>
        </w:tc>
        <w:tc>
          <w:tcPr>
            <w:tcW w:w="709" w:type="dxa"/>
            <w:tcBorders>
              <w:top w:val="double" w:sz="6" w:space="0" w:color="800000"/>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33,7%</w:t>
            </w:r>
          </w:p>
        </w:tc>
        <w:tc>
          <w:tcPr>
            <w:tcW w:w="850" w:type="dxa"/>
            <w:tcBorders>
              <w:top w:val="double" w:sz="6" w:space="0" w:color="800000"/>
              <w:left w:val="nil"/>
              <w:bottom w:val="nil"/>
              <w:right w:val="single" w:sz="4" w:space="0" w:color="800000"/>
            </w:tcBorders>
            <w:shd w:val="clear" w:color="auto" w:fill="FFFFCC"/>
            <w:vAlign w:val="bottom"/>
          </w:tcPr>
          <w:p w:rsidR="00EB39C9" w:rsidRDefault="00EB39C9">
            <w:pPr>
              <w:jc w:val="right"/>
              <w:rPr>
                <w:b/>
                <w:bCs/>
                <w:sz w:val="20"/>
                <w:szCs w:val="20"/>
              </w:rPr>
            </w:pPr>
            <w:r>
              <w:rPr>
                <w:b/>
                <w:bCs/>
                <w:sz w:val="20"/>
                <w:szCs w:val="20"/>
              </w:rPr>
              <w:t>28 977,2</w:t>
            </w:r>
          </w:p>
        </w:tc>
        <w:tc>
          <w:tcPr>
            <w:tcW w:w="709" w:type="dxa"/>
            <w:tcBorders>
              <w:top w:val="double" w:sz="6" w:space="0" w:color="800000"/>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35,4%</w:t>
            </w:r>
          </w:p>
        </w:tc>
        <w:tc>
          <w:tcPr>
            <w:tcW w:w="992" w:type="dxa"/>
            <w:tcBorders>
              <w:top w:val="double" w:sz="6" w:space="0" w:color="800000"/>
              <w:left w:val="nil"/>
              <w:bottom w:val="nil"/>
              <w:right w:val="single" w:sz="4" w:space="0" w:color="800000"/>
            </w:tcBorders>
            <w:shd w:val="clear" w:color="auto" w:fill="FFFFCC"/>
            <w:vAlign w:val="bottom"/>
          </w:tcPr>
          <w:p w:rsidR="00EB39C9" w:rsidRDefault="00EB39C9">
            <w:pPr>
              <w:jc w:val="right"/>
              <w:rPr>
                <w:b/>
                <w:bCs/>
                <w:sz w:val="20"/>
                <w:szCs w:val="20"/>
              </w:rPr>
            </w:pPr>
            <w:r>
              <w:rPr>
                <w:b/>
                <w:bCs/>
                <w:sz w:val="20"/>
                <w:szCs w:val="20"/>
              </w:rPr>
              <w:t>29 409,1</w:t>
            </w:r>
          </w:p>
        </w:tc>
        <w:tc>
          <w:tcPr>
            <w:tcW w:w="709" w:type="dxa"/>
            <w:tcBorders>
              <w:top w:val="double" w:sz="6" w:space="0" w:color="800000"/>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35,2%</w:t>
            </w:r>
          </w:p>
        </w:tc>
        <w:tc>
          <w:tcPr>
            <w:tcW w:w="851" w:type="dxa"/>
            <w:tcBorders>
              <w:top w:val="double" w:sz="6" w:space="0" w:color="800000"/>
              <w:left w:val="nil"/>
              <w:bottom w:val="nil"/>
              <w:right w:val="single" w:sz="4" w:space="0" w:color="800000"/>
            </w:tcBorders>
            <w:shd w:val="clear" w:color="auto" w:fill="FFFFCC"/>
            <w:vAlign w:val="bottom"/>
          </w:tcPr>
          <w:p w:rsidR="00EB39C9" w:rsidRDefault="00EB39C9" w:rsidP="00585366">
            <w:pPr>
              <w:jc w:val="right"/>
              <w:rPr>
                <w:b/>
                <w:bCs/>
                <w:sz w:val="20"/>
                <w:szCs w:val="20"/>
              </w:rPr>
            </w:pPr>
            <w:r>
              <w:rPr>
                <w:b/>
                <w:bCs/>
                <w:sz w:val="20"/>
                <w:szCs w:val="20"/>
              </w:rPr>
              <w:t xml:space="preserve">32 </w:t>
            </w:r>
            <w:r w:rsidR="00585366">
              <w:rPr>
                <w:b/>
                <w:bCs/>
                <w:sz w:val="20"/>
                <w:szCs w:val="20"/>
                <w:lang w:val="en-US"/>
              </w:rPr>
              <w:t>199</w:t>
            </w:r>
            <w:r>
              <w:rPr>
                <w:b/>
                <w:bCs/>
                <w:sz w:val="20"/>
                <w:szCs w:val="20"/>
              </w:rPr>
              <w:t>,</w:t>
            </w:r>
            <w:r w:rsidR="00585366">
              <w:rPr>
                <w:b/>
                <w:bCs/>
                <w:sz w:val="20"/>
                <w:szCs w:val="20"/>
                <w:lang w:val="en-US"/>
              </w:rPr>
              <w:t>5</w:t>
            </w:r>
          </w:p>
        </w:tc>
        <w:tc>
          <w:tcPr>
            <w:tcW w:w="708" w:type="dxa"/>
            <w:tcBorders>
              <w:top w:val="double" w:sz="6" w:space="0" w:color="800000"/>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37,3%</w:t>
            </w: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spacing w:before="100" w:beforeAutospacing="1" w:after="100" w:afterAutospacing="1"/>
              <w:rPr>
                <w:b/>
                <w:bCs/>
                <w:sz w:val="4"/>
                <w:szCs w:val="4"/>
              </w:rPr>
            </w:pPr>
            <w:r w:rsidRPr="00867920">
              <w:rPr>
                <w:b/>
                <w:bCs/>
                <w:sz w:val="4"/>
                <w:szCs w:val="4"/>
              </w:rPr>
              <w:t>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r>
      <w:tr w:rsidR="00EB39C9" w:rsidRPr="001F6421" w:rsidTr="00E35AA8">
        <w:trPr>
          <w:trHeight w:val="114"/>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spacing w:before="100" w:beforeAutospacing="1" w:after="100" w:afterAutospacing="1"/>
              <w:rPr>
                <w:b/>
                <w:bCs/>
                <w:sz w:val="20"/>
                <w:szCs w:val="20"/>
              </w:rPr>
            </w:pPr>
            <w:r w:rsidRPr="00867920">
              <w:rPr>
                <w:b/>
                <w:bCs/>
                <w:sz w:val="20"/>
                <w:szCs w:val="20"/>
              </w:rPr>
              <w:t>Данъчни приходи</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20"/>
                <w:szCs w:val="20"/>
              </w:rPr>
            </w:pPr>
            <w:r>
              <w:rPr>
                <w:b/>
                <w:bCs/>
                <w:sz w:val="20"/>
                <w:szCs w:val="20"/>
              </w:rPr>
              <w:t>21 529,0</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26,4%</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b/>
                <w:bCs/>
                <w:sz w:val="20"/>
                <w:szCs w:val="20"/>
              </w:rPr>
            </w:pPr>
            <w:r>
              <w:rPr>
                <w:b/>
                <w:bCs/>
                <w:sz w:val="20"/>
                <w:szCs w:val="20"/>
              </w:rPr>
              <w:t>22 370,3</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27,3%</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b/>
                <w:bCs/>
                <w:sz w:val="20"/>
                <w:szCs w:val="20"/>
              </w:rPr>
            </w:pPr>
            <w:r>
              <w:rPr>
                <w:b/>
                <w:bCs/>
                <w:sz w:val="20"/>
                <w:szCs w:val="20"/>
              </w:rPr>
              <w:t>23 027,8</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27,5%</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20"/>
                <w:szCs w:val="20"/>
              </w:rPr>
            </w:pPr>
            <w:r>
              <w:rPr>
                <w:b/>
                <w:bCs/>
                <w:sz w:val="20"/>
                <w:szCs w:val="20"/>
              </w:rPr>
              <w:t>24 855,6</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28,8%</w:t>
            </w: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4"/>
                <w:szCs w:val="4"/>
              </w:rPr>
            </w:pP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r>
      <w:tr w:rsidR="00EB39C9" w:rsidRPr="001F6421" w:rsidTr="00E35AA8">
        <w:trPr>
          <w:trHeight w:val="125"/>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spacing w:before="100" w:beforeAutospacing="1" w:after="100" w:afterAutospacing="1"/>
              <w:rPr>
                <w:b/>
                <w:bCs/>
                <w:iCs/>
                <w:sz w:val="20"/>
                <w:szCs w:val="20"/>
              </w:rPr>
            </w:pPr>
            <w:r w:rsidRPr="00867920">
              <w:rPr>
                <w:b/>
                <w:bCs/>
                <w:iCs/>
                <w:sz w:val="20"/>
                <w:szCs w:val="20"/>
              </w:rPr>
              <w:t xml:space="preserve">Преки данъци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3 775,7</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4,6%</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3 901,5</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4,8%</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4 275,9</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5,1%</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4 591,6</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5,3%</w:t>
            </w: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spacing w:before="100" w:beforeAutospacing="1" w:after="100" w:afterAutospacing="1"/>
              <w:ind w:firstLine="442"/>
              <w:rPr>
                <w:sz w:val="20"/>
                <w:szCs w:val="20"/>
              </w:rPr>
            </w:pPr>
            <w:r w:rsidRPr="00867920">
              <w:rPr>
                <w:sz w:val="20"/>
                <w:szCs w:val="20"/>
              </w:rPr>
              <w:t xml:space="preserve">Корпоративни данъци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1 478,1</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1,8%</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1 553,0</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1,9%</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1 679,3</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2,0%</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1 860,4</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2,2%</w:t>
            </w:r>
          </w:p>
        </w:tc>
      </w:tr>
      <w:tr w:rsidR="00EB39C9" w:rsidRPr="001F6421" w:rsidTr="00E35AA8">
        <w:trPr>
          <w:trHeight w:val="133"/>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spacing w:before="100" w:beforeAutospacing="1" w:after="100" w:afterAutospacing="1"/>
              <w:rPr>
                <w:b/>
                <w:bCs/>
                <w:sz w:val="18"/>
                <w:szCs w:val="18"/>
              </w:rPr>
            </w:pPr>
            <w:r w:rsidRPr="00867920">
              <w:rPr>
                <w:b/>
                <w:bCs/>
                <w:sz w:val="18"/>
                <w:szCs w:val="18"/>
              </w:rPr>
              <w:t xml:space="preserve">          - </w:t>
            </w:r>
            <w:r w:rsidRPr="00867920">
              <w:rPr>
                <w:sz w:val="20"/>
                <w:szCs w:val="20"/>
              </w:rPr>
              <w:t xml:space="preserve">от нефин. предприятия </w:t>
            </w:r>
            <w:r w:rsidRPr="00867920">
              <w:rPr>
                <w:sz w:val="18"/>
                <w:szCs w:val="18"/>
              </w:rPr>
              <w:t>*</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1 339,1</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1,6%</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1 415,8</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1,7%</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1 533,2</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1,8%</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1 680,3</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1,9%</w:t>
            </w: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spacing w:before="100" w:beforeAutospacing="1" w:after="100" w:afterAutospacing="1"/>
              <w:rPr>
                <w:sz w:val="20"/>
                <w:szCs w:val="20"/>
              </w:rPr>
            </w:pPr>
            <w:r w:rsidRPr="00867920">
              <w:rPr>
                <w:sz w:val="20"/>
                <w:szCs w:val="20"/>
              </w:rPr>
              <w:t xml:space="preserve">         - финансов сектор</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139,0</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0,2%</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137,2</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0,2%</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146,1</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0,2%</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180,1</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0,2%</w:t>
            </w:r>
          </w:p>
        </w:tc>
      </w:tr>
      <w:tr w:rsidR="00EB39C9" w:rsidRPr="001F6421" w:rsidTr="00E35AA8">
        <w:trPr>
          <w:trHeight w:val="168"/>
        </w:trPr>
        <w:tc>
          <w:tcPr>
            <w:tcW w:w="2835" w:type="dxa"/>
            <w:tcBorders>
              <w:top w:val="nil"/>
              <w:left w:val="double" w:sz="6" w:space="0" w:color="800000"/>
              <w:bottom w:val="nil"/>
              <w:right w:val="single" w:sz="4" w:space="0" w:color="800000"/>
            </w:tcBorders>
            <w:shd w:val="clear" w:color="auto" w:fill="FFFFCC"/>
            <w:vAlign w:val="bottom"/>
          </w:tcPr>
          <w:p w:rsidR="00EB39C9" w:rsidRPr="00867920" w:rsidRDefault="00EB39C9" w:rsidP="00EC7A58">
            <w:pPr>
              <w:spacing w:before="100" w:beforeAutospacing="1" w:after="100" w:afterAutospacing="1"/>
              <w:ind w:left="442"/>
            </w:pPr>
            <w:r w:rsidRPr="00867920">
              <w:rPr>
                <w:sz w:val="20"/>
                <w:szCs w:val="20"/>
              </w:rPr>
              <w:t>ДДФЛ</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2 297,7</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2,8%</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2 348,5</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2,9%</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2 596,6</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3,1%</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2 731,2</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3,2%</w:t>
            </w: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spacing w:before="100" w:beforeAutospacing="1" w:after="100" w:afterAutospacing="1"/>
              <w:ind w:left="442"/>
              <w:rPr>
                <w:sz w:val="4"/>
                <w:szCs w:val="4"/>
              </w:rPr>
            </w:pPr>
            <w:r w:rsidRPr="00867920">
              <w:rPr>
                <w:sz w:val="4"/>
                <w:szCs w:val="4"/>
              </w:rPr>
              <w:t>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p>
        </w:tc>
        <w:tc>
          <w:tcPr>
            <w:tcW w:w="850"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p>
        </w:tc>
        <w:tc>
          <w:tcPr>
            <w:tcW w:w="992" w:type="dxa"/>
            <w:tcBorders>
              <w:top w:val="nil"/>
              <w:left w:val="nil"/>
              <w:bottom w:val="nil"/>
              <w:right w:val="single" w:sz="4" w:space="0" w:color="800000"/>
            </w:tcBorders>
            <w:shd w:val="clear" w:color="auto" w:fill="FFFFCC"/>
            <w:vAlign w:val="bottom"/>
          </w:tcPr>
          <w:p w:rsidR="00EB39C9" w:rsidRPr="001F6421" w:rsidRDefault="00EB39C9" w:rsidP="00EC7A58">
            <w:pPr>
              <w:spacing w:before="100" w:beforeAutospacing="1" w:after="100" w:afterAutospacing="1"/>
              <w:rPr>
                <w:color w:val="0070C0"/>
                <w:sz w:val="18"/>
                <w:szCs w:val="18"/>
              </w:rPr>
            </w:pPr>
            <w:r w:rsidRPr="001F6421">
              <w:rPr>
                <w:color w:val="0070C0"/>
                <w:sz w:val="18"/>
                <w:szCs w:val="18"/>
              </w:rPr>
              <w:t> </w:t>
            </w:r>
          </w:p>
        </w:tc>
        <w:tc>
          <w:tcPr>
            <w:tcW w:w="709" w:type="dxa"/>
            <w:tcBorders>
              <w:top w:val="nil"/>
              <w:left w:val="nil"/>
              <w:bottom w:val="nil"/>
              <w:right w:val="single" w:sz="4" w:space="0" w:color="800000"/>
            </w:tcBorders>
            <w:shd w:val="clear" w:color="auto" w:fill="FFFFCC"/>
            <w:vAlign w:val="bottom"/>
          </w:tcPr>
          <w:p w:rsidR="00EB39C9" w:rsidRPr="001F6421" w:rsidRDefault="00EB39C9" w:rsidP="00EC7A58">
            <w:pPr>
              <w:spacing w:before="100" w:beforeAutospacing="1" w:after="100" w:afterAutospacing="1"/>
              <w:rPr>
                <w:color w:val="0070C0"/>
                <w:sz w:val="20"/>
                <w:szCs w:val="20"/>
              </w:rPr>
            </w:pPr>
            <w:r w:rsidRPr="001F6421">
              <w:rPr>
                <w:color w:val="0070C0"/>
                <w:sz w:val="20"/>
                <w:szCs w:val="20"/>
              </w:rPr>
              <w:t> </w:t>
            </w:r>
          </w:p>
        </w:tc>
        <w:tc>
          <w:tcPr>
            <w:tcW w:w="851" w:type="dxa"/>
            <w:tcBorders>
              <w:top w:val="nil"/>
              <w:left w:val="nil"/>
              <w:bottom w:val="nil"/>
              <w:right w:val="single" w:sz="4" w:space="0" w:color="800000"/>
            </w:tcBorders>
            <w:shd w:val="clear" w:color="auto" w:fill="FFFFCC"/>
            <w:vAlign w:val="bottom"/>
          </w:tcPr>
          <w:p w:rsidR="00EB39C9" w:rsidRPr="001F6421" w:rsidRDefault="00EB39C9" w:rsidP="00EC7A58">
            <w:pPr>
              <w:spacing w:before="100" w:beforeAutospacing="1" w:after="100" w:afterAutospacing="1"/>
              <w:rPr>
                <w:color w:val="0070C0"/>
                <w:sz w:val="18"/>
                <w:szCs w:val="18"/>
              </w:rPr>
            </w:pPr>
            <w:r w:rsidRPr="001F6421">
              <w:rPr>
                <w:color w:val="0070C0"/>
                <w:sz w:val="18"/>
                <w:szCs w:val="18"/>
              </w:rPr>
              <w:t> </w:t>
            </w:r>
          </w:p>
        </w:tc>
        <w:tc>
          <w:tcPr>
            <w:tcW w:w="708" w:type="dxa"/>
            <w:tcBorders>
              <w:top w:val="nil"/>
              <w:left w:val="nil"/>
              <w:bottom w:val="nil"/>
              <w:right w:val="single" w:sz="4" w:space="0" w:color="800000"/>
            </w:tcBorders>
            <w:shd w:val="clear" w:color="auto" w:fill="FFFFCC"/>
            <w:vAlign w:val="bottom"/>
          </w:tcPr>
          <w:p w:rsidR="00EB39C9" w:rsidRPr="001F6421" w:rsidRDefault="00EB39C9" w:rsidP="00EC7A58">
            <w:pPr>
              <w:spacing w:before="100" w:beforeAutospacing="1" w:after="100" w:afterAutospacing="1"/>
              <w:rPr>
                <w:color w:val="0070C0"/>
                <w:sz w:val="20"/>
                <w:szCs w:val="20"/>
              </w:rPr>
            </w:pPr>
            <w:r w:rsidRPr="001F6421">
              <w:rPr>
                <w:color w:val="0070C0"/>
                <w:sz w:val="20"/>
                <w:szCs w:val="20"/>
              </w:rPr>
              <w:t> </w:t>
            </w: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vAlign w:val="bottom"/>
          </w:tcPr>
          <w:p w:rsidR="00EB39C9" w:rsidRPr="00867920" w:rsidRDefault="00EB39C9" w:rsidP="00EC7A58">
            <w:pPr>
              <w:spacing w:before="100" w:beforeAutospacing="1" w:after="100" w:afterAutospacing="1"/>
              <w:rPr>
                <w:b/>
                <w:bCs/>
                <w:sz w:val="20"/>
                <w:szCs w:val="20"/>
              </w:rPr>
            </w:pPr>
            <w:r w:rsidRPr="00867920">
              <w:rPr>
                <w:b/>
                <w:bCs/>
                <w:sz w:val="20"/>
                <w:szCs w:val="20"/>
              </w:rPr>
              <w:t xml:space="preserve"> Приходи на социалноосигур. </w:t>
            </w:r>
            <w:r w:rsidRPr="00867920">
              <w:rPr>
                <w:b/>
                <w:bCs/>
                <w:sz w:val="20"/>
                <w:szCs w:val="20"/>
                <w:lang w:val="en-US"/>
              </w:rPr>
              <w:t xml:space="preserve"> </w:t>
            </w:r>
            <w:r w:rsidRPr="00867920">
              <w:rPr>
                <w:b/>
                <w:bCs/>
                <w:sz w:val="20"/>
                <w:szCs w:val="20"/>
              </w:rPr>
              <w:t>фондове</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b/>
                <w:bCs/>
                <w:sz w:val="18"/>
                <w:szCs w:val="18"/>
              </w:rPr>
              <w:t>5 596,0</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b/>
                <w:bCs/>
                <w:sz w:val="20"/>
                <w:szCs w:val="20"/>
              </w:rPr>
              <w:t>6,9%</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b/>
                <w:bCs/>
                <w:sz w:val="18"/>
                <w:szCs w:val="18"/>
              </w:rPr>
              <w:t>6 060,2</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b/>
                <w:bCs/>
                <w:sz w:val="20"/>
                <w:szCs w:val="20"/>
              </w:rPr>
              <w:t>7,4%</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6 448,8</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7,7%</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6 947,1</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8,0%</w:t>
            </w: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4"/>
                <w:szCs w:val="4"/>
              </w:rPr>
            </w:pP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 </w:t>
            </w:r>
          </w:p>
        </w:tc>
        <w:tc>
          <w:tcPr>
            <w:tcW w:w="992" w:type="dxa"/>
            <w:tcBorders>
              <w:top w:val="nil"/>
              <w:left w:val="nil"/>
              <w:bottom w:val="nil"/>
              <w:right w:val="single" w:sz="4" w:space="0" w:color="800000"/>
            </w:tcBorders>
            <w:shd w:val="clear" w:color="auto" w:fill="FFFFCC"/>
            <w:vAlign w:val="bottom"/>
          </w:tcPr>
          <w:p w:rsidR="00EB39C9" w:rsidRPr="001F6421" w:rsidRDefault="00EB39C9" w:rsidP="00EC7A58">
            <w:pPr>
              <w:rPr>
                <w:color w:val="0070C0"/>
                <w:sz w:val="4"/>
                <w:szCs w:val="4"/>
              </w:rPr>
            </w:pPr>
            <w:r w:rsidRPr="001F6421">
              <w:rPr>
                <w:color w:val="0070C0"/>
                <w:sz w:val="4"/>
                <w:szCs w:val="4"/>
              </w:rPr>
              <w:t> </w:t>
            </w:r>
          </w:p>
        </w:tc>
        <w:tc>
          <w:tcPr>
            <w:tcW w:w="709" w:type="dxa"/>
            <w:tcBorders>
              <w:top w:val="nil"/>
              <w:left w:val="nil"/>
              <w:bottom w:val="nil"/>
              <w:right w:val="single" w:sz="4" w:space="0" w:color="800000"/>
            </w:tcBorders>
            <w:shd w:val="clear" w:color="auto" w:fill="FFFFCC"/>
            <w:vAlign w:val="bottom"/>
          </w:tcPr>
          <w:p w:rsidR="00EB39C9" w:rsidRPr="001F6421" w:rsidRDefault="00EB39C9" w:rsidP="00EC7A58">
            <w:pPr>
              <w:rPr>
                <w:b/>
                <w:bCs/>
                <w:color w:val="0070C0"/>
                <w:sz w:val="20"/>
                <w:szCs w:val="20"/>
              </w:rPr>
            </w:pPr>
            <w:r w:rsidRPr="001F6421">
              <w:rPr>
                <w:b/>
                <w:bCs/>
                <w:color w:val="0070C0"/>
                <w:sz w:val="20"/>
                <w:szCs w:val="20"/>
              </w:rPr>
              <w:t> </w:t>
            </w:r>
          </w:p>
        </w:tc>
        <w:tc>
          <w:tcPr>
            <w:tcW w:w="851" w:type="dxa"/>
            <w:tcBorders>
              <w:top w:val="nil"/>
              <w:left w:val="nil"/>
              <w:bottom w:val="nil"/>
              <w:right w:val="single" w:sz="4" w:space="0" w:color="800000"/>
            </w:tcBorders>
            <w:shd w:val="clear" w:color="auto" w:fill="FFFFCC"/>
            <w:vAlign w:val="bottom"/>
          </w:tcPr>
          <w:p w:rsidR="00EB39C9" w:rsidRPr="001F6421" w:rsidRDefault="00EB39C9" w:rsidP="00EC7A58">
            <w:pPr>
              <w:rPr>
                <w:color w:val="0070C0"/>
                <w:sz w:val="4"/>
                <w:szCs w:val="4"/>
              </w:rPr>
            </w:pPr>
            <w:r w:rsidRPr="001F6421">
              <w:rPr>
                <w:color w:val="0070C0"/>
                <w:sz w:val="4"/>
                <w:szCs w:val="4"/>
              </w:rPr>
              <w:t> </w:t>
            </w:r>
          </w:p>
        </w:tc>
        <w:tc>
          <w:tcPr>
            <w:tcW w:w="708" w:type="dxa"/>
            <w:tcBorders>
              <w:top w:val="nil"/>
              <w:left w:val="nil"/>
              <w:bottom w:val="nil"/>
              <w:right w:val="single" w:sz="4" w:space="0" w:color="800000"/>
            </w:tcBorders>
            <w:shd w:val="clear" w:color="auto" w:fill="FFFFCC"/>
            <w:vAlign w:val="bottom"/>
          </w:tcPr>
          <w:p w:rsidR="00EB39C9" w:rsidRPr="001F6421" w:rsidRDefault="00EB39C9" w:rsidP="00EC7A58">
            <w:pPr>
              <w:rPr>
                <w:b/>
                <w:bCs/>
                <w:color w:val="0070C0"/>
                <w:sz w:val="20"/>
                <w:szCs w:val="20"/>
              </w:rPr>
            </w:pPr>
            <w:r w:rsidRPr="001F6421">
              <w:rPr>
                <w:b/>
                <w:bCs/>
                <w:color w:val="0070C0"/>
                <w:sz w:val="20"/>
                <w:szCs w:val="20"/>
              </w:rPr>
              <w:t> </w:t>
            </w:r>
          </w:p>
        </w:tc>
      </w:tr>
      <w:tr w:rsidR="00EB39C9" w:rsidRPr="001F6421" w:rsidTr="00E35AA8">
        <w:trPr>
          <w:trHeight w:val="189"/>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i/>
                <w:iCs/>
                <w:sz w:val="20"/>
                <w:szCs w:val="20"/>
              </w:rPr>
            </w:pPr>
            <w:r w:rsidRPr="00867920">
              <w:rPr>
                <w:b/>
                <w:bCs/>
                <w:sz w:val="20"/>
                <w:szCs w:val="20"/>
              </w:rPr>
              <w:t>Косвени данъци</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b/>
                <w:bCs/>
                <w:sz w:val="18"/>
                <w:szCs w:val="18"/>
              </w:rPr>
              <w:t>11 342,8</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b/>
                <w:bCs/>
                <w:sz w:val="20"/>
                <w:szCs w:val="20"/>
              </w:rPr>
              <w:t>13,9%</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b/>
                <w:bCs/>
                <w:sz w:val="18"/>
                <w:szCs w:val="18"/>
              </w:rPr>
              <w:t>11 590,7</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b/>
                <w:bCs/>
                <w:sz w:val="20"/>
                <w:szCs w:val="20"/>
              </w:rPr>
              <w:t>14,1%</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11 480,8</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13,7%</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12 450,5</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14,4%</w:t>
            </w:r>
          </w:p>
        </w:tc>
      </w:tr>
      <w:tr w:rsidR="00EB39C9" w:rsidRPr="001F6421" w:rsidTr="00E35AA8">
        <w:trPr>
          <w:trHeight w:val="102"/>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20"/>
                <w:szCs w:val="20"/>
              </w:rPr>
            </w:pPr>
            <w:r w:rsidRPr="00867920">
              <w:rPr>
                <w:sz w:val="20"/>
                <w:szCs w:val="20"/>
              </w:rPr>
              <w:t>ДДС</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7 151,9</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8,8%</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7 366,5</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9,0%</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7 264,4</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8,7%</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7 740,0</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9,0%</w:t>
            </w:r>
          </w:p>
        </w:tc>
      </w:tr>
      <w:tr w:rsidR="00EB39C9" w:rsidRPr="001F6421" w:rsidTr="00E35AA8">
        <w:trPr>
          <w:trHeight w:val="211"/>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20"/>
                <w:szCs w:val="20"/>
              </w:rPr>
            </w:pPr>
            <w:r w:rsidRPr="00867920">
              <w:rPr>
                <w:sz w:val="20"/>
                <w:szCs w:val="20"/>
              </w:rPr>
              <w:t xml:space="preserve">Акцизи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18"/>
                <w:szCs w:val="18"/>
              </w:rPr>
              <w:t>4 047,8</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sz w:val="20"/>
                <w:szCs w:val="20"/>
              </w:rPr>
              <w:t>5,0%</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18"/>
                <w:szCs w:val="18"/>
              </w:rPr>
              <w:t>4 055,8</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sz w:val="20"/>
                <w:szCs w:val="20"/>
              </w:rPr>
              <w:t>4,9%</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4 038,7</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4,8%</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4 525,0</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5,2%</w:t>
            </w:r>
          </w:p>
        </w:tc>
      </w:tr>
      <w:tr w:rsidR="00EB39C9" w:rsidRPr="001F6421" w:rsidTr="00E35AA8">
        <w:trPr>
          <w:trHeight w:val="138"/>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20"/>
                <w:szCs w:val="20"/>
              </w:rPr>
            </w:pPr>
            <w:r w:rsidRPr="00867920">
              <w:rPr>
                <w:sz w:val="20"/>
                <w:szCs w:val="20"/>
              </w:rPr>
              <w:t>Мита и митнически такси</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sz w:val="18"/>
                <w:szCs w:val="18"/>
              </w:rPr>
              <w:t>117,7</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sz w:val="20"/>
                <w:szCs w:val="20"/>
              </w:rPr>
              <w:t>0,1%</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sz w:val="18"/>
                <w:szCs w:val="18"/>
              </w:rPr>
              <w:t>146,2</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sz w:val="20"/>
                <w:szCs w:val="20"/>
              </w:rPr>
              <w:t>0,2%</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153,1</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0,2%</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159,0</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0,2%</w:t>
            </w:r>
          </w:p>
        </w:tc>
      </w:tr>
      <w:tr w:rsidR="00EB39C9" w:rsidRPr="001F6421" w:rsidTr="00E35AA8">
        <w:trPr>
          <w:trHeight w:val="138"/>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20"/>
                <w:szCs w:val="20"/>
              </w:rPr>
            </w:pPr>
            <w:r w:rsidRPr="00867920">
              <w:rPr>
                <w:sz w:val="20"/>
                <w:szCs w:val="20"/>
              </w:rPr>
              <w:t>Данък върху застр. премии</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25,4</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0,0%</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22,3</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0,0%</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24,5</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0,0%</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26,5</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0,0%</w:t>
            </w: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4"/>
                <w:szCs w:val="4"/>
              </w:rPr>
            </w:pPr>
            <w:r w:rsidRPr="00867920">
              <w:rPr>
                <w:b/>
                <w:bCs/>
                <w:sz w:val="4"/>
                <w:szCs w:val="4"/>
              </w:rPr>
              <w:t>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p>
        </w:tc>
        <w:tc>
          <w:tcPr>
            <w:tcW w:w="992" w:type="dxa"/>
            <w:tcBorders>
              <w:top w:val="nil"/>
              <w:left w:val="nil"/>
              <w:bottom w:val="nil"/>
              <w:right w:val="single" w:sz="4" w:space="0" w:color="800000"/>
            </w:tcBorders>
            <w:shd w:val="clear" w:color="auto" w:fill="FFFFCC"/>
            <w:vAlign w:val="bottom"/>
          </w:tcPr>
          <w:p w:rsidR="00EB39C9" w:rsidRPr="001F6421" w:rsidRDefault="00EB39C9" w:rsidP="00EC7A58">
            <w:pPr>
              <w:rPr>
                <w:color w:val="0070C0"/>
                <w:sz w:val="18"/>
                <w:szCs w:val="18"/>
              </w:rPr>
            </w:pPr>
            <w:r w:rsidRPr="001F6421">
              <w:rPr>
                <w:color w:val="0070C0"/>
                <w:sz w:val="18"/>
                <w:szCs w:val="18"/>
              </w:rPr>
              <w:t> </w:t>
            </w:r>
          </w:p>
        </w:tc>
        <w:tc>
          <w:tcPr>
            <w:tcW w:w="709" w:type="dxa"/>
            <w:tcBorders>
              <w:top w:val="nil"/>
              <w:left w:val="nil"/>
              <w:bottom w:val="nil"/>
              <w:right w:val="single" w:sz="4" w:space="0" w:color="800000"/>
            </w:tcBorders>
            <w:shd w:val="clear" w:color="auto" w:fill="FFFFCC"/>
            <w:vAlign w:val="bottom"/>
          </w:tcPr>
          <w:p w:rsidR="00EB39C9" w:rsidRPr="001F6421" w:rsidRDefault="00EB39C9" w:rsidP="00EC7A58">
            <w:pPr>
              <w:rPr>
                <w:color w:val="0070C0"/>
                <w:sz w:val="20"/>
                <w:szCs w:val="20"/>
              </w:rPr>
            </w:pPr>
            <w:r w:rsidRPr="001F6421">
              <w:rPr>
                <w:color w:val="0070C0"/>
                <w:sz w:val="20"/>
                <w:szCs w:val="20"/>
              </w:rPr>
              <w:t> </w:t>
            </w:r>
          </w:p>
        </w:tc>
        <w:tc>
          <w:tcPr>
            <w:tcW w:w="851" w:type="dxa"/>
            <w:tcBorders>
              <w:top w:val="nil"/>
              <w:left w:val="nil"/>
              <w:bottom w:val="nil"/>
              <w:right w:val="single" w:sz="4" w:space="0" w:color="800000"/>
            </w:tcBorders>
            <w:shd w:val="clear" w:color="auto" w:fill="FFFFCC"/>
            <w:vAlign w:val="bottom"/>
          </w:tcPr>
          <w:p w:rsidR="00EB39C9" w:rsidRPr="001F6421" w:rsidRDefault="00EB39C9" w:rsidP="00EC7A58">
            <w:pPr>
              <w:rPr>
                <w:color w:val="0070C0"/>
                <w:sz w:val="18"/>
                <w:szCs w:val="18"/>
              </w:rPr>
            </w:pPr>
            <w:r w:rsidRPr="001F6421">
              <w:rPr>
                <w:color w:val="0070C0"/>
                <w:sz w:val="18"/>
                <w:szCs w:val="18"/>
              </w:rPr>
              <w:t> </w:t>
            </w:r>
          </w:p>
        </w:tc>
        <w:tc>
          <w:tcPr>
            <w:tcW w:w="708" w:type="dxa"/>
            <w:tcBorders>
              <w:top w:val="nil"/>
              <w:left w:val="nil"/>
              <w:bottom w:val="nil"/>
              <w:right w:val="single" w:sz="4" w:space="0" w:color="800000"/>
            </w:tcBorders>
            <w:shd w:val="clear" w:color="auto" w:fill="FFFFCC"/>
            <w:vAlign w:val="bottom"/>
          </w:tcPr>
          <w:p w:rsidR="00EB39C9" w:rsidRPr="001F6421" w:rsidRDefault="00EB39C9" w:rsidP="00EC7A58">
            <w:pPr>
              <w:rPr>
                <w:color w:val="0070C0"/>
                <w:sz w:val="20"/>
                <w:szCs w:val="20"/>
              </w:rPr>
            </w:pPr>
            <w:r w:rsidRPr="001F6421">
              <w:rPr>
                <w:color w:val="0070C0"/>
                <w:sz w:val="20"/>
                <w:szCs w:val="20"/>
              </w:rPr>
              <w:t> </w:t>
            </w:r>
          </w:p>
        </w:tc>
      </w:tr>
      <w:tr w:rsidR="00EB39C9" w:rsidRPr="001F6421" w:rsidTr="00E35AA8">
        <w:trPr>
          <w:trHeight w:val="149"/>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sz w:val="20"/>
                <w:szCs w:val="20"/>
              </w:rPr>
            </w:pPr>
            <w:r w:rsidRPr="00867920">
              <w:rPr>
                <w:b/>
                <w:sz w:val="20"/>
                <w:szCs w:val="20"/>
              </w:rPr>
              <w:t xml:space="preserve"> Други данъци</w:t>
            </w:r>
          </w:p>
        </w:tc>
        <w:tc>
          <w:tcPr>
            <w:tcW w:w="851" w:type="dxa"/>
            <w:tcBorders>
              <w:top w:val="nil"/>
              <w:left w:val="nil"/>
              <w:bottom w:val="nil"/>
              <w:right w:val="single" w:sz="4" w:space="0" w:color="800000"/>
            </w:tcBorders>
            <w:shd w:val="clear" w:color="auto" w:fill="FFFFCC"/>
            <w:vAlign w:val="bottom"/>
          </w:tcPr>
          <w:p w:rsidR="00EB39C9" w:rsidRDefault="00EB39C9" w:rsidP="00D86591">
            <w:pPr>
              <w:jc w:val="right"/>
              <w:rPr>
                <w:b/>
                <w:bCs/>
                <w:sz w:val="18"/>
                <w:szCs w:val="18"/>
              </w:rPr>
            </w:pPr>
            <w:r>
              <w:rPr>
                <w:b/>
                <w:bCs/>
                <w:sz w:val="18"/>
                <w:szCs w:val="18"/>
              </w:rPr>
              <w:t>814,4</w:t>
            </w:r>
          </w:p>
        </w:tc>
        <w:tc>
          <w:tcPr>
            <w:tcW w:w="709" w:type="dxa"/>
            <w:tcBorders>
              <w:top w:val="nil"/>
              <w:left w:val="nil"/>
              <w:bottom w:val="nil"/>
              <w:right w:val="single" w:sz="4" w:space="0" w:color="800000"/>
            </w:tcBorders>
            <w:shd w:val="clear" w:color="auto" w:fill="FFFFCC"/>
            <w:vAlign w:val="bottom"/>
          </w:tcPr>
          <w:p w:rsidR="00EB39C9" w:rsidRDefault="00EB39C9" w:rsidP="00D86591">
            <w:pPr>
              <w:jc w:val="center"/>
              <w:rPr>
                <w:b/>
                <w:bCs/>
                <w:sz w:val="20"/>
                <w:szCs w:val="20"/>
              </w:rPr>
            </w:pPr>
            <w:r>
              <w:rPr>
                <w:b/>
                <w:bCs/>
                <w:sz w:val="20"/>
                <w:szCs w:val="20"/>
              </w:rPr>
              <w:t>1,0%</w:t>
            </w:r>
          </w:p>
        </w:tc>
        <w:tc>
          <w:tcPr>
            <w:tcW w:w="850" w:type="dxa"/>
            <w:tcBorders>
              <w:top w:val="nil"/>
              <w:left w:val="nil"/>
              <w:bottom w:val="nil"/>
              <w:right w:val="single" w:sz="4" w:space="0" w:color="800000"/>
            </w:tcBorders>
            <w:shd w:val="clear" w:color="auto" w:fill="FFFFCC"/>
            <w:vAlign w:val="bottom"/>
          </w:tcPr>
          <w:p w:rsidR="00EB39C9" w:rsidRDefault="00EB39C9" w:rsidP="00D86591">
            <w:pPr>
              <w:jc w:val="right"/>
              <w:rPr>
                <w:b/>
                <w:bCs/>
                <w:sz w:val="18"/>
                <w:szCs w:val="18"/>
              </w:rPr>
            </w:pPr>
            <w:r>
              <w:rPr>
                <w:b/>
                <w:bCs/>
                <w:sz w:val="18"/>
                <w:szCs w:val="18"/>
              </w:rPr>
              <w:t>817,9</w:t>
            </w:r>
          </w:p>
        </w:tc>
        <w:tc>
          <w:tcPr>
            <w:tcW w:w="709" w:type="dxa"/>
            <w:tcBorders>
              <w:top w:val="nil"/>
              <w:left w:val="nil"/>
              <w:bottom w:val="nil"/>
              <w:right w:val="single" w:sz="4" w:space="0" w:color="800000"/>
            </w:tcBorders>
            <w:shd w:val="clear" w:color="auto" w:fill="FFFFCC"/>
            <w:vAlign w:val="bottom"/>
          </w:tcPr>
          <w:p w:rsidR="00EB39C9" w:rsidRDefault="00EB39C9" w:rsidP="00D86591">
            <w:pPr>
              <w:jc w:val="center"/>
              <w:rPr>
                <w:b/>
                <w:bCs/>
                <w:sz w:val="20"/>
                <w:szCs w:val="20"/>
              </w:rPr>
            </w:pPr>
            <w:r>
              <w:rPr>
                <w:b/>
                <w:bCs/>
                <w:sz w:val="20"/>
                <w:szCs w:val="20"/>
              </w:rPr>
              <w:t>1,0%</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822,3</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1,0%</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866,4</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1,0%</w:t>
            </w:r>
          </w:p>
        </w:tc>
      </w:tr>
      <w:tr w:rsidR="00EB39C9" w:rsidRPr="001F6421" w:rsidTr="00E35AA8">
        <w:trPr>
          <w:trHeight w:val="149"/>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sz w:val="20"/>
                <w:szCs w:val="20"/>
              </w:rPr>
            </w:pP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p>
        </w:tc>
        <w:tc>
          <w:tcPr>
            <w:tcW w:w="992" w:type="dxa"/>
            <w:tcBorders>
              <w:top w:val="nil"/>
              <w:left w:val="nil"/>
              <w:bottom w:val="nil"/>
              <w:right w:val="single" w:sz="4" w:space="0" w:color="800000"/>
            </w:tcBorders>
            <w:shd w:val="clear" w:color="auto" w:fill="FFFFCC"/>
            <w:vAlign w:val="bottom"/>
          </w:tcPr>
          <w:p w:rsidR="00EB39C9" w:rsidRPr="001F6421" w:rsidRDefault="00EB39C9" w:rsidP="00EC7A58">
            <w:pPr>
              <w:jc w:val="right"/>
              <w:rPr>
                <w:b/>
                <w:bCs/>
                <w:color w:val="0070C0"/>
                <w:sz w:val="18"/>
                <w:szCs w:val="18"/>
              </w:rPr>
            </w:pPr>
          </w:p>
        </w:tc>
        <w:tc>
          <w:tcPr>
            <w:tcW w:w="709" w:type="dxa"/>
            <w:tcBorders>
              <w:top w:val="nil"/>
              <w:left w:val="nil"/>
              <w:bottom w:val="nil"/>
              <w:right w:val="single" w:sz="4" w:space="0" w:color="800000"/>
            </w:tcBorders>
            <w:shd w:val="clear" w:color="auto" w:fill="FFFFCC"/>
            <w:vAlign w:val="bottom"/>
          </w:tcPr>
          <w:p w:rsidR="00EB39C9" w:rsidRPr="001F6421" w:rsidRDefault="00EB39C9" w:rsidP="00EC7A58">
            <w:pPr>
              <w:jc w:val="center"/>
              <w:rPr>
                <w:b/>
                <w:bCs/>
                <w:color w:val="0070C0"/>
                <w:sz w:val="20"/>
                <w:szCs w:val="20"/>
              </w:rPr>
            </w:pPr>
          </w:p>
        </w:tc>
        <w:tc>
          <w:tcPr>
            <w:tcW w:w="851" w:type="dxa"/>
            <w:tcBorders>
              <w:top w:val="nil"/>
              <w:left w:val="nil"/>
              <w:bottom w:val="nil"/>
              <w:right w:val="single" w:sz="4" w:space="0" w:color="800000"/>
            </w:tcBorders>
            <w:shd w:val="clear" w:color="auto" w:fill="FFFFCC"/>
            <w:vAlign w:val="bottom"/>
          </w:tcPr>
          <w:p w:rsidR="00EB39C9" w:rsidRPr="001F6421" w:rsidRDefault="00EB39C9" w:rsidP="00EC7A58">
            <w:pPr>
              <w:jc w:val="right"/>
              <w:rPr>
                <w:b/>
                <w:bCs/>
                <w:color w:val="0070C0"/>
                <w:sz w:val="18"/>
                <w:szCs w:val="18"/>
              </w:rPr>
            </w:pPr>
          </w:p>
        </w:tc>
        <w:tc>
          <w:tcPr>
            <w:tcW w:w="708" w:type="dxa"/>
            <w:tcBorders>
              <w:top w:val="nil"/>
              <w:left w:val="nil"/>
              <w:bottom w:val="nil"/>
              <w:right w:val="single" w:sz="4" w:space="0" w:color="800000"/>
            </w:tcBorders>
            <w:shd w:val="clear" w:color="auto" w:fill="FFFFCC"/>
            <w:vAlign w:val="bottom"/>
          </w:tcPr>
          <w:p w:rsidR="00EB39C9" w:rsidRPr="001F6421" w:rsidRDefault="00EB39C9" w:rsidP="00EC7A58">
            <w:pPr>
              <w:jc w:val="center"/>
              <w:rPr>
                <w:b/>
                <w:bCs/>
                <w:color w:val="0070C0"/>
                <w:sz w:val="20"/>
                <w:szCs w:val="20"/>
              </w:rPr>
            </w:pP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4"/>
                <w:szCs w:val="4"/>
              </w:rPr>
            </w:pPr>
            <w:r w:rsidRPr="00867920">
              <w:rPr>
                <w:b/>
                <w:bCs/>
                <w:sz w:val="4"/>
                <w:szCs w:val="4"/>
              </w:rPr>
              <w:t>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p>
        </w:tc>
        <w:tc>
          <w:tcPr>
            <w:tcW w:w="992" w:type="dxa"/>
            <w:tcBorders>
              <w:top w:val="nil"/>
              <w:left w:val="nil"/>
              <w:bottom w:val="nil"/>
              <w:right w:val="single" w:sz="4" w:space="0" w:color="800000"/>
            </w:tcBorders>
            <w:shd w:val="clear" w:color="auto" w:fill="FFFFCC"/>
            <w:vAlign w:val="bottom"/>
          </w:tcPr>
          <w:p w:rsidR="00EB39C9" w:rsidRPr="001F6421" w:rsidRDefault="00EB39C9" w:rsidP="00EC7A58">
            <w:pPr>
              <w:rPr>
                <w:b/>
                <w:bCs/>
                <w:color w:val="0070C0"/>
                <w:sz w:val="18"/>
                <w:szCs w:val="18"/>
              </w:rPr>
            </w:pPr>
            <w:r w:rsidRPr="001F6421">
              <w:rPr>
                <w:b/>
                <w:bCs/>
                <w:color w:val="0070C0"/>
                <w:sz w:val="18"/>
                <w:szCs w:val="18"/>
              </w:rPr>
              <w:t> </w:t>
            </w:r>
          </w:p>
        </w:tc>
        <w:tc>
          <w:tcPr>
            <w:tcW w:w="709" w:type="dxa"/>
            <w:tcBorders>
              <w:top w:val="nil"/>
              <w:left w:val="nil"/>
              <w:bottom w:val="nil"/>
              <w:right w:val="single" w:sz="4" w:space="0" w:color="800000"/>
            </w:tcBorders>
            <w:shd w:val="clear" w:color="auto" w:fill="FFFFCC"/>
            <w:vAlign w:val="bottom"/>
          </w:tcPr>
          <w:p w:rsidR="00EB39C9" w:rsidRPr="001F6421" w:rsidRDefault="00EB39C9" w:rsidP="00EC7A58">
            <w:pPr>
              <w:rPr>
                <w:b/>
                <w:bCs/>
                <w:color w:val="0070C0"/>
                <w:sz w:val="20"/>
                <w:szCs w:val="20"/>
              </w:rPr>
            </w:pPr>
            <w:r w:rsidRPr="001F6421">
              <w:rPr>
                <w:b/>
                <w:bCs/>
                <w:color w:val="0070C0"/>
                <w:sz w:val="20"/>
                <w:szCs w:val="20"/>
              </w:rPr>
              <w:t> </w:t>
            </w:r>
          </w:p>
        </w:tc>
        <w:tc>
          <w:tcPr>
            <w:tcW w:w="851" w:type="dxa"/>
            <w:tcBorders>
              <w:top w:val="nil"/>
              <w:left w:val="nil"/>
              <w:bottom w:val="nil"/>
              <w:right w:val="single" w:sz="4" w:space="0" w:color="800000"/>
            </w:tcBorders>
            <w:shd w:val="clear" w:color="auto" w:fill="FFFFCC"/>
            <w:vAlign w:val="bottom"/>
          </w:tcPr>
          <w:p w:rsidR="00EB39C9" w:rsidRPr="001F6421" w:rsidRDefault="00EB39C9" w:rsidP="00EC7A58">
            <w:pPr>
              <w:rPr>
                <w:b/>
                <w:bCs/>
                <w:color w:val="0070C0"/>
                <w:sz w:val="18"/>
                <w:szCs w:val="18"/>
              </w:rPr>
            </w:pPr>
            <w:r w:rsidRPr="001F6421">
              <w:rPr>
                <w:b/>
                <w:bCs/>
                <w:color w:val="0070C0"/>
                <w:sz w:val="18"/>
                <w:szCs w:val="18"/>
              </w:rPr>
              <w:t> </w:t>
            </w:r>
          </w:p>
        </w:tc>
        <w:tc>
          <w:tcPr>
            <w:tcW w:w="708" w:type="dxa"/>
            <w:tcBorders>
              <w:top w:val="nil"/>
              <w:left w:val="nil"/>
              <w:bottom w:val="nil"/>
              <w:right w:val="single" w:sz="4" w:space="0" w:color="800000"/>
            </w:tcBorders>
            <w:shd w:val="clear" w:color="auto" w:fill="FFFFCC"/>
            <w:vAlign w:val="bottom"/>
          </w:tcPr>
          <w:p w:rsidR="00EB39C9" w:rsidRPr="001F6421" w:rsidRDefault="00EB39C9" w:rsidP="00EC7A58">
            <w:pPr>
              <w:rPr>
                <w:b/>
                <w:bCs/>
                <w:color w:val="0070C0"/>
                <w:sz w:val="20"/>
                <w:szCs w:val="20"/>
              </w:rPr>
            </w:pPr>
            <w:r w:rsidRPr="001F6421">
              <w:rPr>
                <w:b/>
                <w:bCs/>
                <w:color w:val="0070C0"/>
                <w:sz w:val="20"/>
                <w:szCs w:val="20"/>
              </w:rPr>
              <w:t> </w:t>
            </w:r>
          </w:p>
        </w:tc>
      </w:tr>
      <w:tr w:rsidR="00EB39C9" w:rsidRPr="001F6421" w:rsidTr="00E35AA8">
        <w:trPr>
          <w:trHeight w:val="172"/>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20"/>
                <w:szCs w:val="20"/>
              </w:rPr>
            </w:pPr>
            <w:r w:rsidRPr="00867920">
              <w:rPr>
                <w:b/>
                <w:bCs/>
                <w:sz w:val="20"/>
                <w:szCs w:val="20"/>
              </w:rPr>
              <w:t>Неданъчни приходи</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b/>
                <w:bCs/>
                <w:sz w:val="20"/>
                <w:szCs w:val="20"/>
              </w:rPr>
            </w:pPr>
            <w:r>
              <w:rPr>
                <w:b/>
                <w:bCs/>
                <w:sz w:val="20"/>
                <w:szCs w:val="20"/>
              </w:rPr>
              <w:t>3 573,0</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4,4%</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3 950,5</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4,8%</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b/>
                <w:bCs/>
                <w:sz w:val="18"/>
                <w:szCs w:val="18"/>
              </w:rPr>
            </w:pPr>
            <w:r>
              <w:rPr>
                <w:b/>
                <w:bCs/>
                <w:sz w:val="18"/>
                <w:szCs w:val="18"/>
              </w:rPr>
              <w:t>3 459,9</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4,1%</w:t>
            </w:r>
          </w:p>
        </w:tc>
        <w:tc>
          <w:tcPr>
            <w:tcW w:w="851" w:type="dxa"/>
            <w:tcBorders>
              <w:top w:val="nil"/>
              <w:left w:val="nil"/>
              <w:bottom w:val="nil"/>
              <w:right w:val="single" w:sz="4" w:space="0" w:color="800000"/>
            </w:tcBorders>
            <w:shd w:val="clear" w:color="auto" w:fill="FFFFCC"/>
            <w:vAlign w:val="bottom"/>
          </w:tcPr>
          <w:p w:rsidR="00EB39C9" w:rsidRDefault="00EB39C9" w:rsidP="00585366">
            <w:pPr>
              <w:jc w:val="right"/>
              <w:rPr>
                <w:b/>
                <w:bCs/>
                <w:sz w:val="18"/>
                <w:szCs w:val="18"/>
              </w:rPr>
            </w:pPr>
            <w:r>
              <w:rPr>
                <w:b/>
                <w:bCs/>
                <w:sz w:val="18"/>
                <w:szCs w:val="18"/>
              </w:rPr>
              <w:t>3 69</w:t>
            </w:r>
            <w:r w:rsidR="00585366">
              <w:rPr>
                <w:b/>
                <w:bCs/>
                <w:sz w:val="18"/>
                <w:szCs w:val="18"/>
                <w:lang w:val="en-US"/>
              </w:rPr>
              <w:t>6</w:t>
            </w:r>
            <w:r>
              <w:rPr>
                <w:b/>
                <w:bCs/>
                <w:sz w:val="18"/>
                <w:szCs w:val="18"/>
              </w:rPr>
              <w:t>,</w:t>
            </w:r>
            <w:r w:rsidR="00585366">
              <w:rPr>
                <w:b/>
                <w:bCs/>
                <w:sz w:val="18"/>
                <w:szCs w:val="18"/>
                <w:lang w:val="en-US"/>
              </w:rPr>
              <w:t>2</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b/>
                <w:bCs/>
                <w:sz w:val="20"/>
                <w:szCs w:val="20"/>
              </w:rPr>
            </w:pPr>
            <w:r>
              <w:rPr>
                <w:b/>
                <w:bCs/>
                <w:sz w:val="20"/>
                <w:szCs w:val="20"/>
              </w:rPr>
              <w:t>4,3%</w:t>
            </w:r>
          </w:p>
        </w:tc>
      </w:tr>
      <w:tr w:rsidR="00EB39C9" w:rsidRPr="001F6421" w:rsidTr="00E35AA8">
        <w:trPr>
          <w:trHeight w:val="101"/>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sz w:val="20"/>
                <w:szCs w:val="20"/>
              </w:rPr>
            </w:pPr>
            <w:r w:rsidRPr="00867920">
              <w:rPr>
                <w:i/>
                <w:iCs/>
                <w:sz w:val="20"/>
                <w:szCs w:val="20"/>
                <w:lang w:val="en-US"/>
              </w:rPr>
              <w:t xml:space="preserve">     </w:t>
            </w:r>
            <w:r w:rsidRPr="00867920">
              <w:rPr>
                <w:i/>
                <w:iCs/>
                <w:sz w:val="20"/>
                <w:szCs w:val="20"/>
              </w:rPr>
              <w:t>Трансфери от БНБ</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180,5</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0,2%</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105,8</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0,1%</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62,3</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0,1%</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48,6</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0,1%</w:t>
            </w:r>
          </w:p>
        </w:tc>
      </w:tr>
      <w:tr w:rsidR="00EB39C9" w:rsidRPr="001F6421" w:rsidTr="00E35AA8">
        <w:trPr>
          <w:trHeight w:val="208"/>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sz w:val="20"/>
                <w:szCs w:val="20"/>
              </w:rPr>
            </w:pPr>
            <w:r w:rsidRPr="00867920">
              <w:rPr>
                <w:sz w:val="20"/>
                <w:szCs w:val="20"/>
              </w:rPr>
              <w:t xml:space="preserve">      Други</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3 392,4</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4,2%</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3 844,7</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4,7%</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18"/>
                <w:szCs w:val="18"/>
              </w:rPr>
            </w:pPr>
            <w:r>
              <w:rPr>
                <w:sz w:val="18"/>
                <w:szCs w:val="18"/>
              </w:rPr>
              <w:t>3 397,6</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4,1%</w:t>
            </w:r>
          </w:p>
        </w:tc>
        <w:tc>
          <w:tcPr>
            <w:tcW w:w="851" w:type="dxa"/>
            <w:tcBorders>
              <w:top w:val="nil"/>
              <w:left w:val="nil"/>
              <w:bottom w:val="nil"/>
              <w:right w:val="single" w:sz="4" w:space="0" w:color="800000"/>
            </w:tcBorders>
            <w:shd w:val="clear" w:color="auto" w:fill="FFFFCC"/>
            <w:vAlign w:val="bottom"/>
          </w:tcPr>
          <w:p w:rsidR="00EB39C9" w:rsidRDefault="00EB39C9" w:rsidP="00585366">
            <w:pPr>
              <w:jc w:val="right"/>
              <w:rPr>
                <w:sz w:val="18"/>
                <w:szCs w:val="18"/>
              </w:rPr>
            </w:pPr>
            <w:r>
              <w:rPr>
                <w:sz w:val="18"/>
                <w:szCs w:val="18"/>
              </w:rPr>
              <w:t>3 64</w:t>
            </w:r>
            <w:r w:rsidR="00585366">
              <w:rPr>
                <w:sz w:val="18"/>
                <w:szCs w:val="18"/>
                <w:lang w:val="en-US"/>
              </w:rPr>
              <w:t>7</w:t>
            </w:r>
            <w:r>
              <w:rPr>
                <w:sz w:val="18"/>
                <w:szCs w:val="18"/>
              </w:rPr>
              <w:t>,</w:t>
            </w:r>
            <w:r w:rsidR="00585366">
              <w:rPr>
                <w:sz w:val="18"/>
                <w:szCs w:val="18"/>
                <w:lang w:val="en-US"/>
              </w:rPr>
              <w:t>7</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4,2%</w:t>
            </w:r>
          </w:p>
        </w:tc>
      </w:tr>
      <w:tr w:rsidR="00EB39C9" w:rsidRPr="001F6421" w:rsidTr="00E35AA8">
        <w:trPr>
          <w:trHeight w:val="80"/>
        </w:trPr>
        <w:tc>
          <w:tcPr>
            <w:tcW w:w="2835" w:type="dxa"/>
            <w:tcBorders>
              <w:top w:val="nil"/>
              <w:left w:val="double" w:sz="6" w:space="0" w:color="800000"/>
              <w:bottom w:val="nil"/>
              <w:right w:val="single" w:sz="4" w:space="0" w:color="800000"/>
            </w:tcBorders>
            <w:shd w:val="clear" w:color="auto" w:fill="FFFFCC"/>
          </w:tcPr>
          <w:p w:rsidR="00EB39C9" w:rsidRPr="00867920" w:rsidRDefault="00EB39C9" w:rsidP="00EC7A58">
            <w:pPr>
              <w:rPr>
                <w:b/>
                <w:bCs/>
                <w:sz w:val="4"/>
                <w:szCs w:val="4"/>
              </w:rPr>
            </w:pPr>
            <w:r w:rsidRPr="00867920">
              <w:rPr>
                <w:b/>
                <w:bCs/>
                <w:sz w:val="4"/>
                <w:szCs w:val="4"/>
              </w:rPr>
              <w:t>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 </w:t>
            </w:r>
          </w:p>
        </w:tc>
        <w:tc>
          <w:tcPr>
            <w:tcW w:w="850"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 </w:t>
            </w:r>
          </w:p>
        </w:tc>
        <w:tc>
          <w:tcPr>
            <w:tcW w:w="992"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9"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 </w:t>
            </w:r>
          </w:p>
        </w:tc>
        <w:tc>
          <w:tcPr>
            <w:tcW w:w="851" w:type="dxa"/>
            <w:tcBorders>
              <w:top w:val="nil"/>
              <w:left w:val="nil"/>
              <w:bottom w:val="nil"/>
              <w:right w:val="single" w:sz="4" w:space="0" w:color="800000"/>
            </w:tcBorders>
            <w:shd w:val="clear" w:color="auto" w:fill="FFFFCC"/>
            <w:vAlign w:val="bottom"/>
          </w:tcPr>
          <w:p w:rsidR="00EB39C9" w:rsidRDefault="00EB39C9">
            <w:pPr>
              <w:jc w:val="right"/>
              <w:rPr>
                <w:sz w:val="4"/>
                <w:szCs w:val="4"/>
              </w:rPr>
            </w:pPr>
            <w:r>
              <w:rPr>
                <w:sz w:val="4"/>
                <w:szCs w:val="4"/>
              </w:rPr>
              <w:t> </w:t>
            </w:r>
          </w:p>
        </w:tc>
        <w:tc>
          <w:tcPr>
            <w:tcW w:w="708" w:type="dxa"/>
            <w:tcBorders>
              <w:top w:val="nil"/>
              <w:left w:val="nil"/>
              <w:bottom w:val="nil"/>
              <w:right w:val="single" w:sz="4" w:space="0" w:color="800000"/>
            </w:tcBorders>
            <w:shd w:val="clear" w:color="auto" w:fill="FFFFCC"/>
            <w:vAlign w:val="bottom"/>
          </w:tcPr>
          <w:p w:rsidR="00EB39C9" w:rsidRDefault="00EB39C9">
            <w:pPr>
              <w:jc w:val="center"/>
              <w:rPr>
                <w:sz w:val="20"/>
                <w:szCs w:val="20"/>
              </w:rPr>
            </w:pPr>
            <w:r>
              <w:rPr>
                <w:sz w:val="20"/>
                <w:szCs w:val="20"/>
              </w:rPr>
              <w:t> </w:t>
            </w:r>
          </w:p>
        </w:tc>
      </w:tr>
      <w:tr w:rsidR="00EB39C9" w:rsidRPr="001F6421" w:rsidTr="00E35AA8">
        <w:trPr>
          <w:trHeight w:val="80"/>
        </w:trPr>
        <w:tc>
          <w:tcPr>
            <w:tcW w:w="2835" w:type="dxa"/>
            <w:tcBorders>
              <w:top w:val="nil"/>
              <w:left w:val="double" w:sz="6" w:space="0" w:color="800000"/>
              <w:bottom w:val="double" w:sz="6" w:space="0" w:color="800000"/>
              <w:right w:val="single" w:sz="4" w:space="0" w:color="800000"/>
            </w:tcBorders>
            <w:shd w:val="clear" w:color="auto" w:fill="FFFFCC"/>
          </w:tcPr>
          <w:p w:rsidR="00EB39C9" w:rsidRPr="00867920" w:rsidRDefault="00EB39C9" w:rsidP="00EC7A58">
            <w:pPr>
              <w:rPr>
                <w:b/>
                <w:bCs/>
                <w:sz w:val="20"/>
                <w:szCs w:val="20"/>
              </w:rPr>
            </w:pPr>
            <w:r w:rsidRPr="00867920">
              <w:rPr>
                <w:b/>
                <w:bCs/>
                <w:sz w:val="20"/>
                <w:szCs w:val="20"/>
              </w:rPr>
              <w:t>Помощи</w:t>
            </w:r>
          </w:p>
        </w:tc>
        <w:tc>
          <w:tcPr>
            <w:tcW w:w="851" w:type="dxa"/>
            <w:tcBorders>
              <w:top w:val="nil"/>
              <w:left w:val="nil"/>
              <w:bottom w:val="double" w:sz="6" w:space="0" w:color="800000"/>
              <w:right w:val="single" w:sz="4" w:space="0" w:color="800000"/>
            </w:tcBorders>
            <w:shd w:val="clear" w:color="auto" w:fill="FFFFCC"/>
            <w:vAlign w:val="bottom"/>
          </w:tcPr>
          <w:p w:rsidR="00EB39C9" w:rsidRPr="004A0792" w:rsidRDefault="00EB39C9">
            <w:pPr>
              <w:spacing w:before="100" w:beforeAutospacing="1" w:after="100" w:afterAutospacing="1"/>
              <w:jc w:val="right"/>
              <w:rPr>
                <w:b/>
                <w:sz w:val="18"/>
                <w:szCs w:val="18"/>
              </w:rPr>
            </w:pPr>
            <w:r w:rsidRPr="004A0792">
              <w:rPr>
                <w:b/>
                <w:sz w:val="18"/>
                <w:szCs w:val="18"/>
              </w:rPr>
              <w:t>2 367,5</w:t>
            </w:r>
          </w:p>
        </w:tc>
        <w:tc>
          <w:tcPr>
            <w:tcW w:w="709" w:type="dxa"/>
            <w:tcBorders>
              <w:top w:val="nil"/>
              <w:left w:val="nil"/>
              <w:bottom w:val="double" w:sz="6" w:space="0" w:color="800000"/>
              <w:right w:val="single" w:sz="4" w:space="0" w:color="800000"/>
            </w:tcBorders>
            <w:shd w:val="clear" w:color="auto" w:fill="FFFFCC"/>
            <w:vAlign w:val="bottom"/>
          </w:tcPr>
          <w:p w:rsidR="00EB39C9" w:rsidRPr="004A0792" w:rsidRDefault="00EB39C9">
            <w:pPr>
              <w:spacing w:before="100" w:beforeAutospacing="1" w:after="100" w:afterAutospacing="1"/>
              <w:jc w:val="center"/>
              <w:rPr>
                <w:b/>
                <w:sz w:val="20"/>
                <w:szCs w:val="20"/>
              </w:rPr>
            </w:pPr>
            <w:r w:rsidRPr="004A0792">
              <w:rPr>
                <w:b/>
                <w:sz w:val="20"/>
                <w:szCs w:val="20"/>
              </w:rPr>
              <w:t>2,9%</w:t>
            </w:r>
          </w:p>
        </w:tc>
        <w:tc>
          <w:tcPr>
            <w:tcW w:w="850" w:type="dxa"/>
            <w:tcBorders>
              <w:top w:val="nil"/>
              <w:left w:val="nil"/>
              <w:bottom w:val="double" w:sz="6" w:space="0" w:color="800000"/>
              <w:right w:val="single" w:sz="4" w:space="0" w:color="800000"/>
            </w:tcBorders>
            <w:shd w:val="clear" w:color="auto" w:fill="FFFFCC"/>
            <w:vAlign w:val="bottom"/>
          </w:tcPr>
          <w:p w:rsidR="00EB39C9" w:rsidRPr="004A0792" w:rsidRDefault="00EB39C9">
            <w:pPr>
              <w:spacing w:before="100" w:beforeAutospacing="1" w:after="100" w:afterAutospacing="1"/>
              <w:jc w:val="right"/>
              <w:rPr>
                <w:b/>
                <w:sz w:val="18"/>
                <w:szCs w:val="18"/>
              </w:rPr>
            </w:pPr>
            <w:r w:rsidRPr="004A0792">
              <w:rPr>
                <w:b/>
                <w:sz w:val="18"/>
                <w:szCs w:val="18"/>
              </w:rPr>
              <w:t>2 656,3</w:t>
            </w:r>
          </w:p>
        </w:tc>
        <w:tc>
          <w:tcPr>
            <w:tcW w:w="709" w:type="dxa"/>
            <w:tcBorders>
              <w:top w:val="nil"/>
              <w:left w:val="nil"/>
              <w:bottom w:val="double" w:sz="6" w:space="0" w:color="800000"/>
              <w:right w:val="single" w:sz="4" w:space="0" w:color="800000"/>
            </w:tcBorders>
            <w:shd w:val="clear" w:color="auto" w:fill="FFFFCC"/>
            <w:vAlign w:val="bottom"/>
          </w:tcPr>
          <w:p w:rsidR="00EB39C9" w:rsidRPr="004A0792" w:rsidRDefault="00EB39C9">
            <w:pPr>
              <w:spacing w:before="100" w:beforeAutospacing="1" w:after="100" w:afterAutospacing="1"/>
              <w:jc w:val="center"/>
              <w:rPr>
                <w:b/>
                <w:sz w:val="20"/>
                <w:szCs w:val="20"/>
              </w:rPr>
            </w:pPr>
            <w:r w:rsidRPr="004A0792">
              <w:rPr>
                <w:b/>
                <w:sz w:val="20"/>
                <w:szCs w:val="20"/>
              </w:rPr>
              <w:t>3,2%</w:t>
            </w:r>
          </w:p>
        </w:tc>
        <w:tc>
          <w:tcPr>
            <w:tcW w:w="992" w:type="dxa"/>
            <w:tcBorders>
              <w:top w:val="nil"/>
              <w:left w:val="nil"/>
              <w:bottom w:val="double" w:sz="6" w:space="0" w:color="800000"/>
              <w:right w:val="single" w:sz="4" w:space="0" w:color="800000"/>
            </w:tcBorders>
            <w:shd w:val="clear" w:color="auto" w:fill="FFFFCC"/>
            <w:vAlign w:val="bottom"/>
          </w:tcPr>
          <w:p w:rsidR="00EB39C9" w:rsidRPr="004A0792" w:rsidRDefault="00EB39C9">
            <w:pPr>
              <w:spacing w:before="100" w:beforeAutospacing="1" w:after="100" w:afterAutospacing="1"/>
              <w:jc w:val="right"/>
              <w:rPr>
                <w:b/>
                <w:sz w:val="18"/>
                <w:szCs w:val="18"/>
              </w:rPr>
            </w:pPr>
            <w:r w:rsidRPr="004A0792">
              <w:rPr>
                <w:b/>
                <w:sz w:val="18"/>
                <w:szCs w:val="18"/>
              </w:rPr>
              <w:t>2 921,4</w:t>
            </w:r>
          </w:p>
        </w:tc>
        <w:tc>
          <w:tcPr>
            <w:tcW w:w="709" w:type="dxa"/>
            <w:tcBorders>
              <w:top w:val="nil"/>
              <w:left w:val="nil"/>
              <w:bottom w:val="double" w:sz="6" w:space="0" w:color="800000"/>
              <w:right w:val="single" w:sz="4" w:space="0" w:color="800000"/>
            </w:tcBorders>
            <w:shd w:val="clear" w:color="auto" w:fill="FFFFCC"/>
            <w:vAlign w:val="bottom"/>
          </w:tcPr>
          <w:p w:rsidR="00EB39C9" w:rsidRPr="004A0792" w:rsidRDefault="00EB39C9">
            <w:pPr>
              <w:spacing w:before="100" w:beforeAutospacing="1" w:after="100" w:afterAutospacing="1"/>
              <w:jc w:val="center"/>
              <w:rPr>
                <w:b/>
                <w:sz w:val="20"/>
                <w:szCs w:val="20"/>
              </w:rPr>
            </w:pPr>
            <w:r w:rsidRPr="004A0792">
              <w:rPr>
                <w:b/>
                <w:sz w:val="20"/>
                <w:szCs w:val="20"/>
              </w:rPr>
              <w:t>3,5%</w:t>
            </w:r>
          </w:p>
        </w:tc>
        <w:tc>
          <w:tcPr>
            <w:tcW w:w="851" w:type="dxa"/>
            <w:tcBorders>
              <w:top w:val="nil"/>
              <w:left w:val="nil"/>
              <w:bottom w:val="double" w:sz="6" w:space="0" w:color="800000"/>
              <w:right w:val="single" w:sz="4" w:space="0" w:color="800000"/>
            </w:tcBorders>
            <w:shd w:val="clear" w:color="auto" w:fill="FFFFCC"/>
            <w:vAlign w:val="bottom"/>
          </w:tcPr>
          <w:p w:rsidR="00EB39C9" w:rsidRPr="004A0792" w:rsidRDefault="00EB39C9">
            <w:pPr>
              <w:spacing w:before="100" w:beforeAutospacing="1" w:after="100" w:afterAutospacing="1"/>
              <w:jc w:val="right"/>
              <w:rPr>
                <w:b/>
                <w:sz w:val="18"/>
                <w:szCs w:val="18"/>
              </w:rPr>
            </w:pPr>
            <w:r w:rsidRPr="004A0792">
              <w:rPr>
                <w:b/>
                <w:sz w:val="18"/>
                <w:szCs w:val="18"/>
              </w:rPr>
              <w:t>3 647,7</w:t>
            </w:r>
          </w:p>
        </w:tc>
        <w:tc>
          <w:tcPr>
            <w:tcW w:w="708" w:type="dxa"/>
            <w:tcBorders>
              <w:top w:val="nil"/>
              <w:left w:val="nil"/>
              <w:bottom w:val="double" w:sz="6" w:space="0" w:color="800000"/>
              <w:right w:val="single" w:sz="4" w:space="0" w:color="800000"/>
            </w:tcBorders>
            <w:shd w:val="clear" w:color="auto" w:fill="FFFFCC"/>
            <w:vAlign w:val="bottom"/>
          </w:tcPr>
          <w:p w:rsidR="00EB39C9" w:rsidRPr="004A0792" w:rsidRDefault="00EB39C9">
            <w:pPr>
              <w:spacing w:before="100" w:beforeAutospacing="1" w:after="100" w:afterAutospacing="1"/>
              <w:jc w:val="center"/>
              <w:rPr>
                <w:b/>
                <w:sz w:val="20"/>
                <w:szCs w:val="20"/>
              </w:rPr>
            </w:pPr>
            <w:r w:rsidRPr="004A0792">
              <w:rPr>
                <w:b/>
                <w:sz w:val="20"/>
                <w:szCs w:val="20"/>
              </w:rPr>
              <w:t>4,2%</w:t>
            </w:r>
          </w:p>
        </w:tc>
      </w:tr>
    </w:tbl>
    <w:p w:rsidR="005328CD" w:rsidRPr="00867920" w:rsidRDefault="005328CD" w:rsidP="005328CD">
      <w:pPr>
        <w:ind w:left="1080" w:hanging="540"/>
        <w:jc w:val="both"/>
        <w:rPr>
          <w:sz w:val="16"/>
          <w:szCs w:val="16"/>
        </w:rPr>
      </w:pPr>
      <w:r w:rsidRPr="00867920">
        <w:rPr>
          <w:sz w:val="16"/>
          <w:szCs w:val="16"/>
        </w:rPr>
        <w:t>*вкл. постъпленията от данък върху дивидентите и доходите</w:t>
      </w:r>
    </w:p>
    <w:p w:rsidR="005328CD" w:rsidRPr="001F6421" w:rsidRDefault="005328CD" w:rsidP="005328CD">
      <w:pPr>
        <w:ind w:firstLine="720"/>
        <w:jc w:val="both"/>
        <w:rPr>
          <w:color w:val="0070C0"/>
        </w:rPr>
      </w:pPr>
    </w:p>
    <w:p w:rsidR="00B20702" w:rsidRDefault="00B20702" w:rsidP="00B20702">
      <w:pPr>
        <w:ind w:firstLine="720"/>
        <w:jc w:val="both"/>
      </w:pPr>
      <w:r>
        <w:t xml:space="preserve">Общият размер на </w:t>
      </w:r>
      <w:r>
        <w:rPr>
          <w:b/>
        </w:rPr>
        <w:t>приходите и помощите</w:t>
      </w:r>
      <w:r>
        <w:t xml:space="preserve"> по консолидираната фискална програма за 2015 г. е </w:t>
      </w:r>
      <w:r>
        <w:rPr>
          <w:b/>
        </w:rPr>
        <w:t>32 </w:t>
      </w:r>
      <w:r w:rsidR="00C94DE3">
        <w:rPr>
          <w:b/>
          <w:lang w:val="en-US"/>
        </w:rPr>
        <w:t>199</w:t>
      </w:r>
      <w:r>
        <w:rPr>
          <w:b/>
        </w:rPr>
        <w:t>,</w:t>
      </w:r>
      <w:r w:rsidR="00C94DE3">
        <w:rPr>
          <w:b/>
          <w:lang w:val="en-US"/>
        </w:rPr>
        <w:t>5</w:t>
      </w:r>
      <w:r>
        <w:rPr>
          <w:b/>
        </w:rPr>
        <w:t xml:space="preserve"> млн. лв.,</w:t>
      </w:r>
      <w:r>
        <w:t xml:space="preserve"> което представлява 37,3 % от БВП при 35,2 % от БВП за 2014 г. Постъпилите приходи по КФП за 2015 г. представляват 10</w:t>
      </w:r>
      <w:r w:rsidR="00153253">
        <w:t>1,7</w:t>
      </w:r>
      <w:r>
        <w:t xml:space="preserve"> % спрямо годишните разчети към ЗДБРБ за 2015 г. </w:t>
      </w:r>
    </w:p>
    <w:p w:rsidR="00B20702" w:rsidRDefault="00B20702" w:rsidP="00B20702">
      <w:pPr>
        <w:ind w:firstLine="720"/>
        <w:jc w:val="both"/>
      </w:pPr>
      <w:r>
        <w:t>В номинален размер данъчните приходи възлизат на 24 855,6 млн. лв. (28,8 % от БВП), а неданъчните приходи са в размер на 3 69</w:t>
      </w:r>
      <w:r w:rsidR="00C94DE3">
        <w:rPr>
          <w:lang w:val="en-US"/>
        </w:rPr>
        <w:t>6</w:t>
      </w:r>
      <w:r>
        <w:t>,</w:t>
      </w:r>
      <w:r w:rsidR="00C94DE3">
        <w:rPr>
          <w:lang w:val="en-US"/>
        </w:rPr>
        <w:t>2</w:t>
      </w:r>
      <w:r>
        <w:t xml:space="preserve"> млн. лв. (4,3 % от БВП). Приходите от помощи са в размер на 3 647,7 млн. лв. (4,2 % от БВП). </w:t>
      </w:r>
    </w:p>
    <w:p w:rsidR="00B20702" w:rsidRDefault="00B20702" w:rsidP="00B20702">
      <w:pPr>
        <w:ind w:firstLine="720"/>
        <w:jc w:val="both"/>
        <w:rPr>
          <w:sz w:val="12"/>
          <w:szCs w:val="12"/>
        </w:rPr>
      </w:pPr>
    </w:p>
    <w:p w:rsidR="00B20702" w:rsidRDefault="00B20702" w:rsidP="00B20702">
      <w:pPr>
        <w:ind w:left="720"/>
        <w:jc w:val="both"/>
        <w:rPr>
          <w:b/>
          <w:u w:val="single"/>
        </w:rPr>
      </w:pPr>
      <w:r>
        <w:rPr>
          <w:b/>
          <w:u w:val="single"/>
        </w:rPr>
        <w:t>Данъчни приходи</w:t>
      </w:r>
    </w:p>
    <w:p w:rsidR="00B20702" w:rsidRDefault="00B20702" w:rsidP="00B20702">
      <w:pPr>
        <w:ind w:firstLine="720"/>
        <w:jc w:val="both"/>
        <w:rPr>
          <w:color w:val="0070C0"/>
          <w:sz w:val="4"/>
          <w:szCs w:val="4"/>
        </w:rPr>
      </w:pPr>
    </w:p>
    <w:p w:rsidR="00B20702" w:rsidRDefault="00B20702" w:rsidP="00B20702">
      <w:pPr>
        <w:ind w:firstLine="720"/>
        <w:jc w:val="both"/>
        <w:rPr>
          <w:color w:val="0070C0"/>
          <w:sz w:val="4"/>
          <w:szCs w:val="4"/>
        </w:rPr>
      </w:pPr>
    </w:p>
    <w:p w:rsidR="00B20702" w:rsidRDefault="00B20702" w:rsidP="00B20702">
      <w:pPr>
        <w:pStyle w:val="BodyTextIndent"/>
        <w:spacing w:after="0"/>
        <w:ind w:left="0" w:firstLine="540"/>
        <w:jc w:val="both"/>
        <w:rPr>
          <w:bCs/>
          <w:color w:val="0070C0"/>
          <w:lang w:val="bg-BG"/>
        </w:rPr>
      </w:pPr>
      <w:r>
        <w:rPr>
          <w:lang w:val="bg-BG"/>
        </w:rPr>
        <w:t xml:space="preserve">Постъпленията от </w:t>
      </w:r>
      <w:r>
        <w:rPr>
          <w:b/>
          <w:lang w:val="bg-BG"/>
        </w:rPr>
        <w:t>данъци</w:t>
      </w:r>
      <w:r>
        <w:rPr>
          <w:lang w:val="bg-BG"/>
        </w:rPr>
        <w:t xml:space="preserve"> по КФП за 2015 г. са в размер на </w:t>
      </w:r>
      <w:r>
        <w:rPr>
          <w:b/>
          <w:lang w:val="bg-BG"/>
        </w:rPr>
        <w:t>24 855,6 млн. лв.</w:t>
      </w:r>
      <w:r>
        <w:rPr>
          <w:lang w:val="bg-BG"/>
        </w:rPr>
        <w:t>, което представлява изпълнение от 100,5 % на актуализираните разчети за годината</w:t>
      </w:r>
      <w:r>
        <w:rPr>
          <w:rFonts w:eastAsia="Calibri"/>
          <w:color w:val="000000"/>
          <w:lang w:val="bg-BG"/>
        </w:rPr>
        <w:t>, а съпоставено с първоначалните разчети към ЗДБРБ за 2015 г. изпълнението е 103,5 на сто</w:t>
      </w:r>
      <w:r>
        <w:rPr>
          <w:lang w:val="bg-BG"/>
        </w:rPr>
        <w:t>. Данъчните постъпления за 2015 г. представляват 28,8 % от БВП за годината, при 27,5 % от БВП за 2014 г</w:t>
      </w:r>
      <w:r>
        <w:rPr>
          <w:rFonts w:eastAsia="Calibri"/>
          <w:color w:val="000000"/>
        </w:rPr>
        <w:t>.</w:t>
      </w:r>
      <w:r>
        <w:rPr>
          <w:rFonts w:eastAsia="Calibri"/>
          <w:color w:val="000000"/>
          <w:lang w:val="bg-BG"/>
        </w:rPr>
        <w:t xml:space="preserve"> и </w:t>
      </w:r>
      <w:r>
        <w:rPr>
          <w:lang w:val="bg-BG"/>
        </w:rPr>
        <w:t xml:space="preserve">имат относителен дял от 77,2 % в общите постъпления по КФП. Спрямо 2014 г. данъчните приходи </w:t>
      </w:r>
      <w:r>
        <w:rPr>
          <w:b/>
          <w:lang w:val="bg-BG"/>
        </w:rPr>
        <w:t>нарастват с 1 827,9 млн. лв. (7,9 %)</w:t>
      </w:r>
      <w:r>
        <w:rPr>
          <w:lang w:val="bg-BG"/>
        </w:rPr>
        <w:t xml:space="preserve">. Приходите в частта на </w:t>
      </w:r>
      <w:r>
        <w:rPr>
          <w:i/>
          <w:lang w:val="bg-BG"/>
        </w:rPr>
        <w:t xml:space="preserve">преките данъци </w:t>
      </w:r>
      <w:r>
        <w:rPr>
          <w:lang w:val="bg-BG"/>
        </w:rPr>
        <w:t xml:space="preserve"> възлизат на 4 591,6 млн. лв., което представлява 103,1 % от годишния разчет. Съпоставени с 2014 г. преките данъци нарастват със 7,4 % (315,7 млн. лв.), </w:t>
      </w:r>
      <w:r>
        <w:rPr>
          <w:rFonts w:eastAsia="Calibri"/>
          <w:lang w:val="bg-BG"/>
        </w:rPr>
        <w:t xml:space="preserve">за което допринасят основно постъпленията от корпоративен данък и от данъци върху доходите на </w:t>
      </w:r>
      <w:r>
        <w:rPr>
          <w:rFonts w:eastAsia="Calibri"/>
          <w:lang w:val="bg-BG"/>
        </w:rPr>
        <w:lastRenderedPageBreak/>
        <w:t>физически лица</w:t>
      </w:r>
      <w:r>
        <w:rPr>
          <w:lang w:val="bg-BG"/>
        </w:rPr>
        <w:t>.</w:t>
      </w:r>
      <w:r>
        <w:rPr>
          <w:rFonts w:ascii="Arial" w:hAnsi="Arial" w:cs="Arial"/>
          <w:color w:val="4F81BD"/>
          <w:lang w:val="bg-BG"/>
        </w:rPr>
        <w:t xml:space="preserve"> </w:t>
      </w:r>
      <w:r>
        <w:rPr>
          <w:lang w:val="bg-BG"/>
        </w:rPr>
        <w:t xml:space="preserve">Приходите от </w:t>
      </w:r>
      <w:r>
        <w:rPr>
          <w:i/>
          <w:lang w:val="bg-BG"/>
        </w:rPr>
        <w:t>косвени данъци</w:t>
      </w:r>
      <w:r>
        <w:rPr>
          <w:lang w:val="bg-BG"/>
        </w:rPr>
        <w:t xml:space="preserve"> са в размер на 12 450,5 млн. лв., което представлява 97,6 % от годишния разчет. Съпоставени с 2014 г. косвените данъци бележат ръст от 8,4 % (969,7 млн. лв.). Постъпленията от </w:t>
      </w:r>
      <w:r>
        <w:rPr>
          <w:i/>
          <w:lang w:val="bg-BG"/>
        </w:rPr>
        <w:t>други данъци</w:t>
      </w:r>
      <w:r>
        <w:rPr>
          <w:lang w:val="bg-BG"/>
        </w:rPr>
        <w:t xml:space="preserve"> (включват други данъци по ЗКПО, имуществени данъци и др.) са в размер на 866,4 млн. лв., което представлява 100,3 % спрямо годишния разчет и нарастват с 5,4 % (44,1 млн. лв.) спрямо 2014 г. Приходите от </w:t>
      </w:r>
      <w:r>
        <w:rPr>
          <w:b/>
          <w:i/>
          <w:lang w:val="bg-BG"/>
        </w:rPr>
        <w:t>социални и здравноосигурителни вноски</w:t>
      </w:r>
      <w:r>
        <w:rPr>
          <w:b/>
          <w:lang w:val="bg-BG"/>
        </w:rPr>
        <w:t xml:space="preserve"> </w:t>
      </w:r>
      <w:r>
        <w:rPr>
          <w:lang w:val="bg-BG"/>
        </w:rPr>
        <w:t>към 31.12.2015 г. са в размер на 6 947,1 млн. лв. или 104,5 % спрямо планираните за годината, като спрямо 2014 г. нарастват с 498,3 млн. лева. (7,7 %).</w:t>
      </w:r>
      <w:r>
        <w:rPr>
          <w:color w:val="0070C0"/>
          <w:lang w:val="bg-BG"/>
        </w:rPr>
        <w:t xml:space="preserve"> </w:t>
      </w:r>
    </w:p>
    <w:p w:rsidR="00B20702" w:rsidRDefault="00B20702" w:rsidP="00B20702">
      <w:pPr>
        <w:pStyle w:val="BodyTextIndent"/>
        <w:spacing w:after="0"/>
        <w:ind w:left="0" w:firstLine="540"/>
        <w:jc w:val="both"/>
        <w:rPr>
          <w:bCs/>
          <w:color w:val="0070C0"/>
          <w:sz w:val="12"/>
          <w:szCs w:val="12"/>
          <w:lang w:val="bg-BG"/>
        </w:rPr>
      </w:pPr>
    </w:p>
    <w:p w:rsidR="00B20702" w:rsidRDefault="00B20702" w:rsidP="00B20702">
      <w:pPr>
        <w:jc w:val="center"/>
        <w:rPr>
          <w:b/>
          <w:u w:val="single"/>
        </w:rPr>
      </w:pPr>
      <w:r>
        <w:rPr>
          <w:b/>
          <w:u w:val="single"/>
        </w:rPr>
        <w:t xml:space="preserve">Структура на данъчните приходи по КФП </w:t>
      </w:r>
    </w:p>
    <w:p w:rsidR="00B20702" w:rsidRDefault="00B20702" w:rsidP="00B20702">
      <w:pPr>
        <w:jc w:val="center"/>
        <w:rPr>
          <w:b/>
          <w:sz w:val="10"/>
          <w:szCs w:val="10"/>
        </w:rPr>
      </w:pPr>
    </w:p>
    <w:p w:rsidR="00B20702" w:rsidRDefault="00B20702" w:rsidP="00B20702">
      <w:pPr>
        <w:rPr>
          <w:color w:val="0070C0"/>
          <w:sz w:val="8"/>
          <w:szCs w:val="8"/>
        </w:rPr>
      </w:pPr>
    </w:p>
    <w:p w:rsidR="00B20702" w:rsidRDefault="00B20702" w:rsidP="00B20702">
      <w:pPr>
        <w:rPr>
          <w:b/>
          <w:color w:val="0070C0"/>
          <w:sz w:val="22"/>
          <w:szCs w:val="22"/>
        </w:rPr>
      </w:pPr>
      <w:r>
        <w:rPr>
          <w:b/>
          <w:color w:val="0070C0"/>
          <w:sz w:val="22"/>
          <w:szCs w:val="22"/>
        </w:rPr>
        <w:t xml:space="preserve">                                   </w:t>
      </w:r>
      <w:r>
        <w:rPr>
          <w:b/>
          <w:sz w:val="22"/>
          <w:szCs w:val="22"/>
        </w:rPr>
        <w:t>2014 г</w:t>
      </w:r>
      <w:r w:rsidRPr="00FA672E">
        <w:rPr>
          <w:b/>
          <w:sz w:val="22"/>
          <w:szCs w:val="22"/>
        </w:rPr>
        <w:t xml:space="preserve">.                         </w:t>
      </w:r>
      <w:r w:rsidRPr="007F7A2E">
        <w:rPr>
          <w:b/>
          <w:sz w:val="22"/>
          <w:szCs w:val="22"/>
        </w:rPr>
        <w:t xml:space="preserve">                                             2015</w:t>
      </w:r>
      <w:r w:rsidRPr="004A0792">
        <w:rPr>
          <w:b/>
          <w:sz w:val="22"/>
          <w:szCs w:val="22"/>
        </w:rPr>
        <w:t xml:space="preserve"> г.</w:t>
      </w:r>
    </w:p>
    <w:p w:rsidR="00B20702" w:rsidRDefault="00B20702" w:rsidP="00B20702">
      <w:pPr>
        <w:rPr>
          <w:b/>
          <w:color w:val="0070C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9"/>
        <w:gridCol w:w="4800"/>
      </w:tblGrid>
      <w:tr w:rsidR="00B20702" w:rsidTr="00B20702">
        <w:trPr>
          <w:trHeight w:val="3211"/>
          <w:jc w:val="center"/>
        </w:trPr>
        <w:tc>
          <w:tcPr>
            <w:tcW w:w="4606" w:type="dxa"/>
            <w:tcBorders>
              <w:top w:val="single" w:sz="4" w:space="0" w:color="auto"/>
              <w:left w:val="single" w:sz="4" w:space="0" w:color="auto"/>
              <w:bottom w:val="single" w:sz="4" w:space="0" w:color="auto"/>
              <w:right w:val="single" w:sz="4" w:space="0" w:color="auto"/>
            </w:tcBorders>
            <w:hideMark/>
          </w:tcPr>
          <w:p w:rsidR="00B20702" w:rsidRDefault="00D37B0F">
            <w:pPr>
              <w:rPr>
                <w:b/>
                <w:color w:val="0070C0"/>
              </w:rPr>
            </w:pPr>
            <w:r>
              <w:rPr>
                <w:b/>
                <w:noProof/>
                <w:color w:val="0070C0"/>
              </w:rPr>
              <w:drawing>
                <wp:inline distT="0" distB="0" distL="0" distR="0" wp14:anchorId="78235B4C" wp14:editId="7F727AE7">
                  <wp:extent cx="3053715" cy="1966595"/>
                  <wp:effectExtent l="0" t="0" r="0" b="0"/>
                  <wp:docPr id="13"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c>
          <w:tcPr>
            <w:tcW w:w="4641" w:type="dxa"/>
            <w:tcBorders>
              <w:top w:val="single" w:sz="4" w:space="0" w:color="auto"/>
              <w:left w:val="single" w:sz="4" w:space="0" w:color="auto"/>
              <w:bottom w:val="single" w:sz="4" w:space="0" w:color="auto"/>
              <w:right w:val="single" w:sz="4" w:space="0" w:color="auto"/>
            </w:tcBorders>
            <w:hideMark/>
          </w:tcPr>
          <w:p w:rsidR="00B20702" w:rsidRDefault="00D37B0F">
            <w:pPr>
              <w:rPr>
                <w:b/>
                <w:color w:val="0070C0"/>
              </w:rPr>
            </w:pPr>
            <w:r>
              <w:rPr>
                <w:b/>
                <w:noProof/>
                <w:color w:val="0070C0"/>
              </w:rPr>
              <w:drawing>
                <wp:inline distT="0" distB="0" distL="0" distR="0" wp14:anchorId="65E1D957" wp14:editId="245BCE53">
                  <wp:extent cx="3053715" cy="1966595"/>
                  <wp:effectExtent l="0" t="0" r="0" b="0"/>
                  <wp:docPr id="14" name="Object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20702" w:rsidRDefault="00B20702" w:rsidP="00B20702">
      <w:pPr>
        <w:tabs>
          <w:tab w:val="left" w:pos="900"/>
        </w:tabs>
        <w:ind w:firstLine="900"/>
        <w:jc w:val="both"/>
        <w:rPr>
          <w:color w:val="0070C0"/>
          <w:sz w:val="8"/>
          <w:szCs w:val="8"/>
        </w:rPr>
      </w:pPr>
    </w:p>
    <w:p w:rsidR="00B20702" w:rsidRDefault="00B20702" w:rsidP="00781B85">
      <w:pPr>
        <w:pStyle w:val="Heading3"/>
        <w:numPr>
          <w:ilvl w:val="2"/>
          <w:numId w:val="15"/>
        </w:numPr>
        <w:rPr>
          <w:rFonts w:ascii="Times New Roman" w:hAnsi="Times New Roman"/>
          <w:sz w:val="24"/>
          <w:lang w:val="bg-BG"/>
        </w:rPr>
      </w:pPr>
      <w:bookmarkStart w:id="123" w:name="_Toc393728056"/>
      <w:bookmarkStart w:id="124" w:name="_Toc357527082"/>
      <w:bookmarkStart w:id="125" w:name="_Toc326315897"/>
      <w:bookmarkStart w:id="126" w:name="_Toc324863404"/>
      <w:bookmarkStart w:id="127" w:name="_Toc261276569"/>
      <w:bookmarkStart w:id="128" w:name="_Toc462146105"/>
      <w:r>
        <w:rPr>
          <w:rFonts w:ascii="Times New Roman" w:hAnsi="Times New Roman"/>
          <w:sz w:val="24"/>
          <w:lang w:val="bg-BG"/>
        </w:rPr>
        <w:t>Корпоративни данъци</w:t>
      </w:r>
      <w:bookmarkEnd w:id="123"/>
      <w:bookmarkEnd w:id="124"/>
      <w:bookmarkEnd w:id="125"/>
      <w:bookmarkEnd w:id="126"/>
      <w:bookmarkEnd w:id="127"/>
      <w:bookmarkEnd w:id="128"/>
    </w:p>
    <w:p w:rsidR="00B20702" w:rsidRDefault="00B20702" w:rsidP="00B20702">
      <w:pPr>
        <w:spacing w:after="120"/>
        <w:jc w:val="both"/>
        <w:rPr>
          <w:lang w:eastAsia="en-US"/>
        </w:rPr>
      </w:pPr>
      <w:r>
        <w:rPr>
          <w:color w:val="0070C0"/>
        </w:rPr>
        <w:tab/>
      </w:r>
      <w:r>
        <w:rPr>
          <w:lang w:eastAsia="en-US"/>
        </w:rPr>
        <w:t>Постъпленията от корпоративни данъци в консолидираната фискална програма  за 2015 г. включват приходите от корпоративен данък и от данъци върху дивидентите, доходите и ликвидационните дялове на местни и чуждестранни юридически лица и са в размер на 1 860,4 млн. лв. (2,2 % от БВП) или 107,7 % спрямо планираните за годината. Отнесени към общо постъпилите данъчни приходи по КФП, корпоративните данъци заемат дял от 7,5 %. В сравнение с предходната година, събраните приходи през 2015 г. са със 181,0 млн. лв. повече (10,8 %).</w:t>
      </w:r>
    </w:p>
    <w:p w:rsidR="00B20702" w:rsidRDefault="00B20702" w:rsidP="00B20702">
      <w:pPr>
        <w:ind w:firstLine="540"/>
        <w:jc w:val="both"/>
      </w:pPr>
      <w:r>
        <w:t xml:space="preserve">Приходите от корпоративен данък през бюджетната година зависят от отчетените финансови резултати на задължените по ЗКПО лица през предходната година и са отражение на икономическата среда в страната като цяло, като същевременно се влияят и от състоянието на външните пазари. </w:t>
      </w:r>
    </w:p>
    <w:p w:rsidR="00B20702" w:rsidRDefault="00B20702" w:rsidP="00B20702">
      <w:pPr>
        <w:ind w:firstLine="709"/>
        <w:jc w:val="both"/>
        <w:rPr>
          <w:rFonts w:eastAsia="DejaVu Sans"/>
          <w:bCs/>
          <w:kern w:val="2"/>
          <w:lang w:val="en-US" w:eastAsia="hi-IN" w:bidi="hi-IN"/>
        </w:rPr>
      </w:pPr>
      <w:r>
        <w:t xml:space="preserve">Други фактори за размера на приходите са законодателните изменения през 2015 г., </w:t>
      </w:r>
      <w:r>
        <w:rPr>
          <w:rFonts w:eastAsia="DejaVu Sans"/>
          <w:bCs/>
          <w:kern w:val="2"/>
          <w:lang w:eastAsia="hi-IN" w:bidi="hi-IN"/>
        </w:rPr>
        <w:t xml:space="preserve">свързани с освобождаване от облагане с данък при източника на доходите на чуждестранни юридически лица от лихви, авторски и лицензионни възнаграждения, </w:t>
      </w:r>
      <w:r>
        <w:rPr>
          <w:rFonts w:eastAsia="Calibri"/>
          <w:color w:val="000000"/>
          <w:lang w:eastAsia="en-US"/>
        </w:rPr>
        <w:t>начислени от местни дружества в полза на дружества от други държави – членки, когато платеца и получателя на дохода са свързани лица.</w:t>
      </w:r>
      <w:r>
        <w:rPr>
          <w:rFonts w:eastAsia="DejaVu Sans"/>
          <w:bCs/>
          <w:kern w:val="2"/>
          <w:lang w:eastAsia="hi-IN" w:bidi="hi-IN"/>
        </w:rPr>
        <w:t xml:space="preserve"> Освен това е разширен обхвата на освобождаването от облагане за доходи на чуждестранни юридически лица от лихви по облигации или други дългови ценни книжа, издадени от държавата и общините и допуснати до търговия на регулиран пазар в страната или в държава-членка на Европейския съюз, или на друга държава–страна по Споразумението за Европейското икономическо пространство. </w:t>
      </w:r>
    </w:p>
    <w:p w:rsidR="00511056" w:rsidRPr="00EC33FC" w:rsidRDefault="00511056" w:rsidP="00B20702">
      <w:pPr>
        <w:ind w:firstLine="709"/>
        <w:jc w:val="both"/>
        <w:rPr>
          <w:lang w:val="en-US"/>
        </w:rPr>
      </w:pPr>
    </w:p>
    <w:p w:rsidR="00B20702" w:rsidRDefault="00B20702" w:rsidP="00B20702">
      <w:pPr>
        <w:tabs>
          <w:tab w:val="left" w:pos="360"/>
        </w:tabs>
        <w:spacing w:after="120"/>
        <w:jc w:val="center"/>
        <w:rPr>
          <w:b/>
          <w:i/>
          <w:u w:val="single"/>
        </w:rPr>
      </w:pPr>
    </w:p>
    <w:p w:rsidR="00E377C8" w:rsidRDefault="00E377C8" w:rsidP="00B20702">
      <w:pPr>
        <w:tabs>
          <w:tab w:val="left" w:pos="360"/>
        </w:tabs>
        <w:spacing w:after="120"/>
        <w:jc w:val="center"/>
        <w:rPr>
          <w:b/>
          <w:i/>
          <w:u w:val="single"/>
        </w:rPr>
      </w:pPr>
    </w:p>
    <w:p w:rsidR="00B20702" w:rsidRDefault="00B20702" w:rsidP="00B20702">
      <w:pPr>
        <w:tabs>
          <w:tab w:val="left" w:pos="360"/>
        </w:tabs>
        <w:spacing w:after="120"/>
        <w:jc w:val="center"/>
        <w:rPr>
          <w:b/>
          <w:i/>
          <w:u w:val="single"/>
        </w:rPr>
      </w:pPr>
      <w:r>
        <w:rPr>
          <w:b/>
          <w:i/>
          <w:u w:val="single"/>
        </w:rPr>
        <w:lastRenderedPageBreak/>
        <w:t>Приходи от корпоративни данъци за периода 2005 – 2015 г.</w:t>
      </w:r>
    </w:p>
    <w:p w:rsidR="00B20702" w:rsidRDefault="00D37B0F" w:rsidP="00B20702">
      <w:pPr>
        <w:tabs>
          <w:tab w:val="left" w:pos="360"/>
        </w:tabs>
        <w:jc w:val="center"/>
        <w:rPr>
          <w:b/>
          <w:i/>
          <w:u w:val="single"/>
        </w:rPr>
      </w:pPr>
      <w:r>
        <w:rPr>
          <w:rFonts w:ascii="Calibri" w:eastAsia="Calibri" w:hAnsi="Calibri"/>
          <w:noProof/>
          <w:sz w:val="22"/>
          <w:szCs w:val="22"/>
        </w:rPr>
        <w:drawing>
          <wp:inline distT="0" distB="0" distL="0" distR="0" wp14:anchorId="71071952" wp14:editId="38635075">
            <wp:extent cx="5762625" cy="2984500"/>
            <wp:effectExtent l="0" t="0" r="9525" b="635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2625" cy="2984500"/>
                    </a:xfrm>
                    <a:prstGeom prst="rect">
                      <a:avLst/>
                    </a:prstGeom>
                    <a:noFill/>
                    <a:ln>
                      <a:noFill/>
                    </a:ln>
                  </pic:spPr>
                </pic:pic>
              </a:graphicData>
            </a:graphic>
          </wp:inline>
        </w:drawing>
      </w:r>
    </w:p>
    <w:p w:rsidR="00B20702" w:rsidRDefault="00B20702" w:rsidP="00B20702">
      <w:pPr>
        <w:jc w:val="both"/>
        <w:rPr>
          <w:i/>
          <w:color w:val="4F81BD"/>
          <w:lang w:eastAsia="en-US"/>
        </w:rPr>
      </w:pPr>
      <w:r>
        <w:rPr>
          <w:color w:val="4F81BD"/>
          <w:lang w:eastAsia="en-US"/>
        </w:rPr>
        <w:tab/>
      </w:r>
      <w:r>
        <w:rPr>
          <w:color w:val="4F81BD"/>
          <w:lang w:eastAsia="en-US"/>
        </w:rPr>
        <w:tab/>
      </w:r>
      <w:r>
        <w:rPr>
          <w:color w:val="4F81BD"/>
          <w:lang w:eastAsia="en-US"/>
        </w:rPr>
        <w:tab/>
      </w:r>
      <w:r>
        <w:rPr>
          <w:color w:val="4F81BD"/>
          <w:lang w:eastAsia="en-US"/>
        </w:rPr>
        <w:tab/>
      </w:r>
      <w:r>
        <w:rPr>
          <w:color w:val="4F81BD"/>
          <w:lang w:eastAsia="en-US"/>
        </w:rPr>
        <w:tab/>
      </w:r>
      <w:r>
        <w:rPr>
          <w:color w:val="4F81BD"/>
          <w:lang w:eastAsia="en-US"/>
        </w:rPr>
        <w:tab/>
        <w:t xml:space="preserve">         </w:t>
      </w:r>
      <w:r>
        <w:rPr>
          <w:i/>
          <w:lang w:eastAsia="en-US"/>
        </w:rPr>
        <w:t>Източник: Министерство на финансите</w:t>
      </w:r>
    </w:p>
    <w:p w:rsidR="00B20702" w:rsidRDefault="00B20702" w:rsidP="00B20702">
      <w:pPr>
        <w:jc w:val="both"/>
        <w:rPr>
          <w:b/>
          <w:i/>
          <w:u w:val="single"/>
        </w:rPr>
      </w:pPr>
      <w:r>
        <w:rPr>
          <w:color w:val="4F81BD"/>
          <w:lang w:eastAsia="en-US"/>
        </w:rPr>
        <w:tab/>
      </w:r>
      <w:r>
        <w:rPr>
          <w:b/>
          <w:i/>
          <w:u w:val="single"/>
        </w:rPr>
        <w:t>Корпоративен данък</w:t>
      </w:r>
    </w:p>
    <w:p w:rsidR="00B20702" w:rsidRDefault="00B20702" w:rsidP="00B20702">
      <w:pPr>
        <w:ind w:firstLine="709"/>
        <w:jc w:val="both"/>
        <w:rPr>
          <w:color w:val="4F81BD"/>
          <w:lang w:eastAsia="en-US"/>
        </w:rPr>
      </w:pPr>
      <w:r>
        <w:rPr>
          <w:lang w:eastAsia="en-US"/>
        </w:rPr>
        <w:t>Постъпленията от корпоративен данък за 2015 г. възлизат на 1 803,7 млн. лв., или 111,1 % спрямо актуализирания годишен разчет и заемат 7,3 % в общия размер на данъчните приходи. Спрямо 2014 г. са постъпили със 190,9 млн. лв. повече приходи (</w:t>
      </w:r>
      <w:r w:rsidR="00322553" w:rsidRPr="0027234E">
        <w:rPr>
          <w:lang w:eastAsia="en-US"/>
        </w:rPr>
        <w:t>11,8</w:t>
      </w:r>
      <w:r w:rsidR="00322553">
        <w:rPr>
          <w:lang w:eastAsia="en-US"/>
        </w:rPr>
        <w:t> </w:t>
      </w:r>
      <w:r w:rsidR="00322553" w:rsidRPr="0027234E">
        <w:rPr>
          <w:lang w:eastAsia="en-US"/>
        </w:rPr>
        <w:t>%</w:t>
      </w:r>
      <w:r>
        <w:rPr>
          <w:lang w:eastAsia="en-US"/>
        </w:rPr>
        <w:t xml:space="preserve">). През годината е отчетено преизпълнение на заложения план </w:t>
      </w:r>
      <w:r w:rsidR="00431142">
        <w:rPr>
          <w:lang w:eastAsia="en-US"/>
        </w:rPr>
        <w:t xml:space="preserve">както </w:t>
      </w:r>
      <w:r>
        <w:rPr>
          <w:lang w:eastAsia="en-US"/>
        </w:rPr>
        <w:t>при нефинансовите предприятия</w:t>
      </w:r>
      <w:r w:rsidR="00431142">
        <w:rPr>
          <w:lang w:eastAsia="en-US"/>
        </w:rPr>
        <w:t>, така</w:t>
      </w:r>
      <w:r>
        <w:rPr>
          <w:lang w:eastAsia="en-US"/>
        </w:rPr>
        <w:t xml:space="preserve"> и </w:t>
      </w:r>
      <w:r w:rsidR="00431142">
        <w:rPr>
          <w:lang w:eastAsia="en-US"/>
        </w:rPr>
        <w:t xml:space="preserve">при </w:t>
      </w:r>
      <w:r>
        <w:rPr>
          <w:lang w:eastAsia="en-US"/>
        </w:rPr>
        <w:t>финансовите институции.</w:t>
      </w:r>
    </w:p>
    <w:p w:rsidR="00B20702" w:rsidRDefault="00B20702" w:rsidP="00B20702">
      <w:pPr>
        <w:ind w:firstLine="709"/>
        <w:jc w:val="both"/>
      </w:pPr>
      <w:r>
        <w:t>Внесеният корпоративен данък през 2015 г. е в пряка зависимост от отчетените резултати по следните показатели:</w:t>
      </w:r>
    </w:p>
    <w:p w:rsidR="00B20702" w:rsidRDefault="00B20702" w:rsidP="00EC33FC">
      <w:pPr>
        <w:numPr>
          <w:ilvl w:val="0"/>
          <w:numId w:val="49"/>
        </w:numPr>
        <w:spacing w:after="200"/>
        <w:ind w:left="1066" w:hanging="357"/>
        <w:contextualSpacing/>
        <w:jc w:val="both"/>
      </w:pPr>
      <w:r>
        <w:t>През 2015 г. декларираната облагаема печалба за  финансовата  2014 г. е 16 500 млн. лв., като се увеличава с 1 200 млн. лв. (8 %) спрямо предходната година;</w:t>
      </w:r>
    </w:p>
    <w:p w:rsidR="00B20702" w:rsidRDefault="00B20702" w:rsidP="00EC33FC">
      <w:pPr>
        <w:numPr>
          <w:ilvl w:val="0"/>
          <w:numId w:val="49"/>
        </w:numPr>
        <w:spacing w:after="200"/>
        <w:ind w:left="1066" w:hanging="357"/>
        <w:contextualSpacing/>
        <w:jc w:val="both"/>
      </w:pPr>
      <w:r>
        <w:t>Декларираната загуба за финансовата 2014 г. е 11 500 млн. лв. и е два пъти повече от декларираната загуба за предходната година (5 700 млн. лв.);</w:t>
      </w:r>
    </w:p>
    <w:p w:rsidR="00B20702" w:rsidRDefault="00B20702" w:rsidP="00EC33FC">
      <w:pPr>
        <w:numPr>
          <w:ilvl w:val="0"/>
          <w:numId w:val="49"/>
        </w:numPr>
        <w:spacing w:after="200"/>
        <w:ind w:left="1066" w:hanging="357"/>
        <w:contextualSpacing/>
        <w:jc w:val="both"/>
      </w:pPr>
      <w:r>
        <w:t>Високи авансови вноски в края  на  2014 г., които  доведоха  до  по-ниска изравнителна вноска по годишната данъчна декларация за някои от юридическите лица, както и до ръст с 2 % на данъка за възстановяване;</w:t>
      </w:r>
    </w:p>
    <w:p w:rsidR="00B20702" w:rsidRDefault="00B20702" w:rsidP="00EC33FC">
      <w:pPr>
        <w:numPr>
          <w:ilvl w:val="0"/>
          <w:numId w:val="49"/>
        </w:numPr>
        <w:spacing w:after="200"/>
        <w:ind w:left="1066" w:hanging="357"/>
        <w:contextualSpacing/>
        <w:jc w:val="both"/>
      </w:pPr>
      <w:r>
        <w:t>Предвид възможността за промяна на прогнозната авансова печалба чрез подаване на декларация по чл. 88 от ЗКПО до 15.12.2015 г. дружествата се възползват от тази възможност, в резултат на което през декември авансовите вноски бележат ръст в сравнение с тези през предходната година от 159,2 млн. лева. През декември 2015 г. са подадени 10 680 декларации по чл. 88 от ЗКПО в размер на 449,4 млн. лв., докато през 2014 г. са били 9 006 декларации на стойност 290,2 млн. лева.</w:t>
      </w:r>
    </w:p>
    <w:p w:rsidR="00B20702" w:rsidRDefault="00B20702" w:rsidP="00B20702">
      <w:pPr>
        <w:spacing w:after="120"/>
        <w:ind w:firstLine="709"/>
        <w:jc w:val="center"/>
        <w:rPr>
          <w:rFonts w:ascii="Calibri" w:eastAsia="Calibri" w:hAnsi="Calibri"/>
          <w:b/>
          <w:bCs/>
          <w:sz w:val="22"/>
          <w:szCs w:val="22"/>
          <w:lang w:eastAsia="en-US"/>
        </w:rPr>
      </w:pPr>
    </w:p>
    <w:p w:rsidR="00B20702" w:rsidRDefault="00D37B0F" w:rsidP="00E377C8">
      <w:pPr>
        <w:jc w:val="both"/>
        <w:rPr>
          <w:color w:val="000000"/>
          <w:sz w:val="8"/>
          <w:szCs w:val="8"/>
        </w:rPr>
      </w:pPr>
      <w:r>
        <w:rPr>
          <w:noProof/>
        </w:rPr>
        <w:lastRenderedPageBreak/>
        <w:drawing>
          <wp:inline distT="0" distB="0" distL="0" distR="0" wp14:anchorId="5512611C" wp14:editId="3D244963">
            <wp:extent cx="5814204" cy="2622430"/>
            <wp:effectExtent l="0" t="0" r="0" b="6985"/>
            <wp:docPr id="16" name="Objec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B20702" w:rsidRDefault="00B20702" w:rsidP="00B20702">
      <w:pPr>
        <w:ind w:firstLine="709"/>
        <w:jc w:val="both"/>
        <w:rPr>
          <w:color w:val="000000"/>
        </w:rPr>
      </w:pPr>
      <w:r>
        <w:rPr>
          <w:color w:val="000000"/>
        </w:rPr>
        <w:t xml:space="preserve">Приходите от </w:t>
      </w:r>
      <w:r>
        <w:rPr>
          <w:i/>
          <w:color w:val="000000"/>
        </w:rPr>
        <w:t>корпоративен данък от нефинансови предприятия (вкл. организации с идеална цел)</w:t>
      </w:r>
      <w:r>
        <w:rPr>
          <w:color w:val="000000"/>
        </w:rPr>
        <w:t xml:space="preserve"> към 31.12.2015 г. са в размер на 1 623,6 млн. лв., 108,0 % изпълнение на плана за годината и са със 156,9 млн. лв. (10,7 %) повече в сравнение със събраните през 2014 година. </w:t>
      </w:r>
      <w:r>
        <w:t>Приходите от нефинансовите институции формират 90,0 % от общите приходи от корпоративен данък. Възстановеният и прихванат корпоративен данък на нефинансови предприятия през 2015 г. е 56,6 млн. лв., в т.ч. ефективно възстановени са 50,7 млн. лева.</w:t>
      </w:r>
    </w:p>
    <w:p w:rsidR="00B20702" w:rsidRDefault="00B20702" w:rsidP="00B20702">
      <w:pPr>
        <w:ind w:firstLine="709"/>
        <w:jc w:val="both"/>
        <w:rPr>
          <w:color w:val="000000"/>
        </w:rPr>
      </w:pPr>
      <w:r>
        <w:rPr>
          <w:color w:val="000000"/>
        </w:rPr>
        <w:t xml:space="preserve">Постъпленията от </w:t>
      </w:r>
      <w:r>
        <w:rPr>
          <w:i/>
          <w:color w:val="000000"/>
        </w:rPr>
        <w:t>корпоративен данък от финансови институции (вкл. застрахователни дружества)</w:t>
      </w:r>
      <w:r>
        <w:rPr>
          <w:color w:val="000000"/>
        </w:rPr>
        <w:t xml:space="preserve"> са 180,1 млн. лв. или 148,9 % спрямо планираните за годината. Съпоставени с 2014 г. е отчетено повишение от 34,0 млн. лв. (23,3 %), в т.ч. 37,8 млн. лв. ръст на приходите от финансови институции и 3,8 млн. лв. намаление на приходите от застрахователни дружества. </w:t>
      </w:r>
      <w:r>
        <w:t>Приходите от финансови институции формират 10,0 % от общите приходи от корпоративен данък. Възстановеният и прихванат корпоративен данък на финансови институции към 31.12.2015 г. е 12,2 млн. лв., в т.ч. ефективно възстановени са 12,0 млн. лева.</w:t>
      </w:r>
    </w:p>
    <w:p w:rsidR="00B20702" w:rsidRDefault="00B20702" w:rsidP="00B20702">
      <w:pPr>
        <w:ind w:firstLine="709"/>
        <w:jc w:val="both"/>
      </w:pPr>
      <w:r>
        <w:t xml:space="preserve">При финансовите институции, в частност в банковият сектор, по данни на БНБ се регистрира ръст на печалбата след данъци от 27,4 % (160 млн. лв.). Наблюдава се силна и отчетлива фрагментация във формирането на печалбата, като пет банки допринасят за </w:t>
      </w:r>
      <w:r w:rsidR="001233A2" w:rsidRPr="0027234E">
        <w:t>79,2</w:t>
      </w:r>
      <w:r w:rsidR="001233A2">
        <w:t> </w:t>
      </w:r>
      <w:r w:rsidR="001233A2" w:rsidRPr="0027234E">
        <w:t xml:space="preserve">% </w:t>
      </w:r>
      <w:r>
        <w:t xml:space="preserve"> от печалбата на цялата банкова система.</w:t>
      </w:r>
    </w:p>
    <w:p w:rsidR="00B20702" w:rsidRDefault="00B20702" w:rsidP="00B20702">
      <w:pPr>
        <w:spacing w:after="120"/>
        <w:ind w:firstLine="709"/>
        <w:jc w:val="both"/>
        <w:rPr>
          <w:b/>
          <w:i/>
          <w:u w:val="single"/>
        </w:rPr>
      </w:pPr>
      <w:r>
        <w:t>Отчетените приходи от корпоративен данък от застрахователни дружества към 31.12.2015 г. са в размер 35,1 млн. лв. и са с 3,8 млн. лв. (10,0 %) по-малко в сравнение със събраните през предходната година. Изпълнението на плана е 282,1 % или 22,7 млн. лв. повече постъпления от данъка. Приходите от застрахователни дружества формират 1,9 % от общите приходи от корпоративен данък. Автомобилните застраховки остават водещи за застрахователните дружества и през 2015 година. Застрахователният сектор е под влиянието на възстановяващата се икономика, но ограниченото потребление на застрахователни продукти от населението представлява основна пречка за бързото му възстановяване. Въпреки намаляването на обема на пазара през 2014 г, състоянието на сектора през 2015 г. се подобрява и се запазва стабилно, като стойността на техническият резултат и на изменението на балансовите активи са положителни, което рефлектира в положителен нетен финансов резултат.</w:t>
      </w:r>
    </w:p>
    <w:p w:rsidR="00B20702" w:rsidRDefault="00B20702" w:rsidP="00B20702">
      <w:pPr>
        <w:tabs>
          <w:tab w:val="left" w:pos="360"/>
        </w:tabs>
        <w:ind w:firstLine="709"/>
        <w:jc w:val="both"/>
      </w:pPr>
      <w:r>
        <w:rPr>
          <w:b/>
          <w:i/>
          <w:u w:val="single"/>
        </w:rPr>
        <w:t xml:space="preserve">Данъци върху дивидентите и ликвидационните дялове на местни и чуждестранни юридически  лица (ЧЮЛ) и данък върху доходите на ЧЮЛ </w:t>
      </w:r>
    </w:p>
    <w:p w:rsidR="00B20702" w:rsidRDefault="00B20702" w:rsidP="00B20702">
      <w:pPr>
        <w:pStyle w:val="BodyTextIndent"/>
        <w:ind w:left="0" w:right="113"/>
        <w:jc w:val="both"/>
        <w:rPr>
          <w:color w:val="0070C0"/>
          <w:lang w:val="bg-BG"/>
        </w:rPr>
      </w:pPr>
      <w:r>
        <w:rPr>
          <w:lang w:val="bg-BG"/>
        </w:rPr>
        <w:t xml:space="preserve">Постъпленията от данъци върху дивидентите, ликвидационните дялове на местни и </w:t>
      </w:r>
      <w:r>
        <w:rPr>
          <w:color w:val="000000"/>
          <w:lang w:val="bg-BG"/>
        </w:rPr>
        <w:t xml:space="preserve">чуждестранни юридически лица и доходите на ЧЮЛ за 2015 г. са в размер на 56,7 </w:t>
      </w:r>
      <w:r>
        <w:rPr>
          <w:color w:val="000000"/>
          <w:lang w:val="bg-BG"/>
        </w:rPr>
        <w:lastRenderedPageBreak/>
        <w:t>млн. лв. (0,1 % от БВП) или 54,9 % от разчета за годината и с 9,8 млн. лв. (14,8 %) по-малко спрямо 2014 година</w:t>
      </w:r>
    </w:p>
    <w:p w:rsidR="00B20702" w:rsidRDefault="00B20702" w:rsidP="00B20702">
      <w:pPr>
        <w:tabs>
          <w:tab w:val="left" w:pos="900"/>
        </w:tabs>
        <w:ind w:firstLine="360"/>
        <w:jc w:val="both"/>
        <w:rPr>
          <w:color w:val="0070C0"/>
        </w:rPr>
      </w:pPr>
    </w:p>
    <w:p w:rsidR="00B20702" w:rsidRDefault="00B20702" w:rsidP="00781B85">
      <w:pPr>
        <w:pStyle w:val="Heading3"/>
        <w:numPr>
          <w:ilvl w:val="2"/>
          <w:numId w:val="15"/>
        </w:numPr>
        <w:spacing w:before="0" w:after="0"/>
        <w:rPr>
          <w:rFonts w:ascii="Times New Roman" w:hAnsi="Times New Roman"/>
          <w:sz w:val="24"/>
          <w:lang w:val="bg-BG"/>
        </w:rPr>
      </w:pPr>
      <w:bookmarkStart w:id="129" w:name="_Toc393728057"/>
      <w:bookmarkStart w:id="130" w:name="_Toc357527083"/>
      <w:bookmarkStart w:id="131" w:name="_Toc326315898"/>
      <w:bookmarkStart w:id="132" w:name="_Toc324863405"/>
      <w:bookmarkStart w:id="133" w:name="_Toc261276570"/>
      <w:bookmarkStart w:id="134" w:name="_Toc462146106"/>
      <w:r>
        <w:rPr>
          <w:rFonts w:ascii="Times New Roman" w:hAnsi="Times New Roman"/>
          <w:sz w:val="24"/>
          <w:lang w:val="bg-BG"/>
        </w:rPr>
        <w:t>Данък върху доходите на физическите лица</w:t>
      </w:r>
      <w:bookmarkEnd w:id="129"/>
      <w:bookmarkEnd w:id="130"/>
      <w:bookmarkEnd w:id="131"/>
      <w:bookmarkEnd w:id="132"/>
      <w:bookmarkEnd w:id="133"/>
      <w:bookmarkEnd w:id="134"/>
    </w:p>
    <w:p w:rsidR="00B20702" w:rsidRDefault="00B20702" w:rsidP="00B20702">
      <w:pPr>
        <w:jc w:val="both"/>
        <w:rPr>
          <w:color w:val="0070C0"/>
        </w:rPr>
      </w:pPr>
    </w:p>
    <w:p w:rsidR="00B20702" w:rsidRDefault="00B20702" w:rsidP="00B20702">
      <w:pPr>
        <w:ind w:firstLine="709"/>
        <w:jc w:val="both"/>
        <w:rPr>
          <w:color w:val="4F81BD"/>
          <w:lang w:eastAsia="en-US"/>
        </w:rPr>
      </w:pPr>
      <w:bookmarkStart w:id="135" w:name="_Toc261276571"/>
      <w:bookmarkStart w:id="136" w:name="_Toc199730302"/>
      <w:r>
        <w:rPr>
          <w:lang w:eastAsia="en-US"/>
        </w:rPr>
        <w:t>Постъпленията от данък върху доходите на физическите лица (ДДФЛ) за 2015 г. са  в размер на 2 731,2 млн. лв. (3,2 % от БВП). Изпълнението на приходите от данъка са 100,1 % спрямо актуализирания годишен разчет и формират 11,0 % от общия размер на данъчните приходи. Спрямо 2014 г. приходите от данъка са нараснали със 134,7 млн. лв. или 5,2 %, което основно се дължи на по-високите постъпления от данъците върху доходите по трудови правоотношения</w:t>
      </w:r>
      <w:r>
        <w:rPr>
          <w:color w:val="4F81BD"/>
          <w:lang w:eastAsia="en-US"/>
        </w:rPr>
        <w:t xml:space="preserve">. </w:t>
      </w:r>
    </w:p>
    <w:p w:rsidR="00B20702" w:rsidRDefault="00B20702" w:rsidP="00B20702">
      <w:pPr>
        <w:tabs>
          <w:tab w:val="left" w:pos="993"/>
        </w:tabs>
        <w:ind w:firstLine="709"/>
        <w:jc w:val="both"/>
        <w:rPr>
          <w:color w:val="4F81BD"/>
          <w:lang w:eastAsia="en-US"/>
        </w:rPr>
      </w:pPr>
      <w:r>
        <w:t>Основните фактори, оказали влияние върху приходите от ДДФЛ за 2015 г. са следните:</w:t>
      </w:r>
    </w:p>
    <w:p w:rsidR="00B20702" w:rsidRDefault="00B20702" w:rsidP="00781B85">
      <w:pPr>
        <w:numPr>
          <w:ilvl w:val="0"/>
          <w:numId w:val="49"/>
        </w:numPr>
        <w:spacing w:after="200" w:line="276" w:lineRule="auto"/>
        <w:contextualSpacing/>
        <w:jc w:val="both"/>
      </w:pPr>
      <w:r>
        <w:t>Промяна на максималния осигурителен доход от 2 400 лв. на 2 600 лв.;</w:t>
      </w:r>
    </w:p>
    <w:p w:rsidR="00B20702" w:rsidRDefault="00B20702" w:rsidP="00781B85">
      <w:pPr>
        <w:numPr>
          <w:ilvl w:val="0"/>
          <w:numId w:val="49"/>
        </w:numPr>
        <w:spacing w:after="200" w:line="276" w:lineRule="auto"/>
        <w:contextualSpacing/>
        <w:jc w:val="both"/>
      </w:pPr>
      <w:r>
        <w:t>Увеличение на минималната работна заплата от 1 януари 2015 г. от 340 лв. на 360 лв. и от 1 юли 2015 г. от 360 лв. на 380 лева;</w:t>
      </w:r>
    </w:p>
    <w:p w:rsidR="00B20702" w:rsidRDefault="00B20702" w:rsidP="00781B85">
      <w:pPr>
        <w:numPr>
          <w:ilvl w:val="0"/>
          <w:numId w:val="49"/>
        </w:numPr>
        <w:spacing w:after="200" w:line="276" w:lineRule="auto"/>
        <w:contextualSpacing/>
        <w:jc w:val="both"/>
      </w:pPr>
      <w:r>
        <w:t>Разширяване на данъчната основа за данъка върху доходите от лихви.</w:t>
      </w:r>
    </w:p>
    <w:p w:rsidR="00B20702" w:rsidRDefault="00B20702" w:rsidP="00B20702">
      <w:pPr>
        <w:ind w:firstLine="540"/>
        <w:jc w:val="both"/>
        <w:rPr>
          <w:lang w:eastAsia="en-US"/>
        </w:rPr>
      </w:pPr>
      <w:r>
        <w:rPr>
          <w:lang w:eastAsia="en-US"/>
        </w:rPr>
        <w:t>С най-голям относителен дял при формиране на общия резултат за приходите от ДДФЛ са постъпленията от трудови и приравнени на тях правоотношения - 81,3 %, следвани от постъпленията от еднолични търговци, свободни професии, граждански договори и др. - 10,3 %, окончателният данък на местните и чуждестранни физически лица и данъкът върху дивидентите и ликвидационните дялове на местни и чуждестранни физически лица - 6,1 %, приходи от данък върху лихвите по банкови сметки - 1,9 % и окончателен годишен (патентен) данък - 0,4 %.</w:t>
      </w:r>
    </w:p>
    <w:p w:rsidR="00B20702" w:rsidRDefault="00B20702" w:rsidP="00B20702">
      <w:pPr>
        <w:ind w:firstLine="720"/>
        <w:jc w:val="both"/>
      </w:pPr>
      <w:r>
        <w:t xml:space="preserve">От </w:t>
      </w:r>
      <w:r>
        <w:rPr>
          <w:i/>
        </w:rPr>
        <w:t>трудови правоотношения</w:t>
      </w:r>
      <w:r>
        <w:t xml:space="preserve"> приходите са 2 220,4 млн. лв., което е изпълнение от 100,8 % от актуализирания план за 2015 година. Спрямо предходната година постъпленията са със 131,1 млн. лв. повече </w:t>
      </w:r>
      <w:r>
        <w:rPr>
          <w:lang w:val="en-US"/>
        </w:rPr>
        <w:t>(</w:t>
      </w:r>
      <w:r>
        <w:t>6,3 %</w:t>
      </w:r>
      <w:r>
        <w:rPr>
          <w:lang w:val="en-US"/>
        </w:rPr>
        <w:t>)</w:t>
      </w:r>
      <w:r>
        <w:t>. Върху размера на данъчните постъпления от доходите от трудови правоотношения имат влияние както предприетите законодателни и административни мерки, така и настъпилите промени на пазара на труда, които за 2015 г. спрямо 2014 г. са както следва:</w:t>
      </w:r>
    </w:p>
    <w:p w:rsidR="00B20702" w:rsidRDefault="00B20702" w:rsidP="00781B85">
      <w:pPr>
        <w:numPr>
          <w:ilvl w:val="0"/>
          <w:numId w:val="49"/>
        </w:numPr>
        <w:spacing w:after="200" w:line="276" w:lineRule="auto"/>
        <w:contextualSpacing/>
        <w:jc w:val="both"/>
      </w:pPr>
      <w:r>
        <w:t>ръст на средната месечна работна заплата за страната през 2015 г. с 8,8 % спрямо 2014 г.;</w:t>
      </w:r>
    </w:p>
    <w:p w:rsidR="00B20702" w:rsidRDefault="00B20702" w:rsidP="00781B85">
      <w:pPr>
        <w:numPr>
          <w:ilvl w:val="0"/>
          <w:numId w:val="49"/>
        </w:numPr>
        <w:spacing w:after="200" w:line="276" w:lineRule="auto"/>
        <w:contextualSpacing/>
        <w:jc w:val="both"/>
      </w:pPr>
      <w:r>
        <w:t>увеличаване на минималната работна заплата от 340 на 360 лв. от 01.01.2015 г. и от 01.07.2015 г. на 380 лв.;</w:t>
      </w:r>
    </w:p>
    <w:p w:rsidR="00B20702" w:rsidRDefault="00B20702" w:rsidP="00781B85">
      <w:pPr>
        <w:numPr>
          <w:ilvl w:val="0"/>
          <w:numId w:val="49"/>
        </w:numPr>
        <w:spacing w:after="200" w:line="276" w:lineRule="auto"/>
        <w:contextualSpacing/>
        <w:jc w:val="both"/>
      </w:pPr>
      <w:r>
        <w:t>коефициентът на безработица намалява с 2,3 процентни пункта в сравнение с 2014 г. и достига 9,1 %;</w:t>
      </w:r>
    </w:p>
    <w:p w:rsidR="00B20702" w:rsidRDefault="00B20702" w:rsidP="00781B85">
      <w:pPr>
        <w:numPr>
          <w:ilvl w:val="0"/>
          <w:numId w:val="49"/>
        </w:numPr>
        <w:spacing w:after="200" w:line="276" w:lineRule="auto"/>
        <w:contextualSpacing/>
        <w:jc w:val="both"/>
      </w:pPr>
      <w:r>
        <w:t>минималните осигурителни  прагове  за  2015 г.  по  основни икономически дейности и групи професии нарастват средно с 4,4 % в сравнение с 2014 година. Най-ниският минимален осигурителен доход е 360 лв.;</w:t>
      </w:r>
    </w:p>
    <w:p w:rsidR="00B20702" w:rsidRDefault="00B20702" w:rsidP="00781B85">
      <w:pPr>
        <w:numPr>
          <w:ilvl w:val="0"/>
          <w:numId w:val="49"/>
        </w:numPr>
        <w:spacing w:after="200" w:line="276" w:lineRule="auto"/>
        <w:contextualSpacing/>
        <w:jc w:val="both"/>
      </w:pPr>
      <w:r>
        <w:t>повишаване на максималния размер на осигурителния доход от 2 400 лв. на 2 600 лева.</w:t>
      </w:r>
    </w:p>
    <w:p w:rsidR="00B20702" w:rsidRDefault="00B20702" w:rsidP="00B20702">
      <w:pPr>
        <w:ind w:firstLine="709"/>
        <w:jc w:val="both"/>
        <w:rPr>
          <w:rFonts w:eastAsia="Calibri"/>
          <w:color w:val="FF0000"/>
          <w:lang w:eastAsia="en-US"/>
        </w:rPr>
      </w:pPr>
      <w:r>
        <w:rPr>
          <w:i/>
        </w:rPr>
        <w:t>По извънтрудови правоотношения</w:t>
      </w:r>
      <w:r>
        <w:rPr>
          <w:rFonts w:eastAsia="Calibri"/>
          <w:lang w:eastAsia="en-US"/>
        </w:rPr>
        <w:t xml:space="preserve"> (ЕТ, свободни професии, граждански договори, годишен и авансов данък и др.) приходите от данъка към 31.12.2015 г. са 280,6 млн. лв. (96,1 % от актуализирания годишен разчет), при 270,9 млн. лв. към края на месец декември 2014 г. (89,7 % към отчета за 2014 г.). </w:t>
      </w:r>
      <w:r>
        <w:t xml:space="preserve">Съпоставени с 2014 г. постъпленията от данъка са с 9,8 млн. лв. повече (3,6 %). </w:t>
      </w:r>
      <w:r>
        <w:rPr>
          <w:rFonts w:eastAsia="Calibri"/>
          <w:lang w:eastAsia="en-US"/>
        </w:rPr>
        <w:t>Основно влияние върху тези приходи оказват резултатите от годишните данъчни декларации</w:t>
      </w:r>
      <w:r w:rsidR="007F7A2E">
        <w:rPr>
          <w:rFonts w:eastAsia="Calibri"/>
          <w:lang w:eastAsia="en-US"/>
        </w:rPr>
        <w:t xml:space="preserve"> (ГДД)</w:t>
      </w:r>
      <w:r>
        <w:rPr>
          <w:rFonts w:eastAsia="Calibri"/>
          <w:lang w:eastAsia="en-US"/>
        </w:rPr>
        <w:t xml:space="preserve"> по чл. 50 от ЗДДФЛ (дължим данък за довнасяне или надвнесен данък)</w:t>
      </w:r>
      <w:r w:rsidR="00832826">
        <w:rPr>
          <w:rFonts w:eastAsia="Calibri"/>
          <w:lang w:eastAsia="en-US"/>
        </w:rPr>
        <w:t>, плащането за минали години</w:t>
      </w:r>
      <w:r>
        <w:rPr>
          <w:rFonts w:eastAsia="Calibri"/>
          <w:lang w:eastAsia="en-US"/>
        </w:rPr>
        <w:t xml:space="preserve"> и дължимите авансови вноски. </w:t>
      </w:r>
      <w:r>
        <w:rPr>
          <w:rFonts w:eastAsia="Calibri"/>
          <w:lang w:eastAsia="en-US"/>
        </w:rPr>
        <w:lastRenderedPageBreak/>
        <w:t>Постъпленията по ГДД към 31.12.2015 г. са в размер на 150,3 млн. лв. и са с 21,6 млн. лв. по-малко (12,6 %) спрямо тези за миналата година.</w:t>
      </w:r>
      <w:r w:rsidR="00832826">
        <w:rPr>
          <w:rFonts w:eastAsia="Calibri"/>
          <w:lang w:eastAsia="en-US"/>
        </w:rPr>
        <w:t xml:space="preserve"> Плащането за минали години е в размер на 75,6 млн. лв., което е с 33,4 млн. лв. повече от предходната година.</w:t>
      </w:r>
      <w:r>
        <w:rPr>
          <w:rFonts w:eastAsia="Calibri"/>
          <w:lang w:eastAsia="en-US"/>
        </w:rPr>
        <w:t xml:space="preserve"> Авансовите вноски през текущата година са 52,8 млн. лв., като в сравнение с предходната година намаляват с 1,7 млн. лв. (3,1 %). Основен дял в общите приходи по ДДФЛ от извънтрудови правоотношения имат постъпленията по годишни данъчни декларации по чл. 50 от ЗДДФЛ – 54 %. </w:t>
      </w:r>
      <w:r w:rsidR="00D60D4F">
        <w:rPr>
          <w:rFonts w:eastAsia="Calibri"/>
          <w:lang w:eastAsia="en-US"/>
        </w:rPr>
        <w:t>Плащането за минали години е 27,1 %, а а</w:t>
      </w:r>
      <w:r>
        <w:rPr>
          <w:rFonts w:eastAsia="Calibri"/>
          <w:lang w:eastAsia="en-US"/>
        </w:rPr>
        <w:t>вансовите вноски са 19 % от приходите в тази група данъци.</w:t>
      </w:r>
    </w:p>
    <w:p w:rsidR="00B20702" w:rsidRDefault="00B20702" w:rsidP="00B20702">
      <w:pPr>
        <w:tabs>
          <w:tab w:val="left" w:pos="0"/>
        </w:tabs>
        <w:ind w:firstLine="720"/>
        <w:jc w:val="both"/>
        <w:rPr>
          <w:color w:val="FF0000"/>
        </w:rPr>
      </w:pPr>
      <w:r>
        <w:t xml:space="preserve">През 2015 г. приходите от </w:t>
      </w:r>
      <w:r>
        <w:rPr>
          <w:i/>
        </w:rPr>
        <w:t>окончателен годишен (патентен) данък</w:t>
      </w:r>
      <w:r>
        <w:t>, администриран от общините</w:t>
      </w:r>
      <w:r w:rsidR="00B77F8B">
        <w:t>,</w:t>
      </w:r>
      <w:r>
        <w:t xml:space="preserve"> са в размер на 12,1 млн. лв</w:t>
      </w:r>
      <w:r>
        <w:rPr>
          <w:b/>
        </w:rPr>
        <w:t xml:space="preserve">., </w:t>
      </w:r>
      <w:r>
        <w:t xml:space="preserve">което е 95,6 % от годишния разчет. Спрямо </w:t>
      </w:r>
      <w:r w:rsidR="00861D96" w:rsidRPr="0027234E">
        <w:t>2014</w:t>
      </w:r>
      <w:r w:rsidR="00861D96">
        <w:t> </w:t>
      </w:r>
      <w:r w:rsidR="00861D96" w:rsidRPr="0027234E">
        <w:t>г.</w:t>
      </w:r>
      <w:r>
        <w:t xml:space="preserve"> постъпленията от данъка намаляват с </w:t>
      </w:r>
      <w:r w:rsidR="00B73416">
        <w:t>1</w:t>
      </w:r>
      <w:r w:rsidR="0043542D">
        <w:t>,0</w:t>
      </w:r>
      <w:r>
        <w:t xml:space="preserve"> млн. лв. </w:t>
      </w:r>
      <w:r>
        <w:rPr>
          <w:lang w:val="en-US"/>
        </w:rPr>
        <w:t>(7</w:t>
      </w:r>
      <w:r>
        <w:t>,</w:t>
      </w:r>
      <w:r>
        <w:rPr>
          <w:lang w:val="en-US"/>
        </w:rPr>
        <w:t>5 %)</w:t>
      </w:r>
      <w:r>
        <w:t>.</w:t>
      </w:r>
    </w:p>
    <w:p w:rsidR="00B20702" w:rsidRDefault="00B20702" w:rsidP="00B20702">
      <w:pPr>
        <w:tabs>
          <w:tab w:val="left" w:pos="0"/>
        </w:tabs>
        <w:ind w:firstLine="720"/>
        <w:jc w:val="both"/>
        <w:rPr>
          <w:rFonts w:eastAsia="Calibri"/>
          <w:lang w:eastAsia="en-US"/>
        </w:rPr>
      </w:pPr>
      <w:r>
        <w:rPr>
          <w:rFonts w:eastAsia="Calibri"/>
          <w:lang w:eastAsia="en-US"/>
        </w:rPr>
        <w:t xml:space="preserve">Постъпленията от </w:t>
      </w:r>
      <w:r>
        <w:rPr>
          <w:rFonts w:eastAsia="Calibri"/>
          <w:i/>
          <w:lang w:eastAsia="en-US"/>
        </w:rPr>
        <w:t>окончателния данък върху доходите на местните физически лица от лихви по банкови сметки</w:t>
      </w:r>
      <w:r>
        <w:rPr>
          <w:rFonts w:eastAsia="Calibri"/>
          <w:lang w:eastAsia="en-US"/>
        </w:rPr>
        <w:t xml:space="preserve"> към 31.12.2015 г. са в размер на 52,0 млн. лв. или 94,6 % от актуализирания годишен план. В сравнение със същия период на миналата година са постъпили с 13,7 млн. лв. по-малко. Основно върху размера на постъпленията от този данък, влияние оказват намаляващите лихви по спестовните продукти и банковите сметки. Въпреки че данъчната основа е разширена през 2015 г.</w:t>
      </w:r>
      <w:r w:rsidR="00B77F8B">
        <w:rPr>
          <w:rFonts w:eastAsia="Calibri"/>
          <w:lang w:eastAsia="en-US"/>
        </w:rPr>
        <w:t>,</w:t>
      </w:r>
      <w:r>
        <w:rPr>
          <w:rFonts w:eastAsia="Calibri"/>
          <w:lang w:eastAsia="en-US"/>
        </w:rPr>
        <w:t xml:space="preserve"> като са обхванати всички банкови сметки на гражданите, то при повечето търговски банки се наблюдава сериозно намаление на декларирания и внесен данък върху лихвите.</w:t>
      </w:r>
    </w:p>
    <w:p w:rsidR="00B20702" w:rsidRDefault="00B20702" w:rsidP="00B20702">
      <w:pPr>
        <w:ind w:firstLine="720"/>
        <w:jc w:val="both"/>
        <w:rPr>
          <w:rFonts w:eastAsia="Calibri"/>
          <w:lang w:eastAsia="en-US"/>
        </w:rPr>
      </w:pPr>
      <w:r>
        <w:rPr>
          <w:rFonts w:eastAsia="Calibri"/>
          <w:lang w:eastAsia="en-US"/>
        </w:rPr>
        <w:t xml:space="preserve">Постъпленията от </w:t>
      </w:r>
      <w:r>
        <w:rPr>
          <w:rFonts w:eastAsia="Calibri"/>
          <w:i/>
          <w:lang w:eastAsia="en-US"/>
        </w:rPr>
        <w:t>окончателния данък на местните и чуждестранни физически лица, данък върху дивидентите и ликвидационните дялове на местни и чуждестранни физически лица</w:t>
      </w:r>
      <w:r>
        <w:rPr>
          <w:rFonts w:eastAsia="Calibri"/>
          <w:lang w:eastAsia="en-US"/>
        </w:rPr>
        <w:t xml:space="preserve"> тези данъци към 31.12.2015 г. са в размер на 166,1 млн. лв. (изпълнение от 100,6 % спрямо актуализирания разчет за 2015 г.). Съпоставено с 2014 г. приходите са с 8,5 млн. лв. повече </w:t>
      </w:r>
      <w:r>
        <w:rPr>
          <w:rFonts w:eastAsia="Calibri"/>
          <w:lang w:val="en-US" w:eastAsia="en-US"/>
        </w:rPr>
        <w:t>(5</w:t>
      </w:r>
      <w:r>
        <w:rPr>
          <w:rFonts w:eastAsia="Calibri"/>
          <w:lang w:eastAsia="en-US"/>
        </w:rPr>
        <w:t>,</w:t>
      </w:r>
      <w:r>
        <w:rPr>
          <w:rFonts w:eastAsia="Calibri"/>
          <w:lang w:val="en-US" w:eastAsia="en-US"/>
        </w:rPr>
        <w:t>4 %)</w:t>
      </w:r>
      <w:r>
        <w:rPr>
          <w:rFonts w:eastAsia="Calibri"/>
          <w:lang w:eastAsia="en-US"/>
        </w:rPr>
        <w:t>. Постъпленията от тези данъци са в пряка зависимост от състоянието на икономиката и осъществяващите се процеси по покупко-продажба на фирмена собственост в страната. При добра конюнктура и осъществен икономически ръст сумите, заделени като дивидент от акции и облигации</w:t>
      </w:r>
      <w:r w:rsidR="00B77F8B">
        <w:rPr>
          <w:rFonts w:eastAsia="Calibri"/>
          <w:lang w:eastAsia="en-US"/>
        </w:rPr>
        <w:t>,</w:t>
      </w:r>
      <w:r>
        <w:rPr>
          <w:rFonts w:eastAsia="Calibri"/>
          <w:lang w:eastAsia="en-US"/>
        </w:rPr>
        <w:t xml:space="preserve"> се увеличават, което води и до ръст на внесения данък върху дивиденти. При криза, честа практика е дивидентите да се капитализират под формата на резерви на съответната фирма, което води до спад на данъка.</w:t>
      </w:r>
    </w:p>
    <w:p w:rsidR="00B20702" w:rsidRDefault="00B20702" w:rsidP="00B20702">
      <w:pPr>
        <w:pStyle w:val="BodyTextIndent"/>
        <w:spacing w:after="0"/>
        <w:ind w:left="0" w:firstLine="540"/>
        <w:jc w:val="both"/>
        <w:rPr>
          <w:color w:val="0070C0"/>
        </w:rPr>
      </w:pPr>
      <w:r>
        <w:rPr>
          <w:rFonts w:eastAsia="Calibri"/>
          <w:lang w:val="bg-BG"/>
        </w:rPr>
        <w:t>Друг източник на приходи по този вид данък са продажбите на дялове, процес който протича непрекъснато, но в условията на криза се засилва</w:t>
      </w:r>
      <w:r>
        <w:rPr>
          <w:color w:val="0070C0"/>
        </w:rPr>
        <w:t xml:space="preserve">.  </w:t>
      </w:r>
    </w:p>
    <w:p w:rsidR="00B20702" w:rsidRDefault="00B20702" w:rsidP="00781B85">
      <w:pPr>
        <w:pStyle w:val="Heading3"/>
        <w:numPr>
          <w:ilvl w:val="2"/>
          <w:numId w:val="15"/>
        </w:numPr>
        <w:rPr>
          <w:rFonts w:ascii="Times New Roman" w:hAnsi="Times New Roman" w:cs="Times New Roman"/>
          <w:sz w:val="24"/>
          <w:szCs w:val="24"/>
          <w:lang w:val="bg-BG"/>
        </w:rPr>
      </w:pPr>
      <w:bookmarkStart w:id="137" w:name="_Toc393728058"/>
      <w:bookmarkStart w:id="138" w:name="_Toc357527084"/>
      <w:bookmarkStart w:id="139" w:name="_Toc326315899"/>
      <w:bookmarkStart w:id="140" w:name="_Toc324863406"/>
      <w:bookmarkStart w:id="141" w:name="_Toc462146107"/>
      <w:r>
        <w:rPr>
          <w:rFonts w:ascii="Times New Roman" w:hAnsi="Times New Roman" w:cs="Times New Roman"/>
          <w:sz w:val="24"/>
          <w:szCs w:val="24"/>
          <w:lang w:val="bg-BG"/>
        </w:rPr>
        <w:t>Приходи от осигурителни вноски</w:t>
      </w:r>
      <w:bookmarkEnd w:id="135"/>
      <w:bookmarkEnd w:id="136"/>
      <w:bookmarkEnd w:id="137"/>
      <w:bookmarkEnd w:id="138"/>
      <w:bookmarkEnd w:id="139"/>
      <w:bookmarkEnd w:id="140"/>
      <w:bookmarkEnd w:id="141"/>
    </w:p>
    <w:p w:rsidR="00B20702" w:rsidRDefault="00B20702" w:rsidP="00B20702">
      <w:pPr>
        <w:jc w:val="both"/>
        <w:rPr>
          <w:b/>
          <w:color w:val="0070C0"/>
          <w:sz w:val="8"/>
          <w:szCs w:val="8"/>
        </w:rPr>
      </w:pPr>
    </w:p>
    <w:p w:rsidR="00B20702" w:rsidRDefault="00B20702" w:rsidP="00B20702">
      <w:pPr>
        <w:ind w:firstLine="709"/>
        <w:jc w:val="both"/>
        <w:rPr>
          <w:bCs/>
        </w:rPr>
      </w:pPr>
      <w:bookmarkStart w:id="142" w:name="_Toc261276572"/>
      <w:r>
        <w:t xml:space="preserve">Постъпленията от социални и здравноосигурителни вноски за 2015 г. са в размер на 6 947,1 млн. лв., което представлява 104,5 % изпълнение на разчетите и 8,0 % от БВП. </w:t>
      </w:r>
      <w:r>
        <w:rPr>
          <w:bCs/>
        </w:rPr>
        <w:t>Данните показват увеличение на приходите от осигурителни вноски с 498,3 млн. лв. спрямо предходната година.</w:t>
      </w:r>
    </w:p>
    <w:p w:rsidR="00B20702" w:rsidRDefault="00B20702" w:rsidP="00B20702">
      <w:pPr>
        <w:ind w:firstLine="709"/>
        <w:jc w:val="both"/>
        <w:rPr>
          <w:bCs/>
        </w:rPr>
      </w:pPr>
      <w:r>
        <w:rPr>
          <w:bCs/>
        </w:rPr>
        <w:t>Факторите, които оказват влияние на приходите от задължителни осигурителни вноски през годината, са следните:</w:t>
      </w:r>
    </w:p>
    <w:p w:rsidR="00B20702" w:rsidRDefault="00B20702" w:rsidP="00781B85">
      <w:pPr>
        <w:numPr>
          <w:ilvl w:val="0"/>
          <w:numId w:val="52"/>
        </w:numPr>
        <w:tabs>
          <w:tab w:val="num" w:pos="928"/>
          <w:tab w:val="num" w:pos="1353"/>
        </w:tabs>
        <w:ind w:left="928" w:right="113"/>
        <w:jc w:val="both"/>
        <w:rPr>
          <w:bCs/>
          <w:lang w:eastAsia="en-US"/>
        </w:rPr>
      </w:pPr>
      <w:r>
        <w:rPr>
          <w:bCs/>
          <w:lang w:eastAsia="en-US"/>
        </w:rPr>
        <w:t xml:space="preserve">От 1 януари 2015 година се увеличава максималният осигурителен доход за всички осигурени лица  от 2 400 лв. на 2 600 лева. </w:t>
      </w:r>
    </w:p>
    <w:p w:rsidR="00B20702" w:rsidRDefault="00B20702" w:rsidP="00781B85">
      <w:pPr>
        <w:numPr>
          <w:ilvl w:val="0"/>
          <w:numId w:val="52"/>
        </w:numPr>
        <w:tabs>
          <w:tab w:val="num" w:pos="928"/>
          <w:tab w:val="num" w:pos="1353"/>
        </w:tabs>
        <w:ind w:left="928" w:right="113"/>
        <w:jc w:val="both"/>
        <w:rPr>
          <w:bCs/>
          <w:lang w:eastAsia="en-US"/>
        </w:rPr>
      </w:pPr>
      <w:r>
        <w:rPr>
          <w:bCs/>
          <w:lang w:eastAsia="en-US"/>
        </w:rPr>
        <w:t>Минималните осигурителни прагове</w:t>
      </w:r>
      <w:r>
        <w:rPr>
          <w:bCs/>
          <w:lang w:val="ru-RU" w:eastAsia="en-US"/>
        </w:rPr>
        <w:t xml:space="preserve"> за 2015 г. по основни икономически дейности и групи професии нарастват средно с 4,4 % в сравнение с 2014 година.</w:t>
      </w:r>
    </w:p>
    <w:p w:rsidR="00B20702" w:rsidRDefault="00B20702" w:rsidP="00781B85">
      <w:pPr>
        <w:numPr>
          <w:ilvl w:val="0"/>
          <w:numId w:val="52"/>
        </w:numPr>
        <w:tabs>
          <w:tab w:val="num" w:pos="928"/>
        </w:tabs>
        <w:ind w:left="928" w:right="113"/>
        <w:jc w:val="both"/>
        <w:rPr>
          <w:bCs/>
          <w:lang w:eastAsia="en-US"/>
        </w:rPr>
      </w:pPr>
      <w:r>
        <w:rPr>
          <w:bCs/>
          <w:lang w:eastAsia="en-US"/>
        </w:rPr>
        <w:t xml:space="preserve">От 1 януари 2015 г. месечният размер на минималната работна заплата се увеличава от 340 лв. на 360 лв., а от 01.07.2015 г. </w:t>
      </w:r>
      <w:r w:rsidR="00E6564D">
        <w:rPr>
          <w:bCs/>
          <w:lang w:eastAsia="en-US"/>
        </w:rPr>
        <w:t xml:space="preserve">има </w:t>
      </w:r>
      <w:r>
        <w:rPr>
          <w:bCs/>
          <w:lang w:eastAsia="en-US"/>
        </w:rPr>
        <w:t>второ увеличение – на 380 лева.</w:t>
      </w:r>
    </w:p>
    <w:p w:rsidR="00B20702" w:rsidRDefault="00B20702" w:rsidP="001A6816">
      <w:pPr>
        <w:numPr>
          <w:ilvl w:val="0"/>
          <w:numId w:val="52"/>
        </w:numPr>
        <w:ind w:right="113"/>
        <w:jc w:val="both"/>
        <w:rPr>
          <w:bCs/>
          <w:lang w:eastAsia="en-US"/>
        </w:rPr>
      </w:pPr>
      <w:r>
        <w:rPr>
          <w:bCs/>
          <w:lang w:eastAsia="en-US"/>
        </w:rPr>
        <w:t xml:space="preserve">От 1 януари 2015 година е увеличен минималният осигурителен доход за регистрираните земеделските </w:t>
      </w:r>
      <w:r w:rsidR="001A6816" w:rsidRPr="001A6816">
        <w:rPr>
          <w:bCs/>
          <w:lang w:eastAsia="en-US"/>
        </w:rPr>
        <w:t xml:space="preserve">стопани </w:t>
      </w:r>
      <w:r>
        <w:rPr>
          <w:bCs/>
          <w:lang w:eastAsia="en-US"/>
        </w:rPr>
        <w:t>и тютюнопроизводители от 240 лв. на 300 лева.</w:t>
      </w:r>
    </w:p>
    <w:p w:rsidR="00B20702" w:rsidRDefault="00B20702" w:rsidP="00781B85">
      <w:pPr>
        <w:numPr>
          <w:ilvl w:val="0"/>
          <w:numId w:val="52"/>
        </w:numPr>
        <w:tabs>
          <w:tab w:val="num" w:pos="928"/>
        </w:tabs>
        <w:ind w:left="928" w:right="113"/>
        <w:jc w:val="both"/>
        <w:rPr>
          <w:bCs/>
          <w:lang w:eastAsia="en-US"/>
        </w:rPr>
      </w:pPr>
      <w:r>
        <w:rPr>
          <w:bCs/>
          <w:lang w:eastAsia="en-US"/>
        </w:rPr>
        <w:lastRenderedPageBreak/>
        <w:t>Направена  е  промяна  в   Наказателния кодекс,  с  която  се   криминализира укриването на задължителни осигурителни вноски за държавно  обществено осигуряване и за здравно осигуряване в големи размери.</w:t>
      </w:r>
    </w:p>
    <w:p w:rsidR="00B20702" w:rsidRDefault="00B20702" w:rsidP="00781B85">
      <w:pPr>
        <w:numPr>
          <w:ilvl w:val="0"/>
          <w:numId w:val="52"/>
        </w:numPr>
        <w:tabs>
          <w:tab w:val="num" w:pos="928"/>
        </w:tabs>
        <w:ind w:left="928" w:right="113"/>
        <w:jc w:val="both"/>
        <w:rPr>
          <w:bCs/>
          <w:lang w:eastAsia="en-US"/>
        </w:rPr>
      </w:pPr>
      <w:r>
        <w:rPr>
          <w:bCs/>
          <w:lang w:eastAsia="en-US"/>
        </w:rPr>
        <w:t xml:space="preserve">Лица, наети на работа през един  календарен месец за/ до 5 работни дни или 40 часа, от 01.01.2015 година се осигуряват за всички рискове. </w:t>
      </w:r>
    </w:p>
    <w:p w:rsidR="00B20702" w:rsidRDefault="00B20702" w:rsidP="00781B85">
      <w:pPr>
        <w:numPr>
          <w:ilvl w:val="0"/>
          <w:numId w:val="52"/>
        </w:numPr>
        <w:tabs>
          <w:tab w:val="num" w:pos="928"/>
        </w:tabs>
        <w:ind w:left="928" w:right="113"/>
        <w:jc w:val="both"/>
        <w:rPr>
          <w:bCs/>
          <w:lang w:eastAsia="en-US"/>
        </w:rPr>
      </w:pPr>
      <w:r>
        <w:rPr>
          <w:bCs/>
          <w:lang w:eastAsia="en-US"/>
        </w:rPr>
        <w:t>Въвеждане на еднодневни трудови договори в основна икономическа дейност „Растениевъдство“ за прибиране на реколтата от плодове, зеленчуци и розов цвят. Наетите работници се осигуряват във фонд „Пенсии“ и фонд „Трудова злополука и професионална болест“.</w:t>
      </w:r>
    </w:p>
    <w:p w:rsidR="00B20702" w:rsidRDefault="00B20702" w:rsidP="00781B85">
      <w:pPr>
        <w:numPr>
          <w:ilvl w:val="0"/>
          <w:numId w:val="52"/>
        </w:numPr>
        <w:tabs>
          <w:tab w:val="num" w:pos="928"/>
        </w:tabs>
        <w:ind w:left="928" w:right="113"/>
        <w:jc w:val="both"/>
        <w:rPr>
          <w:bCs/>
          <w:lang w:eastAsia="en-US"/>
        </w:rPr>
      </w:pPr>
      <w:r>
        <w:rPr>
          <w:bCs/>
          <w:lang w:eastAsia="en-US"/>
        </w:rPr>
        <w:t>След 01.01.2016 г. прекъснатите здравноосигурителни права на гражданите ще се възстановяват при условие, че заплатят всички дължими здравноосигурителни вноски за последните 5 години.</w:t>
      </w:r>
    </w:p>
    <w:p w:rsidR="00B20702" w:rsidRDefault="00B20702" w:rsidP="00B20702">
      <w:pPr>
        <w:tabs>
          <w:tab w:val="left" w:pos="540"/>
        </w:tabs>
        <w:ind w:left="1068"/>
        <w:jc w:val="both"/>
        <w:rPr>
          <w:color w:val="0070C0"/>
          <w:sz w:val="8"/>
          <w:szCs w:val="8"/>
        </w:rPr>
      </w:pPr>
    </w:p>
    <w:p w:rsidR="00B20702" w:rsidRDefault="00B20702" w:rsidP="00B20702">
      <w:pPr>
        <w:ind w:firstLine="709"/>
        <w:jc w:val="both"/>
      </w:pPr>
      <w:r>
        <w:t xml:space="preserve">Приходите от осигурителни вноски по бюджетите на социалноосигурителните фондове (вкл. ДОО, ФГВРС и УПФ) са в размер на 4 836,6 млн. лв., което представлява 104,9 % изпълнение на годишните разчети и с 315,7 млн. лв. повече спрямо предходната година. Здравноосигурителните вноски по бюджета на НЗОК възлизат на 2 110,5 млн. лв., което е 103,4 % спрямо заложените в разчета за годината и със 182,6 млн. лв. повече спрямо 2014 г. </w:t>
      </w:r>
    </w:p>
    <w:p w:rsidR="00B20702" w:rsidRDefault="00B20702" w:rsidP="00781B85">
      <w:pPr>
        <w:pStyle w:val="Heading3"/>
        <w:numPr>
          <w:ilvl w:val="2"/>
          <w:numId w:val="15"/>
        </w:numPr>
        <w:rPr>
          <w:rFonts w:ascii="Times New Roman" w:hAnsi="Times New Roman" w:cs="Times New Roman"/>
          <w:sz w:val="24"/>
          <w:szCs w:val="24"/>
          <w:lang w:val="bg-BG"/>
        </w:rPr>
      </w:pPr>
      <w:bookmarkStart w:id="143" w:name="_Toc324863407"/>
      <w:bookmarkStart w:id="144" w:name="_Toc326315900"/>
      <w:bookmarkStart w:id="145" w:name="_Toc357527085"/>
      <w:bookmarkStart w:id="146" w:name="_Toc393728059"/>
      <w:r>
        <w:rPr>
          <w:rFonts w:ascii="Times New Roman" w:hAnsi="Times New Roman" w:cs="Times New Roman"/>
          <w:sz w:val="24"/>
          <w:szCs w:val="24"/>
          <w:lang w:val="en-US"/>
        </w:rPr>
        <w:t xml:space="preserve"> </w:t>
      </w:r>
      <w:bookmarkStart w:id="147" w:name="_Toc462146108"/>
      <w:r>
        <w:rPr>
          <w:rFonts w:ascii="Times New Roman" w:hAnsi="Times New Roman" w:cs="Times New Roman"/>
          <w:sz w:val="24"/>
          <w:szCs w:val="24"/>
          <w:lang w:val="bg-BG"/>
        </w:rPr>
        <w:t>Данък върху добавената стойност</w:t>
      </w:r>
      <w:bookmarkEnd w:id="142"/>
      <w:bookmarkEnd w:id="143"/>
      <w:bookmarkEnd w:id="144"/>
      <w:bookmarkEnd w:id="145"/>
      <w:bookmarkEnd w:id="146"/>
      <w:bookmarkEnd w:id="147"/>
    </w:p>
    <w:p w:rsidR="00B20702" w:rsidRDefault="00B20702" w:rsidP="00B20702">
      <w:pPr>
        <w:tabs>
          <w:tab w:val="left" w:pos="9360"/>
        </w:tabs>
        <w:ind w:right="22" w:firstLine="540"/>
        <w:jc w:val="both"/>
        <w:rPr>
          <w:color w:val="0070C0"/>
          <w:sz w:val="8"/>
          <w:szCs w:val="8"/>
        </w:rPr>
      </w:pPr>
    </w:p>
    <w:p w:rsidR="00B20702" w:rsidRDefault="00B20702" w:rsidP="00B20702">
      <w:pPr>
        <w:ind w:firstLine="720"/>
        <w:jc w:val="both"/>
        <w:rPr>
          <w:lang w:eastAsia="en-US"/>
        </w:rPr>
      </w:pPr>
      <w:bookmarkStart w:id="148" w:name="_Toc393728060"/>
      <w:bookmarkStart w:id="149" w:name="_Toc357527086"/>
      <w:bookmarkStart w:id="150" w:name="_Toc326315901"/>
      <w:bookmarkStart w:id="151" w:name="_Toc324863409"/>
      <w:bookmarkStart w:id="152" w:name="_Toc261276573"/>
      <w:r>
        <w:rPr>
          <w:lang w:eastAsia="en-US"/>
        </w:rPr>
        <w:t xml:space="preserve">Приходите от ДДС формират най-голяма част от данъчните постъпления по КФП – 31,1 %. За 2015 г. те възлизат на 7 740,0 млн. лв. или 95,7 % от актуализирания годишен разчет. Относителният дял на приходите от ДДС в БВП е 9,0 %, при 8,7 % от БВП за 2014 година. В сравнение с отчетените постъпления за предходната година, се отбелязва увеличение от 6,5 % или 475,6 млн. лв., което се дължи основно на по-високите приходи от ДДС от сделки в страната и ЕС. </w:t>
      </w:r>
    </w:p>
    <w:p w:rsidR="00B20702" w:rsidRDefault="00B20702" w:rsidP="00B20702">
      <w:pPr>
        <w:ind w:firstLine="720"/>
        <w:jc w:val="both"/>
        <w:rPr>
          <w:lang w:eastAsia="en-US"/>
        </w:rPr>
      </w:pPr>
    </w:p>
    <w:p w:rsidR="00B20702" w:rsidRDefault="00D37B0F" w:rsidP="00B20702">
      <w:pPr>
        <w:jc w:val="both"/>
        <w:rPr>
          <w:lang w:eastAsia="en-US"/>
        </w:rPr>
      </w:pPr>
      <w:r>
        <w:rPr>
          <w:noProof/>
        </w:rPr>
        <w:drawing>
          <wp:inline distT="0" distB="0" distL="0" distR="0" wp14:anchorId="3420291E" wp14:editId="50D628AF">
            <wp:extent cx="5408930" cy="3554095"/>
            <wp:effectExtent l="0" t="0" r="0" b="0"/>
            <wp:docPr id="17" name="Objec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20702" w:rsidRDefault="00B20702" w:rsidP="00B20702">
      <w:pPr>
        <w:spacing w:after="120"/>
        <w:ind w:firstLine="720"/>
        <w:jc w:val="both"/>
        <w:rPr>
          <w:b/>
          <w:i/>
          <w:u w:val="single"/>
          <w:lang w:val="en-US"/>
        </w:rPr>
      </w:pPr>
      <w:r>
        <w:rPr>
          <w:lang w:eastAsia="en-US"/>
        </w:rPr>
        <w:tab/>
      </w:r>
      <w:r>
        <w:rPr>
          <w:lang w:eastAsia="en-US"/>
        </w:rPr>
        <w:tab/>
      </w:r>
      <w:r>
        <w:rPr>
          <w:lang w:eastAsia="en-US"/>
        </w:rPr>
        <w:tab/>
      </w:r>
      <w:r>
        <w:rPr>
          <w:lang w:eastAsia="en-US"/>
        </w:rPr>
        <w:tab/>
      </w:r>
      <w:r>
        <w:rPr>
          <w:lang w:eastAsia="en-US"/>
        </w:rPr>
        <w:tab/>
        <w:t xml:space="preserve">         </w:t>
      </w:r>
      <w:r>
        <w:rPr>
          <w:i/>
          <w:lang w:eastAsia="en-US"/>
        </w:rPr>
        <w:t>Източник: Министерство на финансите</w:t>
      </w:r>
    </w:p>
    <w:p w:rsidR="00735B6E" w:rsidRDefault="00735B6E" w:rsidP="00B20702">
      <w:pPr>
        <w:tabs>
          <w:tab w:val="left" w:pos="0"/>
        </w:tabs>
        <w:autoSpaceDE w:val="0"/>
        <w:autoSpaceDN w:val="0"/>
        <w:adjustRightInd w:val="0"/>
        <w:ind w:firstLine="709"/>
        <w:jc w:val="both"/>
        <w:rPr>
          <w:b/>
          <w:i/>
          <w:lang w:val="en-US"/>
        </w:rPr>
      </w:pPr>
    </w:p>
    <w:p w:rsidR="00B20702" w:rsidRDefault="00B20702" w:rsidP="00B20702">
      <w:pPr>
        <w:tabs>
          <w:tab w:val="left" w:pos="0"/>
        </w:tabs>
        <w:autoSpaceDE w:val="0"/>
        <w:autoSpaceDN w:val="0"/>
        <w:adjustRightInd w:val="0"/>
        <w:ind w:firstLine="709"/>
        <w:jc w:val="both"/>
        <w:rPr>
          <w:i/>
        </w:rPr>
      </w:pPr>
      <w:r>
        <w:rPr>
          <w:b/>
          <w:i/>
        </w:rPr>
        <w:lastRenderedPageBreak/>
        <w:t>Основни фактори, влияещи върху приходите от ДДС</w:t>
      </w:r>
      <w:r>
        <w:rPr>
          <w:i/>
        </w:rPr>
        <w:t>:</w:t>
      </w:r>
    </w:p>
    <w:p w:rsidR="00B20702" w:rsidRDefault="00B20702" w:rsidP="00B20702">
      <w:pPr>
        <w:tabs>
          <w:tab w:val="left" w:pos="142"/>
          <w:tab w:val="left" w:pos="900"/>
        </w:tabs>
        <w:autoSpaceDE w:val="0"/>
        <w:autoSpaceDN w:val="0"/>
        <w:adjustRightInd w:val="0"/>
        <w:ind w:firstLine="709"/>
        <w:jc w:val="both"/>
        <w:rPr>
          <w:b/>
          <w:i/>
          <w:color w:val="4F81BD"/>
          <w:sz w:val="8"/>
          <w:szCs w:val="8"/>
          <w:u w:val="single"/>
        </w:rPr>
      </w:pPr>
    </w:p>
    <w:p w:rsidR="00B20702" w:rsidRDefault="00B20702" w:rsidP="00781B85">
      <w:pPr>
        <w:numPr>
          <w:ilvl w:val="0"/>
          <w:numId w:val="49"/>
        </w:numPr>
        <w:spacing w:after="200"/>
        <w:contextualSpacing/>
        <w:jc w:val="both"/>
      </w:pPr>
      <w:r>
        <w:rPr>
          <w:i/>
        </w:rPr>
        <w:t>динамиката на потреблението</w:t>
      </w:r>
      <w:r>
        <w:t xml:space="preserve"> – потреблението за 2015 г. нараства с 0,7 % спрямо предходната година;</w:t>
      </w:r>
    </w:p>
    <w:p w:rsidR="00B20702" w:rsidRDefault="00B20702" w:rsidP="00781B85">
      <w:pPr>
        <w:numPr>
          <w:ilvl w:val="0"/>
          <w:numId w:val="49"/>
        </w:numPr>
        <w:spacing w:after="200"/>
        <w:contextualSpacing/>
        <w:jc w:val="both"/>
      </w:pPr>
      <w:r>
        <w:rPr>
          <w:i/>
        </w:rPr>
        <w:t>увеличение на вноса</w:t>
      </w:r>
      <w:r>
        <w:t xml:space="preserve"> – по данни на НСИ, вносът от държави</w:t>
      </w:r>
      <w:r w:rsidR="00E6564D">
        <w:t>-</w:t>
      </w:r>
      <w:r>
        <w:t>членки на ЕС в страната за 2015 г. се увеличава с 5,5 %, в сравнение с предходната година, а от трети страни вносът намалява с 6,0 %, поради резкия спад на цената на петрола. При вноса от ЕС най-голямо процентно увеличение е отчетено в сектор „Химични вещества и продукти” (10,6 %), а най-голямо намаление има в сектор “Минерални горива, масла и подобни продукти“ (20,8 %). Основните търговски партньори на България сред страните от ЕС остават Германия, Италия, Румъния и Гърция;</w:t>
      </w:r>
    </w:p>
    <w:p w:rsidR="00B20702" w:rsidRDefault="00B20702" w:rsidP="00781B85">
      <w:pPr>
        <w:numPr>
          <w:ilvl w:val="0"/>
          <w:numId w:val="49"/>
        </w:numPr>
        <w:spacing w:after="200"/>
        <w:contextualSpacing/>
        <w:jc w:val="both"/>
      </w:pPr>
      <w:r>
        <w:rPr>
          <w:i/>
        </w:rPr>
        <w:t>динамиката на износа на стоки и услуги</w:t>
      </w:r>
      <w:r>
        <w:t xml:space="preserve"> – стойността на общия износ за 2015 г. (вкл. за ЕС) се увеличава със 7,6 % спрямо предходната година. Изменението на износа на стоки и услуги оказва влияние върху декларирания данък, подлежащ за възстановяване на фирмите-износители, като през 2015 г. е отчетен  ръст от 5,5 % (300,0 млн. лв.) по този показател. Износът за ЕС се е увеличил с по-големи темпове от този за трети страни;</w:t>
      </w:r>
    </w:p>
    <w:p w:rsidR="00B20702" w:rsidRPr="00C23C4F" w:rsidRDefault="00B20702" w:rsidP="00781B85">
      <w:pPr>
        <w:numPr>
          <w:ilvl w:val="0"/>
          <w:numId w:val="49"/>
        </w:numPr>
        <w:spacing w:after="200"/>
        <w:contextualSpacing/>
        <w:jc w:val="both"/>
      </w:pPr>
      <w:r w:rsidRPr="00C23C4F">
        <w:rPr>
          <w:i/>
        </w:rPr>
        <w:t>ниво на невъзстановения в срок ДДС</w:t>
      </w:r>
      <w:r w:rsidRPr="00C23C4F">
        <w:t xml:space="preserve"> към 31.12.2015 г. е 128,3 млн. лв., което е с 25,1 млн. лв. (24,3 %) повече от това през 2014 година;</w:t>
      </w:r>
    </w:p>
    <w:p w:rsidR="00B20702" w:rsidRDefault="00B20702" w:rsidP="00781B85">
      <w:pPr>
        <w:numPr>
          <w:ilvl w:val="0"/>
          <w:numId w:val="49"/>
        </w:numPr>
        <w:spacing w:after="200"/>
        <w:contextualSpacing/>
        <w:jc w:val="both"/>
      </w:pPr>
      <w:r>
        <w:rPr>
          <w:i/>
        </w:rPr>
        <w:t>механизъм за обратно начисляване на ДДС при доставки на зърнени технически култури</w:t>
      </w:r>
      <w:r>
        <w:t xml:space="preserve">  -  механизмът ще се прилага до края на 2018 година. </w:t>
      </w:r>
    </w:p>
    <w:p w:rsidR="00B20702" w:rsidRDefault="00B20702" w:rsidP="00B20702">
      <w:pPr>
        <w:tabs>
          <w:tab w:val="left" w:pos="0"/>
        </w:tabs>
        <w:ind w:firstLine="709"/>
        <w:jc w:val="both"/>
        <w:rPr>
          <w:bCs/>
          <w:color w:val="4F81BD"/>
          <w:sz w:val="8"/>
          <w:szCs w:val="8"/>
          <w:lang w:eastAsia="en-US"/>
        </w:rPr>
      </w:pPr>
      <w:r>
        <w:t xml:space="preserve">Последните по веригата, които са длъжни да начислят и внесат дължимия ДДС (мелници, зърнено-фуражни комплекси, пивоварни, и др.), са регистрирани в ТД </w:t>
      </w:r>
      <w:r w:rsidR="00216AEA">
        <w:t>„Големи данъкоплатци и осигурители“ (</w:t>
      </w:r>
      <w:r>
        <w:t>ГДО</w:t>
      </w:r>
      <w:r w:rsidR="00216AEA">
        <w:t>)</w:t>
      </w:r>
      <w:r>
        <w:t>. Това обяснява и значителното увеличение на нетния остатък по ДДС през 2014 г. в тази териториална дирекция. Към 31.12.2015 г. в ТД ГДО ефектът от прилагането на механизма за обратно начисляване на ДДС е значително по-малък от предходната година: декларираният ДДС за внасяне е с 9,9 млн. лв. повече, декларираният ДДС за възстановяване е със 17,6 млн. лв. по-малко или с 27,5 млн. лв. по-голям деклариран нетен остатък.</w:t>
      </w:r>
    </w:p>
    <w:p w:rsidR="00B20702" w:rsidRDefault="00B20702" w:rsidP="00B20702">
      <w:pPr>
        <w:tabs>
          <w:tab w:val="left" w:pos="0"/>
        </w:tabs>
        <w:ind w:firstLine="709"/>
        <w:jc w:val="both"/>
      </w:pPr>
      <w:r>
        <w:t xml:space="preserve">Към 31.12.2015 г. по ЗДДС са регистрирани  262 539 задължени лица или с </w:t>
      </w:r>
      <w:r>
        <w:rPr>
          <w:bCs/>
        </w:rPr>
        <w:t>12 960 повече спрямо 2014 година</w:t>
      </w:r>
      <w:r>
        <w:t xml:space="preserve">. </w:t>
      </w:r>
    </w:p>
    <w:p w:rsidR="00B20702" w:rsidRDefault="00B20702" w:rsidP="00B20702">
      <w:pPr>
        <w:tabs>
          <w:tab w:val="left" w:pos="142"/>
          <w:tab w:val="left" w:pos="709"/>
        </w:tabs>
        <w:ind w:firstLine="709"/>
        <w:jc w:val="both"/>
      </w:pPr>
      <w:r>
        <w:rPr>
          <w:b/>
          <w:i/>
        </w:rPr>
        <w:t xml:space="preserve"> Декларираната данъчна основа, подлежаща на облагане със ставка 20 % </w:t>
      </w:r>
      <w:r>
        <w:t xml:space="preserve">към 31.12.2015 г. е 190 000 млн. лв. или увеличение със 7 400 млн. лв. (4,1 %) в сравнение със същия период на 2014 година. </w:t>
      </w:r>
    </w:p>
    <w:p w:rsidR="00B20702" w:rsidRDefault="00B20702" w:rsidP="00B20702">
      <w:pPr>
        <w:tabs>
          <w:tab w:val="left" w:pos="142"/>
          <w:tab w:val="left" w:pos="9360"/>
        </w:tabs>
        <w:ind w:firstLine="709"/>
        <w:jc w:val="both"/>
      </w:pPr>
      <w:r>
        <w:t xml:space="preserve">Постъпленията от </w:t>
      </w:r>
      <w:r>
        <w:rPr>
          <w:b/>
          <w:i/>
        </w:rPr>
        <w:t>ДДС при сделки в страната и ВОП (нето)</w:t>
      </w:r>
      <w:r>
        <w:rPr>
          <w:b/>
        </w:rPr>
        <w:t xml:space="preserve"> </w:t>
      </w:r>
      <w:r>
        <w:t xml:space="preserve">възлизат на 4 364,1 млн. лв., което е 94,1 % изпълнение на актуализирания разчет за годината. Съпоставени с предходната година, постъпленията от данъка са нараснали със 721,1 млн. лв. </w:t>
      </w:r>
      <w:r>
        <w:rPr>
          <w:lang w:val="en-US"/>
        </w:rPr>
        <w:t>(2</w:t>
      </w:r>
      <w:r>
        <w:t>0,0 %</w:t>
      </w:r>
      <w:r>
        <w:rPr>
          <w:lang w:val="en-US"/>
        </w:rPr>
        <w:t>)</w:t>
      </w:r>
      <w:r>
        <w:t>.</w:t>
      </w:r>
    </w:p>
    <w:p w:rsidR="00B20702" w:rsidRDefault="00B20702" w:rsidP="00B20702">
      <w:pPr>
        <w:tabs>
          <w:tab w:val="left" w:pos="142"/>
          <w:tab w:val="left" w:pos="9360"/>
        </w:tabs>
        <w:ind w:firstLine="709"/>
        <w:jc w:val="both"/>
      </w:pPr>
      <w:r>
        <w:t xml:space="preserve">Основните показатели, които формират нетните приходи от </w:t>
      </w:r>
      <w:r>
        <w:rPr>
          <w:b/>
          <w:i/>
        </w:rPr>
        <w:t>ДДС при сделки в страната и ВОП</w:t>
      </w:r>
      <w:r>
        <w:t xml:space="preserve"> към 31.12.2015 г. са следните:</w:t>
      </w:r>
    </w:p>
    <w:p w:rsidR="00B20702" w:rsidRDefault="00B20702" w:rsidP="00781B85">
      <w:pPr>
        <w:numPr>
          <w:ilvl w:val="0"/>
          <w:numId w:val="51"/>
        </w:numPr>
        <w:autoSpaceDE w:val="0"/>
        <w:autoSpaceDN w:val="0"/>
        <w:adjustRightInd w:val="0"/>
        <w:spacing w:after="200" w:line="276" w:lineRule="auto"/>
        <w:contextualSpacing/>
        <w:jc w:val="both"/>
      </w:pPr>
      <w:r>
        <w:t>Ефективно внесеният ДДС по сметките на НАП, формиран като данък от справки-декларации от сделки в страната и ВОП и допълнително внесените суми, разкрити с данъчно-ревизионни актове, е в размер на 10 288,5 млн. лв., което е със 725,8 млн. лв. (7,6 %) повече в сравнение със същия период на миналата година;</w:t>
      </w:r>
    </w:p>
    <w:p w:rsidR="00B20702" w:rsidRDefault="00B20702" w:rsidP="00781B85">
      <w:pPr>
        <w:numPr>
          <w:ilvl w:val="0"/>
          <w:numId w:val="51"/>
        </w:numPr>
        <w:autoSpaceDE w:val="0"/>
        <w:autoSpaceDN w:val="0"/>
        <w:adjustRightInd w:val="0"/>
        <w:spacing w:after="200" w:line="276" w:lineRule="auto"/>
        <w:contextualSpacing/>
        <w:jc w:val="both"/>
      </w:pPr>
      <w:r>
        <w:t>Общо възстановеният (чрез прихващане и ефективно) ДДС е 6 006,5 млн. лв. или с 34,6 млн. лв. (0,6 %) повече в сравнение с 2014 година. Декларираният ДДС за внасяне (след приспадане) е 10 522,1 млн. лв. като спрямо предходната година се отчита увеличение с 673,2 млн. лв. (6,8 %);</w:t>
      </w:r>
    </w:p>
    <w:p w:rsidR="00B20702" w:rsidRDefault="00B20702" w:rsidP="00781B85">
      <w:pPr>
        <w:numPr>
          <w:ilvl w:val="0"/>
          <w:numId w:val="51"/>
        </w:numPr>
        <w:autoSpaceDE w:val="0"/>
        <w:autoSpaceDN w:val="0"/>
        <w:adjustRightInd w:val="0"/>
        <w:spacing w:after="200" w:line="276" w:lineRule="auto"/>
        <w:contextualSpacing/>
        <w:jc w:val="both"/>
      </w:pPr>
      <w:r>
        <w:lastRenderedPageBreak/>
        <w:t xml:space="preserve">Декларираният ДДС, подлежащ за възстановяване (вкл. от клетки 80, 81 или 82 на подадените справки-декларации за ДДС) е 5 752,8 млн. лв. и спрямо предходната година се отчита увеличение с 300,3 млн. лв. (5,5 %). </w:t>
      </w:r>
    </w:p>
    <w:p w:rsidR="00B20702" w:rsidRDefault="00B20702" w:rsidP="00B20702">
      <w:pPr>
        <w:tabs>
          <w:tab w:val="left" w:pos="142"/>
        </w:tabs>
        <w:ind w:firstLine="709"/>
        <w:jc w:val="both"/>
      </w:pPr>
      <w:r>
        <w:t xml:space="preserve">Касовото изпълнение на приходите от </w:t>
      </w:r>
      <w:r>
        <w:rPr>
          <w:b/>
          <w:i/>
        </w:rPr>
        <w:t>ДДС от внос</w:t>
      </w:r>
      <w:r>
        <w:t xml:space="preserve"> за 2015 г. възлиза на 3 375,9 млн. лв., което е 97,8 % от заложените приходи в актуализирания разчет. Относителният дял на приходите от внос в общите приходи от ДДС е 43,6 % при 49,9 %  за 2014 година. Съпоставени с 2014 г. приходите от внос намаляват с 245,5 млн. лв. (6,8 %). </w:t>
      </w:r>
    </w:p>
    <w:p w:rsidR="00B20702" w:rsidRDefault="00B20702" w:rsidP="00B20702">
      <w:pPr>
        <w:tabs>
          <w:tab w:val="left" w:pos="0"/>
        </w:tabs>
        <w:ind w:firstLine="709"/>
        <w:jc w:val="both"/>
      </w:pPr>
      <w:r>
        <w:t xml:space="preserve">Факторите, влияещи върху </w:t>
      </w:r>
      <w:r>
        <w:rPr>
          <w:i/>
        </w:rPr>
        <w:t>приходите от внос</w:t>
      </w:r>
      <w:r>
        <w:t xml:space="preserve"> са оценени както следва:</w:t>
      </w:r>
    </w:p>
    <w:p w:rsidR="00B20702" w:rsidRDefault="00B20702" w:rsidP="00781B85">
      <w:pPr>
        <w:numPr>
          <w:ilvl w:val="0"/>
          <w:numId w:val="49"/>
        </w:numPr>
        <w:spacing w:after="200" w:line="276" w:lineRule="auto"/>
        <w:contextualSpacing/>
        <w:jc w:val="both"/>
      </w:pPr>
      <w:r>
        <w:t>изменение на физическия обем при внос – увеличение средно с 3,9 % спрямо 2014 г.;</w:t>
      </w:r>
    </w:p>
    <w:p w:rsidR="00B20702" w:rsidRDefault="00B20702" w:rsidP="00781B85">
      <w:pPr>
        <w:numPr>
          <w:ilvl w:val="0"/>
          <w:numId w:val="49"/>
        </w:numPr>
        <w:spacing w:after="200" w:line="276" w:lineRule="auto"/>
        <w:contextualSpacing/>
        <w:jc w:val="both"/>
      </w:pPr>
      <w:r>
        <w:t>цени при внос на стоки, пораждащ ДДС – намаление средно с 9,5 % спрямо 2014 г.;</w:t>
      </w:r>
    </w:p>
    <w:p w:rsidR="00B20702" w:rsidRDefault="00B20702" w:rsidP="00781B85">
      <w:pPr>
        <w:numPr>
          <w:ilvl w:val="0"/>
          <w:numId w:val="49"/>
        </w:numPr>
        <w:spacing w:after="200" w:line="276" w:lineRule="auto"/>
        <w:contextualSpacing/>
        <w:jc w:val="both"/>
      </w:pPr>
      <w:r>
        <w:t>приходи от ДДС при внос на стоки от група „</w:t>
      </w:r>
      <w:r w:rsidR="009702D5">
        <w:t>Г</w:t>
      </w:r>
      <w:r>
        <w:t>орива и смазочни материали” – отчита се намаление на постъпленията с 293,7 млн. лева (23,8 %) спрямо предходната година, което се дължи основно на спад в цената на суровия петрол с 45,9 %;</w:t>
      </w:r>
    </w:p>
    <w:p w:rsidR="00B20702" w:rsidRDefault="00B20702" w:rsidP="00781B85">
      <w:pPr>
        <w:numPr>
          <w:ilvl w:val="0"/>
          <w:numId w:val="49"/>
        </w:numPr>
        <w:spacing w:after="200" w:line="276" w:lineRule="auto"/>
        <w:contextualSpacing/>
        <w:jc w:val="both"/>
      </w:pPr>
      <w:r>
        <w:t>промяна на курса на лева спрямо долара – отчита се увеличение на приходите от ДДС на годишна база със 170 млн. лв. (от 1,46 лева/долар през 2014 г. на 1,77 лева/долар през 2015 г.).</w:t>
      </w:r>
    </w:p>
    <w:p w:rsidR="00B20702" w:rsidRDefault="00B20702" w:rsidP="00B20702">
      <w:pPr>
        <w:tabs>
          <w:tab w:val="left" w:pos="142"/>
        </w:tabs>
        <w:ind w:firstLine="709"/>
        <w:jc w:val="both"/>
      </w:pPr>
      <w:r>
        <w:t xml:space="preserve">Спадът в приходите от ДДС при внос през 2015 г. </w:t>
      </w:r>
      <w:r>
        <w:rPr>
          <w:rFonts w:eastAsia="Calibri"/>
          <w:lang w:eastAsia="en-US"/>
        </w:rPr>
        <w:t>се дължи основно на по-ниски постъпления от рафинерията „Лукойл Нефтохим Бургас” АД</w:t>
      </w:r>
      <w:r>
        <w:t>, които са с 352,8 млн. лв. по-малко спрямо 2014 година. През 2014 г. приходите от ДДС при внос на суров нефт и мазут формират 32,9 % от приходите от ДДС, докато за същия период на тази година делът им е 24,9 %.</w:t>
      </w:r>
    </w:p>
    <w:p w:rsidR="00B20702" w:rsidRDefault="00B20702" w:rsidP="00B20702">
      <w:pPr>
        <w:ind w:firstLine="709"/>
        <w:jc w:val="both"/>
      </w:pPr>
      <w:r>
        <w:t>За 2015 г. се отчита спад на годишна база в борсовите цени (в долари) на суровините, които формират основна част  вноса от трети страни - суров нефт за тип „Брент” (47,1 %), желязна руда (43,0 %), никел (27,2 %), мед (18,1 %), олово (14,4 %), алуминий (7,8 %). На фона на тази неблагоприятна за приходите икономическа обстановка, за 2015 г. приходите от ДДС при внос за други стоки (без суров нефт и мазут) бележат ръст от 4,3 %.</w:t>
      </w:r>
    </w:p>
    <w:p w:rsidR="00B20702" w:rsidRDefault="00B20702" w:rsidP="00B20702">
      <w:pPr>
        <w:ind w:firstLine="142"/>
        <w:jc w:val="both"/>
      </w:pPr>
    </w:p>
    <w:p w:rsidR="00B20702" w:rsidRDefault="00B20702" w:rsidP="00B20702">
      <w:pPr>
        <w:spacing w:after="120"/>
        <w:ind w:firstLine="720"/>
        <w:jc w:val="center"/>
        <w:rPr>
          <w:lang w:eastAsia="en-US"/>
        </w:rPr>
      </w:pPr>
      <w:r>
        <w:rPr>
          <w:b/>
        </w:rPr>
        <w:t>Приходи от ДДС от внос по групи стоки за 2015 г.</w:t>
      </w:r>
    </w:p>
    <w:tbl>
      <w:tblPr>
        <w:tblW w:w="8700" w:type="dxa"/>
        <w:jc w:val="center"/>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651"/>
        <w:gridCol w:w="1133"/>
        <w:gridCol w:w="1133"/>
        <w:gridCol w:w="901"/>
        <w:gridCol w:w="1395"/>
        <w:gridCol w:w="1487"/>
      </w:tblGrid>
      <w:tr w:rsidR="00B20702" w:rsidTr="00B20702">
        <w:trPr>
          <w:trHeight w:val="965"/>
          <w:jc w:val="center"/>
        </w:trPr>
        <w:tc>
          <w:tcPr>
            <w:tcW w:w="2652"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right="113" w:hanging="28"/>
              <w:jc w:val="center"/>
              <w:rPr>
                <w:b/>
                <w:bCs/>
              </w:rPr>
            </w:pPr>
            <w:r>
              <w:rPr>
                <w:b/>
              </w:rPr>
              <w:t>Групи стоки</w:t>
            </w:r>
          </w:p>
        </w:tc>
        <w:tc>
          <w:tcPr>
            <w:tcW w:w="1134" w:type="dxa"/>
            <w:tcBorders>
              <w:top w:val="single" w:sz="4" w:space="0" w:color="auto"/>
              <w:left w:val="single" w:sz="4" w:space="0" w:color="auto"/>
              <w:bottom w:val="single" w:sz="4" w:space="0" w:color="auto"/>
              <w:right w:val="single" w:sz="4" w:space="0" w:color="auto"/>
            </w:tcBorders>
            <w:vAlign w:val="center"/>
            <w:hideMark/>
          </w:tcPr>
          <w:p w:rsidR="00B20702" w:rsidRDefault="00B20702">
            <w:pPr>
              <w:tabs>
                <w:tab w:val="left" w:pos="142"/>
              </w:tabs>
              <w:ind w:right="113"/>
              <w:jc w:val="center"/>
            </w:pPr>
            <w:r>
              <w:t>ДДС</w:t>
            </w:r>
          </w:p>
          <w:p w:rsidR="00B20702" w:rsidRDefault="00B20702">
            <w:pPr>
              <w:tabs>
                <w:tab w:val="left" w:pos="142"/>
              </w:tabs>
              <w:ind w:right="113"/>
              <w:jc w:val="center"/>
              <w:rPr>
                <w:bCs/>
              </w:rPr>
            </w:pPr>
            <w:r>
              <w:t>(млн. лв.)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B20702" w:rsidRDefault="00B20702">
            <w:pPr>
              <w:tabs>
                <w:tab w:val="left" w:pos="142"/>
              </w:tabs>
              <w:ind w:right="-91"/>
              <w:jc w:val="center"/>
              <w:rPr>
                <w:bCs/>
              </w:rPr>
            </w:pPr>
            <w:r>
              <w:rPr>
                <w:bCs/>
              </w:rPr>
              <w:t>Номинал-но изме-нение</w:t>
            </w:r>
          </w:p>
          <w:p w:rsidR="00B20702" w:rsidRDefault="00B20702">
            <w:pPr>
              <w:tabs>
                <w:tab w:val="left" w:pos="142"/>
              </w:tabs>
              <w:ind w:right="-91"/>
              <w:jc w:val="center"/>
              <w:rPr>
                <w:bCs/>
              </w:rPr>
            </w:pPr>
            <w:r>
              <w:rPr>
                <w:bCs/>
              </w:rPr>
              <w:t>(%)</w:t>
            </w:r>
          </w:p>
        </w:tc>
        <w:tc>
          <w:tcPr>
            <w:tcW w:w="901" w:type="dxa"/>
            <w:tcBorders>
              <w:top w:val="single" w:sz="4" w:space="0" w:color="auto"/>
              <w:left w:val="single" w:sz="4" w:space="0" w:color="auto"/>
              <w:bottom w:val="single" w:sz="4" w:space="0" w:color="auto"/>
              <w:right w:val="single" w:sz="4" w:space="0" w:color="auto"/>
            </w:tcBorders>
            <w:vAlign w:val="center"/>
            <w:hideMark/>
          </w:tcPr>
          <w:p w:rsidR="00B20702" w:rsidRDefault="00B20702">
            <w:pPr>
              <w:tabs>
                <w:tab w:val="left" w:pos="142"/>
              </w:tabs>
              <w:ind w:right="113"/>
              <w:jc w:val="center"/>
              <w:rPr>
                <w:bCs/>
              </w:rPr>
            </w:pPr>
            <w:r>
              <w:rPr>
                <w:bCs/>
              </w:rPr>
              <w:t>Отн. дял</w:t>
            </w:r>
          </w:p>
          <w:p w:rsidR="00B20702" w:rsidRDefault="00B20702">
            <w:pPr>
              <w:tabs>
                <w:tab w:val="left" w:pos="142"/>
              </w:tabs>
              <w:ind w:right="113"/>
              <w:jc w:val="center"/>
              <w:rPr>
                <w:bCs/>
              </w:rPr>
            </w:pPr>
            <w:r>
              <w:rPr>
                <w:bCs/>
              </w:rPr>
              <w:t>(%)</w:t>
            </w:r>
          </w:p>
        </w:tc>
        <w:tc>
          <w:tcPr>
            <w:tcW w:w="1396" w:type="dxa"/>
            <w:tcBorders>
              <w:top w:val="single" w:sz="4" w:space="0" w:color="auto"/>
              <w:left w:val="single" w:sz="4" w:space="0" w:color="auto"/>
              <w:bottom w:val="single" w:sz="4" w:space="0" w:color="auto"/>
              <w:right w:val="single" w:sz="4" w:space="0" w:color="auto"/>
            </w:tcBorders>
            <w:vAlign w:val="center"/>
            <w:hideMark/>
          </w:tcPr>
          <w:p w:rsidR="00B20702" w:rsidRDefault="00B20702">
            <w:pPr>
              <w:tabs>
                <w:tab w:val="left" w:pos="142"/>
              </w:tabs>
              <w:ind w:right="-70"/>
              <w:jc w:val="center"/>
              <w:rPr>
                <w:bCs/>
              </w:rPr>
            </w:pPr>
            <w:r>
              <w:rPr>
                <w:bCs/>
              </w:rPr>
              <w:t>Индекс на цени при внос</w:t>
            </w:r>
          </w:p>
          <w:p w:rsidR="00B20702" w:rsidRDefault="00B20702">
            <w:pPr>
              <w:tabs>
                <w:tab w:val="left" w:pos="142"/>
              </w:tabs>
              <w:ind w:right="-70"/>
              <w:jc w:val="center"/>
              <w:rPr>
                <w:bCs/>
              </w:rPr>
            </w:pPr>
            <w:r>
              <w:rPr>
                <w:bCs/>
              </w:rPr>
              <w:t xml:space="preserve">спрямо 2014 </w:t>
            </w:r>
          </w:p>
        </w:tc>
        <w:tc>
          <w:tcPr>
            <w:tcW w:w="1488" w:type="dxa"/>
            <w:tcBorders>
              <w:top w:val="single" w:sz="4" w:space="0" w:color="auto"/>
              <w:left w:val="single" w:sz="4" w:space="0" w:color="auto"/>
              <w:bottom w:val="single" w:sz="4" w:space="0" w:color="auto"/>
              <w:right w:val="single" w:sz="4" w:space="0" w:color="auto"/>
            </w:tcBorders>
            <w:vAlign w:val="center"/>
            <w:hideMark/>
          </w:tcPr>
          <w:p w:rsidR="00B20702" w:rsidRDefault="00B20702">
            <w:pPr>
              <w:tabs>
                <w:tab w:val="left" w:pos="0"/>
              </w:tabs>
              <w:ind w:right="-42"/>
              <w:jc w:val="center"/>
              <w:rPr>
                <w:bCs/>
              </w:rPr>
            </w:pPr>
            <w:r>
              <w:rPr>
                <w:bCs/>
              </w:rPr>
              <w:t xml:space="preserve">Индекс на физическия обем при внос </w:t>
            </w:r>
          </w:p>
          <w:p w:rsidR="00B20702" w:rsidRDefault="00B20702">
            <w:pPr>
              <w:tabs>
                <w:tab w:val="left" w:pos="0"/>
              </w:tabs>
              <w:ind w:right="-42"/>
              <w:jc w:val="center"/>
              <w:rPr>
                <w:bCs/>
              </w:rPr>
            </w:pPr>
            <w:r>
              <w:rPr>
                <w:bCs/>
              </w:rPr>
              <w:t xml:space="preserve">спрямо 2014 </w:t>
            </w:r>
          </w:p>
        </w:tc>
      </w:tr>
      <w:tr w:rsidR="00B20702" w:rsidTr="00B20702">
        <w:trPr>
          <w:trHeight w:val="262"/>
          <w:jc w:val="center"/>
        </w:trPr>
        <w:tc>
          <w:tcPr>
            <w:tcW w:w="2652" w:type="dxa"/>
            <w:tcBorders>
              <w:top w:val="single" w:sz="4" w:space="0" w:color="auto"/>
              <w:left w:val="single" w:sz="4" w:space="0" w:color="auto"/>
              <w:bottom w:val="single" w:sz="4" w:space="0" w:color="auto"/>
              <w:right w:val="single" w:sz="4" w:space="0" w:color="auto"/>
            </w:tcBorders>
            <w:noWrap/>
            <w:vAlign w:val="bottom"/>
            <w:hideMark/>
          </w:tcPr>
          <w:p w:rsidR="00B20702" w:rsidRDefault="00B20702">
            <w:pPr>
              <w:tabs>
                <w:tab w:val="left" w:pos="142"/>
              </w:tabs>
              <w:ind w:right="113"/>
              <w:rPr>
                <w:bCs/>
              </w:rPr>
            </w:pPr>
            <w:r>
              <w:rPr>
                <w:bCs/>
              </w:rPr>
              <w:t>Храни и напитки</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185,5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36,0</w:t>
            </w:r>
          </w:p>
        </w:tc>
        <w:tc>
          <w:tcPr>
            <w:tcW w:w="901"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right="113" w:hanging="14"/>
              <w:jc w:val="right"/>
            </w:pPr>
            <w:r>
              <w:t>5,5</w:t>
            </w:r>
          </w:p>
        </w:tc>
        <w:tc>
          <w:tcPr>
            <w:tcW w:w="1396"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rPr>
                <w:iCs/>
              </w:rPr>
            </w:pPr>
            <w:r>
              <w:t>108,3</w:t>
            </w:r>
          </w:p>
        </w:tc>
        <w:tc>
          <w:tcPr>
            <w:tcW w:w="1488"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firstLine="709"/>
              <w:jc w:val="right"/>
              <w:rPr>
                <w:iCs/>
              </w:rPr>
            </w:pPr>
            <w:r>
              <w:t>125,6</w:t>
            </w:r>
          </w:p>
        </w:tc>
      </w:tr>
      <w:tr w:rsidR="00B20702" w:rsidTr="00B20702">
        <w:trPr>
          <w:trHeight w:val="262"/>
          <w:jc w:val="center"/>
        </w:trPr>
        <w:tc>
          <w:tcPr>
            <w:tcW w:w="2652" w:type="dxa"/>
            <w:tcBorders>
              <w:top w:val="single" w:sz="4" w:space="0" w:color="auto"/>
              <w:left w:val="single" w:sz="4" w:space="0" w:color="auto"/>
              <w:bottom w:val="single" w:sz="4" w:space="0" w:color="auto"/>
              <w:right w:val="single" w:sz="4" w:space="0" w:color="auto"/>
            </w:tcBorders>
            <w:noWrap/>
            <w:vAlign w:val="bottom"/>
            <w:hideMark/>
          </w:tcPr>
          <w:p w:rsidR="00B20702" w:rsidRDefault="00B20702">
            <w:pPr>
              <w:tabs>
                <w:tab w:val="left" w:pos="142"/>
              </w:tabs>
              <w:ind w:right="113" w:hanging="28"/>
              <w:rPr>
                <w:bCs/>
              </w:rPr>
            </w:pPr>
            <w:r>
              <w:rPr>
                <w:bCs/>
              </w:rPr>
              <w:t>Промишлени доставки</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1 396,2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-1,0</w:t>
            </w:r>
          </w:p>
        </w:tc>
        <w:tc>
          <w:tcPr>
            <w:tcW w:w="901"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right="113" w:hanging="14"/>
              <w:jc w:val="right"/>
            </w:pPr>
            <w:r>
              <w:t>41,4</w:t>
            </w:r>
          </w:p>
        </w:tc>
        <w:tc>
          <w:tcPr>
            <w:tcW w:w="1396"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rPr>
                <w:iCs/>
              </w:rPr>
            </w:pPr>
            <w:r>
              <w:t>98,9</w:t>
            </w:r>
          </w:p>
        </w:tc>
        <w:tc>
          <w:tcPr>
            <w:tcW w:w="1488"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firstLine="709"/>
              <w:jc w:val="right"/>
              <w:rPr>
                <w:iCs/>
              </w:rPr>
            </w:pPr>
            <w:r>
              <w:t>100,1</w:t>
            </w:r>
          </w:p>
        </w:tc>
      </w:tr>
      <w:tr w:rsidR="00B20702" w:rsidTr="00B20702">
        <w:trPr>
          <w:trHeight w:val="262"/>
          <w:jc w:val="center"/>
        </w:trPr>
        <w:tc>
          <w:tcPr>
            <w:tcW w:w="2652" w:type="dxa"/>
            <w:tcBorders>
              <w:top w:val="single" w:sz="4" w:space="0" w:color="auto"/>
              <w:left w:val="single" w:sz="4" w:space="0" w:color="auto"/>
              <w:bottom w:val="single" w:sz="4" w:space="0" w:color="auto"/>
              <w:right w:val="single" w:sz="4" w:space="0" w:color="auto"/>
            </w:tcBorders>
            <w:noWrap/>
            <w:vAlign w:val="bottom"/>
            <w:hideMark/>
          </w:tcPr>
          <w:p w:rsidR="00B20702" w:rsidRDefault="00B20702">
            <w:pPr>
              <w:tabs>
                <w:tab w:val="left" w:pos="142"/>
              </w:tabs>
              <w:ind w:right="113" w:hanging="28"/>
              <w:rPr>
                <w:bCs/>
              </w:rPr>
            </w:pPr>
            <w:r>
              <w:rPr>
                <w:bCs/>
              </w:rPr>
              <w:t>Горива и смазочни материали</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rPr>
                <w:bCs/>
              </w:rPr>
              <w:t>938,5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rPr>
                <w:bCs/>
              </w:rPr>
              <w:t>-23,8</w:t>
            </w:r>
          </w:p>
        </w:tc>
        <w:tc>
          <w:tcPr>
            <w:tcW w:w="901"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right="113" w:hanging="14"/>
              <w:jc w:val="right"/>
            </w:pPr>
            <w:r>
              <w:rPr>
                <w:bCs/>
              </w:rPr>
              <w:t>27,8</w:t>
            </w:r>
          </w:p>
        </w:tc>
        <w:tc>
          <w:tcPr>
            <w:tcW w:w="1396"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rPr>
                <w:iCs/>
              </w:rPr>
            </w:pPr>
            <w:r>
              <w:rPr>
                <w:bCs/>
              </w:rPr>
              <w:t>67,1</w:t>
            </w:r>
          </w:p>
        </w:tc>
        <w:tc>
          <w:tcPr>
            <w:tcW w:w="1488"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firstLine="709"/>
              <w:jc w:val="right"/>
              <w:rPr>
                <w:iCs/>
              </w:rPr>
            </w:pPr>
            <w:r>
              <w:rPr>
                <w:bCs/>
              </w:rPr>
              <w:t>113,5</w:t>
            </w:r>
          </w:p>
        </w:tc>
      </w:tr>
      <w:tr w:rsidR="00B20702" w:rsidTr="00B20702">
        <w:trPr>
          <w:trHeight w:val="262"/>
          <w:jc w:val="center"/>
        </w:trPr>
        <w:tc>
          <w:tcPr>
            <w:tcW w:w="2652" w:type="dxa"/>
            <w:tcBorders>
              <w:top w:val="single" w:sz="4" w:space="0" w:color="auto"/>
              <w:left w:val="single" w:sz="4" w:space="0" w:color="auto"/>
              <w:bottom w:val="single" w:sz="4" w:space="0" w:color="auto"/>
              <w:right w:val="single" w:sz="4" w:space="0" w:color="auto"/>
            </w:tcBorders>
            <w:noWrap/>
            <w:vAlign w:val="bottom"/>
            <w:hideMark/>
          </w:tcPr>
          <w:p w:rsidR="00B20702" w:rsidRDefault="00B20702">
            <w:pPr>
              <w:tabs>
                <w:tab w:val="left" w:pos="142"/>
              </w:tabs>
              <w:ind w:right="113" w:hanging="28"/>
              <w:rPr>
                <w:bCs/>
              </w:rPr>
            </w:pPr>
            <w:r>
              <w:rPr>
                <w:bCs/>
              </w:rPr>
              <w:t>Инвестиционни стоки</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431,0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1,8</w:t>
            </w:r>
          </w:p>
        </w:tc>
        <w:tc>
          <w:tcPr>
            <w:tcW w:w="901"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right="113" w:hanging="14"/>
              <w:jc w:val="right"/>
            </w:pPr>
            <w:r>
              <w:t>12,8</w:t>
            </w:r>
          </w:p>
        </w:tc>
        <w:tc>
          <w:tcPr>
            <w:tcW w:w="1396"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rPr>
                <w:iCs/>
              </w:rPr>
            </w:pPr>
            <w:r>
              <w:t>114,4</w:t>
            </w:r>
          </w:p>
        </w:tc>
        <w:tc>
          <w:tcPr>
            <w:tcW w:w="1488"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firstLine="709"/>
              <w:jc w:val="right"/>
              <w:rPr>
                <w:iCs/>
              </w:rPr>
            </w:pPr>
            <w:r>
              <w:t>88,9</w:t>
            </w:r>
          </w:p>
        </w:tc>
      </w:tr>
      <w:tr w:rsidR="00B20702" w:rsidTr="00B20702">
        <w:trPr>
          <w:trHeight w:val="262"/>
          <w:jc w:val="center"/>
        </w:trPr>
        <w:tc>
          <w:tcPr>
            <w:tcW w:w="2652" w:type="dxa"/>
            <w:tcBorders>
              <w:top w:val="single" w:sz="4" w:space="0" w:color="auto"/>
              <w:left w:val="single" w:sz="4" w:space="0" w:color="auto"/>
              <w:bottom w:val="single" w:sz="4" w:space="0" w:color="auto"/>
              <w:right w:val="single" w:sz="4" w:space="0" w:color="auto"/>
            </w:tcBorders>
            <w:noWrap/>
            <w:vAlign w:val="bottom"/>
            <w:hideMark/>
          </w:tcPr>
          <w:p w:rsidR="00B20702" w:rsidRDefault="00B20702">
            <w:pPr>
              <w:tabs>
                <w:tab w:val="left" w:pos="142"/>
              </w:tabs>
              <w:ind w:right="113" w:hanging="28"/>
              <w:rPr>
                <w:bCs/>
              </w:rPr>
            </w:pPr>
            <w:r>
              <w:rPr>
                <w:bCs/>
              </w:rPr>
              <w:t>Транспортно оборудване</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143,7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6,9</w:t>
            </w:r>
          </w:p>
        </w:tc>
        <w:tc>
          <w:tcPr>
            <w:tcW w:w="901"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right="113" w:hanging="14"/>
              <w:jc w:val="right"/>
            </w:pPr>
            <w:r>
              <w:t>4,3</w:t>
            </w:r>
          </w:p>
        </w:tc>
        <w:tc>
          <w:tcPr>
            <w:tcW w:w="1396"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rPr>
                <w:iCs/>
              </w:rPr>
            </w:pPr>
            <w:r>
              <w:t>107,4</w:t>
            </w:r>
          </w:p>
        </w:tc>
        <w:tc>
          <w:tcPr>
            <w:tcW w:w="1488"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firstLine="709"/>
              <w:jc w:val="right"/>
              <w:rPr>
                <w:iCs/>
              </w:rPr>
            </w:pPr>
            <w:r>
              <w:t>99,5</w:t>
            </w:r>
          </w:p>
        </w:tc>
      </w:tr>
      <w:tr w:rsidR="00B20702" w:rsidTr="00B20702">
        <w:trPr>
          <w:trHeight w:val="262"/>
          <w:jc w:val="center"/>
        </w:trPr>
        <w:tc>
          <w:tcPr>
            <w:tcW w:w="2652" w:type="dxa"/>
            <w:tcBorders>
              <w:top w:val="single" w:sz="4" w:space="0" w:color="auto"/>
              <w:left w:val="single" w:sz="4" w:space="0" w:color="auto"/>
              <w:bottom w:val="single" w:sz="4" w:space="0" w:color="auto"/>
              <w:right w:val="single" w:sz="4" w:space="0" w:color="auto"/>
            </w:tcBorders>
            <w:noWrap/>
            <w:vAlign w:val="bottom"/>
            <w:hideMark/>
          </w:tcPr>
          <w:p w:rsidR="00B20702" w:rsidRDefault="00B20702">
            <w:pPr>
              <w:tabs>
                <w:tab w:val="left" w:pos="142"/>
              </w:tabs>
              <w:ind w:right="113" w:hanging="28"/>
              <w:rPr>
                <w:bCs/>
              </w:rPr>
            </w:pPr>
            <w:r>
              <w:rPr>
                <w:bCs/>
              </w:rPr>
              <w:t>Потребителски стоки</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243,8</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pPr>
            <w:r>
              <w:t>4,3</w:t>
            </w:r>
          </w:p>
        </w:tc>
        <w:tc>
          <w:tcPr>
            <w:tcW w:w="901"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right="113" w:hanging="14"/>
              <w:jc w:val="right"/>
            </w:pPr>
            <w:r>
              <w:t>7,2</w:t>
            </w:r>
          </w:p>
        </w:tc>
        <w:tc>
          <w:tcPr>
            <w:tcW w:w="1396"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rPr>
                <w:iCs/>
              </w:rPr>
            </w:pPr>
            <w:r>
              <w:t>117,7</w:t>
            </w:r>
          </w:p>
        </w:tc>
        <w:tc>
          <w:tcPr>
            <w:tcW w:w="1488"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firstLine="709"/>
              <w:jc w:val="right"/>
              <w:rPr>
                <w:iCs/>
              </w:rPr>
            </w:pPr>
            <w:r>
              <w:t>88,6</w:t>
            </w:r>
          </w:p>
        </w:tc>
      </w:tr>
      <w:tr w:rsidR="00B20702" w:rsidTr="00B20702">
        <w:trPr>
          <w:trHeight w:val="262"/>
          <w:jc w:val="center"/>
        </w:trPr>
        <w:tc>
          <w:tcPr>
            <w:tcW w:w="2652" w:type="dxa"/>
            <w:tcBorders>
              <w:top w:val="single" w:sz="4" w:space="0" w:color="auto"/>
              <w:left w:val="single" w:sz="4" w:space="0" w:color="auto"/>
              <w:bottom w:val="single" w:sz="4" w:space="0" w:color="auto"/>
              <w:right w:val="single" w:sz="4" w:space="0" w:color="auto"/>
            </w:tcBorders>
            <w:noWrap/>
            <w:vAlign w:val="bottom"/>
            <w:hideMark/>
          </w:tcPr>
          <w:p w:rsidR="00B20702" w:rsidRDefault="00B20702">
            <w:pPr>
              <w:tabs>
                <w:tab w:val="left" w:pos="142"/>
              </w:tabs>
              <w:ind w:right="113" w:hanging="28"/>
              <w:rPr>
                <w:b/>
                <w:bCs/>
              </w:rPr>
            </w:pPr>
            <w:r>
              <w:rPr>
                <w:b/>
                <w:bCs/>
              </w:rPr>
              <w:t>Общо</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B20702" w:rsidRDefault="00B20702">
            <w:pPr>
              <w:tabs>
                <w:tab w:val="left" w:pos="142"/>
              </w:tabs>
              <w:jc w:val="right"/>
              <w:rPr>
                <w:b/>
                <w:bCs/>
              </w:rPr>
            </w:pPr>
            <w:r>
              <w:rPr>
                <w:b/>
              </w:rPr>
              <w:t>3 375,9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rPr>
                <w:b/>
                <w:bCs/>
              </w:rPr>
            </w:pPr>
            <w:r>
              <w:rPr>
                <w:b/>
                <w:bCs/>
              </w:rPr>
              <w:t>-6,8</w:t>
            </w:r>
          </w:p>
        </w:tc>
        <w:tc>
          <w:tcPr>
            <w:tcW w:w="901"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right="113" w:hanging="14"/>
              <w:jc w:val="right"/>
              <w:rPr>
                <w:b/>
                <w:bCs/>
              </w:rPr>
            </w:pPr>
            <w:r>
              <w:rPr>
                <w:b/>
                <w:bCs/>
              </w:rPr>
              <w:t>100,0</w:t>
            </w:r>
          </w:p>
        </w:tc>
        <w:tc>
          <w:tcPr>
            <w:tcW w:w="1396"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jc w:val="right"/>
              <w:rPr>
                <w:b/>
                <w:bCs/>
                <w:iCs/>
              </w:rPr>
            </w:pPr>
            <w:r>
              <w:rPr>
                <w:b/>
                <w:bCs/>
              </w:rPr>
              <w:t>90,5</w:t>
            </w:r>
          </w:p>
        </w:tc>
        <w:tc>
          <w:tcPr>
            <w:tcW w:w="1488" w:type="dxa"/>
            <w:tcBorders>
              <w:top w:val="single" w:sz="4" w:space="0" w:color="auto"/>
              <w:left w:val="single" w:sz="4" w:space="0" w:color="auto"/>
              <w:bottom w:val="single" w:sz="4" w:space="0" w:color="auto"/>
              <w:right w:val="single" w:sz="4" w:space="0" w:color="auto"/>
            </w:tcBorders>
            <w:noWrap/>
            <w:vAlign w:val="center"/>
            <w:hideMark/>
          </w:tcPr>
          <w:p w:rsidR="00B20702" w:rsidRDefault="00B20702">
            <w:pPr>
              <w:tabs>
                <w:tab w:val="left" w:pos="142"/>
              </w:tabs>
              <w:ind w:firstLine="709"/>
              <w:jc w:val="right"/>
              <w:rPr>
                <w:b/>
                <w:bCs/>
                <w:iCs/>
              </w:rPr>
            </w:pPr>
            <w:r>
              <w:rPr>
                <w:b/>
                <w:bCs/>
              </w:rPr>
              <w:t>103,9</w:t>
            </w:r>
          </w:p>
        </w:tc>
      </w:tr>
    </w:tbl>
    <w:p w:rsidR="00B20702" w:rsidRDefault="00B20702" w:rsidP="00B20702">
      <w:pPr>
        <w:ind w:left="5652" w:firstLine="12"/>
        <w:jc w:val="both"/>
        <w:rPr>
          <w:i/>
          <w:lang w:eastAsia="en-US"/>
        </w:rPr>
      </w:pPr>
      <w:r>
        <w:rPr>
          <w:i/>
          <w:lang w:eastAsia="en-US"/>
        </w:rPr>
        <w:t>Източник: Агенция „Митници“</w:t>
      </w:r>
    </w:p>
    <w:p w:rsidR="00B20702" w:rsidRDefault="00B20702" w:rsidP="00B20702">
      <w:pPr>
        <w:tabs>
          <w:tab w:val="left" w:pos="0"/>
        </w:tabs>
        <w:ind w:firstLine="709"/>
        <w:jc w:val="both"/>
      </w:pPr>
      <w:r>
        <w:lastRenderedPageBreak/>
        <w:t>През 2015 г. приходите от ДДС при внос на стоки от група „</w:t>
      </w:r>
      <w:r w:rsidR="003B4CE2">
        <w:rPr>
          <w:i/>
        </w:rPr>
        <w:t>П</w:t>
      </w:r>
      <w:r>
        <w:rPr>
          <w:i/>
        </w:rPr>
        <w:t>ромишлени доставки“</w:t>
      </w:r>
      <w:r>
        <w:t xml:space="preserve"> достигат 1 396,2 млн. лв., което е намаление с 13,7 млн. лв. (1,</w:t>
      </w:r>
      <w:r>
        <w:rPr>
          <w:lang w:val="en-US"/>
        </w:rPr>
        <w:t>0</w:t>
      </w:r>
      <w:r>
        <w:t xml:space="preserve"> %) спрямо предходната година. </w:t>
      </w:r>
    </w:p>
    <w:p w:rsidR="00B20702" w:rsidRDefault="00B20702" w:rsidP="00B20702">
      <w:pPr>
        <w:tabs>
          <w:tab w:val="left" w:pos="0"/>
        </w:tabs>
        <w:ind w:firstLine="709"/>
        <w:jc w:val="both"/>
      </w:pPr>
      <w:r>
        <w:t xml:space="preserve">През годината се регистрира спад във вноса на мазут, като приходите намаляват със 102,3 млн. лв., съответно от 166,6 млн. лв. през 2014 г. до 64,3 млн. лв. през 2015 година. За 2015 г. приходите от ДДС при внос на черни метали представляват около 14,7 % от промишлените доставки. От внос на чугун, желязо и стомана в бюджета са постъпили 205,2 млн. лв., което представлява ръст със 7,6 % спрямо 2014 година. Количествата нарастват с 20,9 %, а средната цена в лева за килограм намалява с 11,1 %. Нетният ефект е 14,1 млн. лв. повече приходи от ДДС при внос на чугун, желязо и стомана. При цветните метали, приходите от ДДС при внос на промишлена мед достигат </w:t>
      </w:r>
      <w:r>
        <w:rPr>
          <w:lang w:val="en-US"/>
        </w:rPr>
        <w:t>10</w:t>
      </w:r>
      <w:r>
        <w:t xml:space="preserve">0,9 млн. лв., отчитайки спад от 5,3 млн. лв. (5,0 %) спрямо 2014 година. От внос на руди през 2015 г. са постъпили 201,5 млн. лв. приходи от ДДС при внос, което е с 29,1 млн. лв. (16,9 %) повече. </w:t>
      </w:r>
    </w:p>
    <w:p w:rsidR="00B20702" w:rsidRDefault="00B20702" w:rsidP="00B20702">
      <w:pPr>
        <w:tabs>
          <w:tab w:val="left" w:pos="0"/>
        </w:tabs>
        <w:ind w:firstLine="709"/>
        <w:jc w:val="both"/>
      </w:pPr>
      <w:r>
        <w:t>При вноса на каменните въглища се отчита намаление, като са постъпили 40,3 млн. лв., което е със 17,6 млн. лв. по-малко (30,4 %) спрямо 2014 година.</w:t>
      </w:r>
    </w:p>
    <w:p w:rsidR="00B20702" w:rsidRDefault="00B20702" w:rsidP="00B20702">
      <w:pPr>
        <w:tabs>
          <w:tab w:val="left" w:pos="0"/>
        </w:tabs>
        <w:ind w:firstLine="709"/>
        <w:jc w:val="both"/>
      </w:pPr>
      <w:r>
        <w:t xml:space="preserve">Приходите от ДДС при внос на </w:t>
      </w:r>
      <w:r>
        <w:rPr>
          <w:i/>
        </w:rPr>
        <w:t>инвестиционни стоки и транспортно оборудване</w:t>
      </w:r>
      <w:r>
        <w:t xml:space="preserve"> са в размер на 574,8 млн. лева, като нарастват с 16,7 млн. лв. (3,0 %) спрямо предходната година. </w:t>
      </w:r>
    </w:p>
    <w:p w:rsidR="00B20702" w:rsidRDefault="00B20702" w:rsidP="00B20702">
      <w:pPr>
        <w:tabs>
          <w:tab w:val="left" w:pos="0"/>
        </w:tabs>
        <w:ind w:firstLine="709"/>
        <w:jc w:val="both"/>
      </w:pPr>
      <w:r>
        <w:t>При инвестиционните стоки се наблюдава спад при внесените количества стоки с 11,1 % и увеличение на цените при внос с 14,4 %. За 2015 г. са постъпили 431,0 млн. лв. ДДС при внос или със 7,5 млн. лв. повече спрямо 2014 година. Това се дължи основно на ръст във вноса на автоматични машини за обработка на информация и техните единици, електронни интегрални схеми и елементи, машини и апарати за изотопно разделяне.</w:t>
      </w:r>
    </w:p>
    <w:p w:rsidR="00B20702" w:rsidRDefault="00B20702" w:rsidP="00B20702">
      <w:pPr>
        <w:tabs>
          <w:tab w:val="left" w:pos="0"/>
        </w:tabs>
        <w:ind w:firstLine="709"/>
        <w:jc w:val="both"/>
      </w:pPr>
      <w:r>
        <w:t>През 2015 г. от внос на транспортно оборудване са постъпили 143,7 млн. лв. или с 9,3 млн. лв. повече (6,9 %) на годишна база. Количествата внесени стоки намаляват средно с 0,5 %, а цените при внос се увеличават със 7,4 % спрямо предходната година. Основно се внасят автомобилни превозни средства, части и принадлежности за превозни средства, и пневматични гуми от каучук нови.</w:t>
      </w:r>
    </w:p>
    <w:p w:rsidR="00B20702" w:rsidRDefault="00B20702" w:rsidP="00B20702">
      <w:pPr>
        <w:tabs>
          <w:tab w:val="left" w:pos="0"/>
        </w:tabs>
        <w:ind w:firstLine="709"/>
        <w:jc w:val="both"/>
      </w:pPr>
      <w:r>
        <w:t xml:space="preserve">Постъпленията от ДДС при внос на </w:t>
      </w:r>
      <w:r>
        <w:rPr>
          <w:i/>
        </w:rPr>
        <w:t>потребителски стоки</w:t>
      </w:r>
      <w:r>
        <w:t xml:space="preserve"> са в размер на 243,8 млн. лв., като са нараснали с 10,0 млн. лв. (4,3 %) спрямо предходната година. В количествено изражение вносът намалява с 11,4 %, а цените са с</w:t>
      </w:r>
      <w:r>
        <w:rPr>
          <w:lang w:val="en-US"/>
        </w:rPr>
        <w:t>e</w:t>
      </w:r>
      <w:r>
        <w:t xml:space="preserve"> увеличили със 17,7 %. </w:t>
      </w:r>
    </w:p>
    <w:p w:rsidR="00B20702" w:rsidRDefault="00B20702" w:rsidP="00B20702">
      <w:pPr>
        <w:ind w:firstLine="567"/>
        <w:jc w:val="both"/>
        <w:rPr>
          <w:color w:val="0070C0"/>
        </w:rPr>
      </w:pPr>
      <w:r>
        <w:t xml:space="preserve">Приходите от ДДС от внос на </w:t>
      </w:r>
      <w:r>
        <w:rPr>
          <w:i/>
        </w:rPr>
        <w:t>храни и напитки</w:t>
      </w:r>
      <w:r>
        <w:t xml:space="preserve"> достигат </w:t>
      </w:r>
      <w:r>
        <w:rPr>
          <w:szCs w:val="22"/>
        </w:rPr>
        <w:t>185,5 млн. лв., като е отчетено увеличение с 49,1  млн. лв. (36,0 %). Физическите обеми се увеличават с 25,6 %, а цените с 8,3 %. По групи стоки, по-значими са приходите от ДДС при внос на какао и продукти от какао, които са в размер на 24,5 млн. лв., следвани от приходите от внос на захар и захарни изделия – 23,9 млн. лв. като увеличението е с 13,3 млн. лева. На следващо място са постъпления от кафе, чай, мате и подправки – 21,6 млн. лева. От внос на зеленчуци са събрани 19,7 млн. лв. от този данък</w:t>
      </w:r>
      <w:r>
        <w:rPr>
          <w:szCs w:val="22"/>
          <w:lang w:val="ru-RU"/>
        </w:rPr>
        <w:t>,</w:t>
      </w:r>
      <w:r>
        <w:rPr>
          <w:szCs w:val="22"/>
        </w:rPr>
        <w:t xml:space="preserve"> при 17,7 млн. лв. за 2014 година. Преобладава вносът на домати, сухи бобови зеленчуци и други зеленчуци. Размерът на ДДС от внос на плодове е 17,8 млн. лв. и отчита ръст 12,0 % спрямо 2014 г., като основно се внасят банани и цитрусови плодове</w:t>
      </w:r>
      <w:r>
        <w:rPr>
          <w:color w:val="0070C0"/>
        </w:rPr>
        <w:t>.</w:t>
      </w:r>
    </w:p>
    <w:p w:rsidR="00B20702" w:rsidRDefault="00B20702" w:rsidP="00781B85">
      <w:pPr>
        <w:pStyle w:val="Heading3"/>
        <w:numPr>
          <w:ilvl w:val="2"/>
          <w:numId w:val="15"/>
        </w:numPr>
        <w:rPr>
          <w:rFonts w:ascii="Times New Roman" w:hAnsi="Times New Roman" w:cs="Times New Roman"/>
          <w:sz w:val="24"/>
          <w:szCs w:val="24"/>
          <w:lang w:val="en-US"/>
        </w:rPr>
      </w:pPr>
      <w:bookmarkStart w:id="153" w:name="_Toc462146109"/>
      <w:bookmarkEnd w:id="148"/>
      <w:bookmarkEnd w:id="149"/>
      <w:bookmarkEnd w:id="150"/>
      <w:bookmarkEnd w:id="151"/>
      <w:bookmarkEnd w:id="152"/>
      <w:r>
        <w:rPr>
          <w:rFonts w:ascii="Times New Roman" w:hAnsi="Times New Roman" w:cs="Times New Roman"/>
          <w:sz w:val="24"/>
          <w:szCs w:val="24"/>
          <w:lang w:val="bg-BG"/>
        </w:rPr>
        <w:t>Акцизи</w:t>
      </w:r>
      <w:bookmarkEnd w:id="153"/>
    </w:p>
    <w:p w:rsidR="00B20702" w:rsidRDefault="00B20702" w:rsidP="00B20702">
      <w:pPr>
        <w:pStyle w:val="BodyText"/>
        <w:ind w:firstLine="720"/>
        <w:jc w:val="both"/>
        <w:rPr>
          <w:color w:val="0070C0"/>
        </w:rPr>
      </w:pPr>
      <w:bookmarkStart w:id="154" w:name="_Toc261276574"/>
      <w:r>
        <w:t xml:space="preserve">Касовото нетно изпълнение на приходите от акцизи от внос, производство и внесени в страната от други държави-членки на ЕС акцизни стоки през 2015 г. възлиза на 4 525,0 млн. лв., което представлява 100,8 % спрямо предвидените в ЗДБРБ за 2015 г. и </w:t>
      </w:r>
      <w:r w:rsidR="005F58D4" w:rsidRPr="0027234E">
        <w:t>5,2</w:t>
      </w:r>
      <w:r w:rsidR="005F58D4">
        <w:t> </w:t>
      </w:r>
      <w:r w:rsidR="005F58D4" w:rsidRPr="0027234E">
        <w:t>%</w:t>
      </w:r>
      <w:r>
        <w:t xml:space="preserve"> от БВП. Акцизите формират 18,2 % от данъчните приходи по КФП за годината. Спрямо 2014 г. се наблюдава ръст на постъпленията от акцизи (нето) с 12,0 % или 486,3 млн. лева. Постъпленията от акцизи се формират от следните основни стокови групи: горива (46,4 %); тютюневи изделия (45,6 %); алкохолни напитки и пиво (6,1 %) и други акцизни стоки – електрическа енергия, въглища и кокс (1,9 %).</w:t>
      </w:r>
      <w:r>
        <w:rPr>
          <w:color w:val="0070C0"/>
        </w:rPr>
        <w:t xml:space="preserve"> </w:t>
      </w:r>
    </w:p>
    <w:p w:rsidR="00B20702" w:rsidRDefault="00B20702" w:rsidP="00B20702">
      <w:pPr>
        <w:tabs>
          <w:tab w:val="left" w:pos="0"/>
        </w:tabs>
        <w:ind w:firstLine="709"/>
        <w:jc w:val="both"/>
      </w:pPr>
      <w:r>
        <w:lastRenderedPageBreak/>
        <w:t xml:space="preserve">- </w:t>
      </w:r>
      <w:r>
        <w:rPr>
          <w:i/>
          <w:u w:val="single"/>
        </w:rPr>
        <w:t>Акцизите от горив</w:t>
      </w:r>
      <w:r>
        <w:rPr>
          <w:u w:val="single"/>
        </w:rPr>
        <w:t>а</w:t>
      </w:r>
      <w:r>
        <w:t xml:space="preserve"> възлизат на</w:t>
      </w:r>
      <w:r>
        <w:rPr>
          <w:color w:val="0070C0"/>
        </w:rPr>
        <w:t xml:space="preserve"> </w:t>
      </w:r>
      <w:r>
        <w:t xml:space="preserve">2 117,3 млн. лв. и бележат увеличение от 8,3 % или със 161,5 млн. лв. повече в сравнение с 2014 година. Основна част (72,2 %) от приходите в групата се формират от акцизи от </w:t>
      </w:r>
      <w:r>
        <w:rPr>
          <w:i/>
        </w:rPr>
        <w:t>газьол</w:t>
      </w:r>
      <w:r>
        <w:t xml:space="preserve">. Брутният размер на събрания акциз през 2015 г. е 1 696,0 млн. лв., което е със 138,3 млн. лв. (8,9 %) повече от 2014 година. Произведените и внесени количества газьол, за които е заплатен акциз (с приложена ставка различна от нула лева), нарастват с 10,3 %, като размерът на възстановения акциз е 166,8 млн. лева. Нетният размер (след възстановяване) на приходите от акцизи за газьол е 1 529,2 млн. лв. или увеличението е с 10,7 % в сравнение с 2014 година. Приходите от акциз за </w:t>
      </w:r>
      <w:r>
        <w:rPr>
          <w:i/>
        </w:rPr>
        <w:t xml:space="preserve">бензин </w:t>
      </w:r>
      <w:r>
        <w:t>представляват 20,2 % от акцизите за горива. Произведените и внесени количества бензин, за които е заплатен акциз (с приложена ставка различна от нула лева), през 2015 г. са 629,5 млн. литра, което представлява ръст от 3,2 %. Нетните приходи (след възстановяване) се увеличават с 1,8 % (от 421,3 млн. лв. през 2014 г. до 428,7 млн. лв. през 2015 г.). За 2015 г., освен горепосочените, са потребени и 36,7 млн. литра горива освободени от облагане/заплащане на акциз.</w:t>
      </w:r>
    </w:p>
    <w:p w:rsidR="00B20702" w:rsidRDefault="00B20702" w:rsidP="00B20702">
      <w:pPr>
        <w:pStyle w:val="BodyText"/>
        <w:ind w:firstLine="709"/>
        <w:jc w:val="both"/>
        <w:rPr>
          <w:color w:val="0070C0"/>
        </w:rPr>
      </w:pPr>
      <w:r>
        <w:t xml:space="preserve">От 01.06.2012 г. е въведена акцизна ставка върху </w:t>
      </w:r>
      <w:r>
        <w:rPr>
          <w:i/>
        </w:rPr>
        <w:t>природния газ</w:t>
      </w:r>
      <w:r>
        <w:t>, използван като моторно гориво и като гориво за отопление, съответно, 0,85 лв./GJ и 0,10 лв./GJ. Приходите от акциз от природен газ през  2015 г. са в размер на 41,5 млн. лв., което е с 4,7 млн. лв. (ръст от 12,6 %) повече спрямо 2014 година. Количествата природен газ, освободени за потребление на територията на страната през разглеждания период възлизат на 120,3 млн. гигаджаула, което е с 10,3 % повече спрямо миналата година.</w:t>
      </w:r>
    </w:p>
    <w:p w:rsidR="00B20702" w:rsidRDefault="00B20702" w:rsidP="00B20702">
      <w:pPr>
        <w:tabs>
          <w:tab w:val="left" w:pos="0"/>
        </w:tabs>
        <w:ind w:firstLine="709"/>
        <w:jc w:val="both"/>
        <w:rPr>
          <w:lang w:val="ru-RU"/>
        </w:rPr>
      </w:pPr>
      <w:r>
        <w:rPr>
          <w:i/>
        </w:rPr>
        <w:t xml:space="preserve">- </w:t>
      </w:r>
      <w:r>
        <w:rPr>
          <w:i/>
          <w:u w:val="single"/>
        </w:rPr>
        <w:t xml:space="preserve">Акцизите от тютюневи изделия </w:t>
      </w:r>
      <w:r>
        <w:t>за 2015 г. възлизат на 2 082,0 млн. лв., което е увеличение от 16,5 % спрямо 2014 година. През 2015 г. се отчита увеличение от 16,0 % в количествата на обложените с акциз цигари (от 11,343 млрд. къса за 2014 г. на 13,161 млрд. къса за 2015 г.). Средните ставки на акциза за цигарите са съответно 155,2 лв./1000 къса за 2014 г. и 155,5 лв./1000 къса за 2015 година. Делът на четирите най-продавани ценови категории цигари за 2015 г. (4,40 лв., 4,</w:t>
      </w:r>
      <w:r>
        <w:rPr>
          <w:lang w:val="ru-RU"/>
        </w:rPr>
        <w:t>7</w:t>
      </w:r>
      <w:r>
        <w:t xml:space="preserve">0 лв., </w:t>
      </w:r>
      <w:r>
        <w:rPr>
          <w:lang w:val="ru-RU"/>
        </w:rPr>
        <w:t>4</w:t>
      </w:r>
      <w:r>
        <w:t>,</w:t>
      </w:r>
      <w:r>
        <w:rPr>
          <w:lang w:val="ru-RU"/>
        </w:rPr>
        <w:t>5</w:t>
      </w:r>
      <w:r>
        <w:t xml:space="preserve">0 лв. и </w:t>
      </w:r>
      <w:r>
        <w:rPr>
          <w:lang w:val="ru-RU"/>
        </w:rPr>
        <w:t>5</w:t>
      </w:r>
      <w:r>
        <w:t>,</w:t>
      </w:r>
      <w:r>
        <w:rPr>
          <w:lang w:val="ru-RU"/>
        </w:rPr>
        <w:t>4</w:t>
      </w:r>
      <w:r>
        <w:t>0 лв.) е 67,6 % от общото количество цигари за 2015 г. (при 58,6 % за 2014 г.)</w:t>
      </w:r>
      <w:r>
        <w:rPr>
          <w:lang w:val="ru-RU"/>
        </w:rPr>
        <w:t>.</w:t>
      </w:r>
    </w:p>
    <w:p w:rsidR="00B20702" w:rsidRDefault="00B20702" w:rsidP="00B20702">
      <w:pPr>
        <w:pStyle w:val="BodyText"/>
        <w:ind w:firstLine="709"/>
        <w:jc w:val="both"/>
        <w:rPr>
          <w:color w:val="0070C0"/>
        </w:rPr>
      </w:pPr>
      <w:r>
        <w:t>Акцизната ставка на тютюна за пушене през 2015 г. е 152 лв./килограм. Количествата тютюн за пушене се увеличават с 34,2 % спрямо 2014 г. (от 164,2 тона през 2014 г. на  220,4 тона през 2015 г.). При обложените с акциз количества  пури и пурети, през 2015 г. се отчита ръст от 0,5 % (от 7,65 млн. къса през 2014 г. на 7,7 млн. къса през 2015 г.).</w:t>
      </w:r>
    </w:p>
    <w:p w:rsidR="00B20702" w:rsidRDefault="00B20702" w:rsidP="00B20702">
      <w:pPr>
        <w:tabs>
          <w:tab w:val="left" w:pos="0"/>
        </w:tabs>
        <w:ind w:firstLine="709"/>
        <w:jc w:val="both"/>
      </w:pPr>
      <w:r>
        <w:rPr>
          <w:i/>
        </w:rPr>
        <w:t xml:space="preserve">- </w:t>
      </w:r>
      <w:r>
        <w:rPr>
          <w:i/>
          <w:u w:val="single"/>
        </w:rPr>
        <w:t xml:space="preserve">Акцизите от високоалкохолни напитки и бира </w:t>
      </w:r>
      <w:r>
        <w:t>за 2015 г. възлизат на  278,5</w:t>
      </w:r>
      <w:r>
        <w:rPr>
          <w:b/>
          <w:bCs/>
        </w:rPr>
        <w:t xml:space="preserve"> </w:t>
      </w:r>
      <w:r>
        <w:t>млн. лв. и отчитат увеличение от 6,4 % спрямо 2014 година. Тази група стоки формира 6,1 % от общите приходи от акцизи. Основна част от приходите са от акциз за етилов алкохол (201,2 млн. лв.), които се увеличават с</w:t>
      </w:r>
      <w:r w:rsidR="00B74A33">
        <w:t>ъс</w:t>
      </w:r>
      <w:r>
        <w:t xml:space="preserve"> 7,4 % спрямо предходната година, като нарастването на количествата е с 6,0 %.</w:t>
      </w:r>
    </w:p>
    <w:p w:rsidR="00B20702" w:rsidRDefault="00B20702" w:rsidP="00B20702">
      <w:pPr>
        <w:spacing w:after="120"/>
        <w:ind w:firstLine="709"/>
        <w:jc w:val="both"/>
        <w:rPr>
          <w:color w:val="0070C0"/>
        </w:rPr>
      </w:pPr>
      <w:r>
        <w:t>Постъпленията от акциз за бира през 2015 г. са 77,4 млн. лв., което е с 2,9 млн. лв. повече спрямо предходната година (ръст от 4,0 %). Освободените за потребление количества бира за 2015 г. са 53,6 млн. хектолитра и отбелязват ръст от 4,4 %.</w:t>
      </w:r>
    </w:p>
    <w:p w:rsidR="00B20702" w:rsidRDefault="00B20702" w:rsidP="00B20702">
      <w:pPr>
        <w:ind w:firstLine="709"/>
        <w:jc w:val="both"/>
      </w:pPr>
      <w:r>
        <w:rPr>
          <w:i/>
        </w:rPr>
        <w:t xml:space="preserve">- </w:t>
      </w:r>
      <w:r>
        <w:rPr>
          <w:i/>
          <w:u w:val="single"/>
        </w:rPr>
        <w:t>Приходите от други акцизни стоки</w:t>
      </w:r>
      <w:r>
        <w:rPr>
          <w:i/>
        </w:rPr>
        <w:t xml:space="preserve"> </w:t>
      </w:r>
      <w:r>
        <w:t xml:space="preserve">– ел. енергия, въглища и кокс – за 2015 г. са в размер на 47,2 млн. лева. </w:t>
      </w:r>
    </w:p>
    <w:p w:rsidR="00B20702" w:rsidRDefault="00B20702" w:rsidP="00B20702">
      <w:pPr>
        <w:ind w:firstLine="709"/>
        <w:jc w:val="both"/>
        <w:rPr>
          <w:color w:val="0070C0"/>
        </w:rPr>
      </w:pPr>
    </w:p>
    <w:p w:rsidR="00B20702" w:rsidRDefault="00B20702" w:rsidP="00781B85">
      <w:pPr>
        <w:pStyle w:val="Heading3"/>
        <w:numPr>
          <w:ilvl w:val="2"/>
          <w:numId w:val="15"/>
        </w:numPr>
        <w:rPr>
          <w:rFonts w:ascii="Times New Roman" w:hAnsi="Times New Roman" w:cs="Times New Roman"/>
          <w:sz w:val="24"/>
          <w:szCs w:val="24"/>
          <w:lang w:val="bg-BG"/>
        </w:rPr>
      </w:pPr>
      <w:bookmarkStart w:id="155" w:name="_Toc393728061"/>
      <w:bookmarkStart w:id="156" w:name="_Toc357527087"/>
      <w:bookmarkStart w:id="157" w:name="_Toc326315902"/>
      <w:bookmarkStart w:id="158" w:name="_Toc324863410"/>
      <w:bookmarkStart w:id="159" w:name="_Toc462146110"/>
      <w:r>
        <w:rPr>
          <w:rFonts w:ascii="Times New Roman" w:hAnsi="Times New Roman" w:cs="Times New Roman"/>
          <w:sz w:val="24"/>
          <w:szCs w:val="24"/>
          <w:lang w:val="bg-BG"/>
        </w:rPr>
        <w:t>Мита</w:t>
      </w:r>
      <w:bookmarkEnd w:id="154"/>
      <w:bookmarkEnd w:id="155"/>
      <w:bookmarkEnd w:id="156"/>
      <w:bookmarkEnd w:id="157"/>
      <w:bookmarkEnd w:id="158"/>
      <w:bookmarkEnd w:id="159"/>
    </w:p>
    <w:p w:rsidR="00B20702" w:rsidRDefault="00B20702" w:rsidP="00B20702">
      <w:pPr>
        <w:ind w:firstLine="709"/>
        <w:jc w:val="both"/>
      </w:pPr>
      <w:bookmarkStart w:id="160" w:name="_Toc357527088"/>
      <w:bookmarkStart w:id="161" w:name="_Toc326315903"/>
      <w:bookmarkStart w:id="162" w:name="_Toc324863411"/>
      <w:bookmarkStart w:id="163" w:name="_Toc261276575"/>
      <w:bookmarkStart w:id="164" w:name="_Toc199730301"/>
      <w:r>
        <w:t xml:space="preserve">Постъпленията от мита и митнически такси за 2015 г. възлизат на 159,0 млн. лв., формират 0,2 % от БВП и представляват 106,0 % изпълнение на годишните разчети в ЗДБРБ за 2015 година. Спрямо 2014 г. са постъпили с 5,8 млн. лв. (3,8 %) повече. Повишението на приходите от мита от внос през 2015 г. основно се дължи на ръста в </w:t>
      </w:r>
      <w:r>
        <w:lastRenderedPageBreak/>
        <w:t xml:space="preserve">приходите при следните стокови групи: „Електрически машини и апарати“ -  с 2,5 млн. лв. (21,5 %); „Алуминий и изделия от алуминий“ - с 2,4 млн. лв. (34,1 %); „Захар“ -  с 1,6 млн. лв. (37,0 %); „Щапелни синтетични или изкуствени влакна“ - с 0,9 млн. лв. (31,2 %); „Обувки, гети и др. подобни артикули“ - с 0,7 млн. лв. (11,4 %); „Изделия от чугун, желязо или стомана“ - с 0,6 млн. лв. (14,6 %), „Облекла и допълнения за облекла“ - с 0,6 млн. лв. (29,0 %). </w:t>
      </w:r>
    </w:p>
    <w:p w:rsidR="00B20702" w:rsidRDefault="00B20702" w:rsidP="00B20702">
      <w:pPr>
        <w:ind w:firstLine="709"/>
        <w:jc w:val="both"/>
      </w:pPr>
      <w:r>
        <w:t>Водещи са приходите от мита по глава „Автомобилни превозни средства, трактори, мотоциклети и велосипеди и други сухопътни превозни средства, техните части и принадлежности“, които възлизат на 15,2 млн. лв. и имат относителен дял от 9,5 %, като спрямо 2014 г. бележат намаление с 1,6 %. На второ място са постъпленията, по глава  „Електрически машини и апарати” с дял от 8,9 % (14,2 млн. лв.), като спрямо предходната година се наблюдава увеличение с 21,5 %. Следващата стокова група са стоките от глава  „Ядрени реактори, котли, машини, апарати и механизми; части за тези машини или апарати“, които формират 8,7 % от всички мита (13,9 млн. лв.) и намаляват с 18,9 % спрямо 2014 година.</w:t>
      </w:r>
    </w:p>
    <w:p w:rsidR="00B20702" w:rsidRDefault="00B20702" w:rsidP="00B20702">
      <w:pPr>
        <w:ind w:firstLine="709"/>
        <w:jc w:val="both"/>
      </w:pPr>
      <w:r>
        <w:t>В стоковата структура на приходите от мита за 2015 г. най-голям дял имат следните основни групи - „Автомобилни превозни средства, трактори, мотоциклети и велосипеди и други сухопътни превозни средства, техните части и принадлежности“, „Електрически машини и апарати“, „Ядрени реактори, котли, машини, апарати и механизми; части за тези машини или апарати“, „Алуминий и изделия от алуминий”, „Пластмаси и пластмасови изделия“ и ,,Плодове”, които формират 43,2 % от общите приходи от мита.</w:t>
      </w:r>
    </w:p>
    <w:p w:rsidR="00B20702" w:rsidRDefault="00B20702" w:rsidP="00B20702">
      <w:pPr>
        <w:spacing w:before="120"/>
        <w:ind w:firstLine="540"/>
        <w:jc w:val="both"/>
        <w:rPr>
          <w:color w:val="0070C0"/>
        </w:rPr>
      </w:pPr>
      <w:r>
        <w:t>Митата, събрани от внос на стоки с произход Китай, възлизат на 72,2 млн. лв. и са с 6,0 млн. лв. повече от тези през 2014 година. Те формират 45,5 % от общия обем на митата през 2015 година. На второ място по приходи от мита е вносът на стоки с произход Русия – 11,8 млн. лв. (намаление с 0,6 млн. лв.) и относителен дял от 7,4 %. Следват САЩ с 8,8 млн. лв. (5,6 % дял) и Япония – 8,3 млн. лв. (5,2 % дял).</w:t>
      </w:r>
    </w:p>
    <w:p w:rsidR="00B20702" w:rsidRDefault="00B20702" w:rsidP="00781B85">
      <w:pPr>
        <w:pStyle w:val="Heading3"/>
        <w:numPr>
          <w:ilvl w:val="2"/>
          <w:numId w:val="15"/>
        </w:numPr>
        <w:rPr>
          <w:rFonts w:ascii="Times New Roman" w:hAnsi="Times New Roman" w:cs="Times New Roman"/>
          <w:sz w:val="24"/>
          <w:szCs w:val="24"/>
          <w:lang w:val="bg-BG"/>
        </w:rPr>
      </w:pPr>
      <w:bookmarkStart w:id="165" w:name="_Toc393728062"/>
      <w:bookmarkStart w:id="166" w:name="_Toc462146111"/>
      <w:r>
        <w:rPr>
          <w:rFonts w:ascii="Times New Roman" w:hAnsi="Times New Roman" w:cs="Times New Roman"/>
          <w:sz w:val="24"/>
          <w:szCs w:val="24"/>
          <w:lang w:val="bg-BG"/>
        </w:rPr>
        <w:t>Данък върху застрахователните премии</w:t>
      </w:r>
      <w:bookmarkEnd w:id="160"/>
      <w:bookmarkEnd w:id="161"/>
      <w:bookmarkEnd w:id="162"/>
      <w:bookmarkEnd w:id="165"/>
      <w:bookmarkEnd w:id="166"/>
    </w:p>
    <w:p w:rsidR="00B20702" w:rsidRDefault="00B20702" w:rsidP="00B20702">
      <w:pPr>
        <w:rPr>
          <w:color w:val="0070C0"/>
          <w:sz w:val="8"/>
          <w:szCs w:val="8"/>
        </w:rPr>
      </w:pPr>
    </w:p>
    <w:p w:rsidR="00B20702" w:rsidRDefault="00B20702" w:rsidP="00B20702">
      <w:pPr>
        <w:ind w:firstLine="720"/>
        <w:jc w:val="both"/>
      </w:pPr>
      <w:r>
        <w:t xml:space="preserve">Приходите от данък върху застрахователните премии по облагаеми застрахователни договори, рисковете по които са поети от застрахователи, са в размер на 26,5 млн. лв., при заложени в годишните разчети към ЗДБРБ за 2015 г. 27,2 млн. лева. В сравнение с 2014 г. постъпленията </w:t>
      </w:r>
      <w:r w:rsidR="00C96B16">
        <w:t>нарастват</w:t>
      </w:r>
      <w:r>
        <w:t xml:space="preserve"> с 2,0 млн. лв. </w:t>
      </w:r>
      <w:r>
        <w:rPr>
          <w:lang w:val="en-US"/>
        </w:rPr>
        <w:t>(</w:t>
      </w:r>
      <w:r>
        <w:t>8,2 %</w:t>
      </w:r>
      <w:r>
        <w:rPr>
          <w:lang w:val="en-US"/>
        </w:rPr>
        <w:t>)</w:t>
      </w:r>
      <w:r>
        <w:t>.</w:t>
      </w:r>
    </w:p>
    <w:p w:rsidR="00B20702" w:rsidRDefault="00B20702" w:rsidP="00781B85">
      <w:pPr>
        <w:pStyle w:val="Heading3"/>
        <w:numPr>
          <w:ilvl w:val="2"/>
          <w:numId w:val="15"/>
        </w:numPr>
        <w:rPr>
          <w:rFonts w:ascii="Times New Roman" w:hAnsi="Times New Roman" w:cs="Times New Roman"/>
          <w:sz w:val="24"/>
          <w:szCs w:val="24"/>
          <w:lang w:val="bg-BG"/>
        </w:rPr>
      </w:pPr>
      <w:bookmarkStart w:id="167" w:name="_Toc393728063"/>
      <w:bookmarkStart w:id="168" w:name="_Toc357527089"/>
      <w:bookmarkStart w:id="169" w:name="_Toc326315904"/>
      <w:bookmarkStart w:id="170" w:name="_Toc324863412"/>
      <w:bookmarkStart w:id="171" w:name="_Toc462146112"/>
      <w:r>
        <w:rPr>
          <w:rFonts w:ascii="Times New Roman" w:hAnsi="Times New Roman" w:cs="Times New Roman"/>
          <w:sz w:val="24"/>
          <w:szCs w:val="24"/>
          <w:lang w:val="bg-BG"/>
        </w:rPr>
        <w:t>Други данъци</w:t>
      </w:r>
      <w:bookmarkEnd w:id="163"/>
      <w:bookmarkEnd w:id="164"/>
      <w:bookmarkEnd w:id="167"/>
      <w:bookmarkEnd w:id="168"/>
      <w:bookmarkEnd w:id="169"/>
      <w:bookmarkEnd w:id="170"/>
      <w:bookmarkEnd w:id="171"/>
    </w:p>
    <w:p w:rsidR="00B20702" w:rsidRDefault="00B20702" w:rsidP="00B20702">
      <w:pPr>
        <w:ind w:firstLine="900"/>
        <w:jc w:val="both"/>
        <w:rPr>
          <w:b/>
          <w:i/>
          <w:color w:val="0070C0"/>
          <w:sz w:val="12"/>
          <w:szCs w:val="12"/>
          <w:u w:val="single"/>
        </w:rPr>
      </w:pPr>
    </w:p>
    <w:p w:rsidR="00B20702" w:rsidRDefault="00B20702" w:rsidP="00B20702">
      <w:pPr>
        <w:ind w:firstLine="720"/>
        <w:jc w:val="both"/>
      </w:pPr>
      <w:r>
        <w:t xml:space="preserve">Другите данъци включват основно алтернативните данъци по ЗКПО и имуществените данъци по Закона за местните данъци и такси. Приходите от други данъци по КФП са в размер на 866,4 млн. лв. (1,0 % от БВП), което представлява  100,3 % изпълнение на ЗДБРБ за 2015 година. </w:t>
      </w:r>
    </w:p>
    <w:p w:rsidR="00B20702" w:rsidRDefault="00B20702" w:rsidP="00B20702">
      <w:pPr>
        <w:ind w:firstLine="360"/>
        <w:jc w:val="both"/>
        <w:rPr>
          <w:sz w:val="12"/>
          <w:szCs w:val="12"/>
        </w:rPr>
      </w:pPr>
    </w:p>
    <w:p w:rsidR="00B20702" w:rsidRDefault="00B20702" w:rsidP="00B20702">
      <w:pPr>
        <w:ind w:firstLine="900"/>
        <w:jc w:val="both"/>
        <w:rPr>
          <w:b/>
          <w:i/>
          <w:u w:val="single"/>
        </w:rPr>
      </w:pPr>
      <w:r>
        <w:rPr>
          <w:b/>
          <w:i/>
          <w:u w:val="single"/>
        </w:rPr>
        <w:t>Други данъци по Закона за корпоративното подоходно облагане</w:t>
      </w:r>
    </w:p>
    <w:p w:rsidR="00B20702" w:rsidRDefault="00B20702" w:rsidP="00B20702">
      <w:pPr>
        <w:jc w:val="both"/>
        <w:rPr>
          <w:b/>
          <w:color w:val="0070C0"/>
          <w:sz w:val="8"/>
          <w:szCs w:val="8"/>
          <w:u w:val="single"/>
        </w:rPr>
      </w:pPr>
    </w:p>
    <w:p w:rsidR="00B20702" w:rsidRDefault="00B20702" w:rsidP="00B20702">
      <w:pPr>
        <w:spacing w:after="120"/>
        <w:ind w:firstLine="709"/>
        <w:jc w:val="both"/>
        <w:rPr>
          <w:b/>
          <w:color w:val="0070C0"/>
          <w:sz w:val="8"/>
          <w:szCs w:val="8"/>
          <w:u w:val="single"/>
        </w:rPr>
      </w:pPr>
      <w:r>
        <w:t>През 2015 г. от други данъци по ЗКПО по КФП са постъпили 119,1 млн. лв., което представлява 96,2 % от актуализирания годишен разчет, при 114,1 млн. лв. за 2014 година. Основната част от тези приходи (47,5 %) са формирани от окончателен данък върху залози за хазартни игри и хазартни съоръжения. Приходите от този вид данък запазват нивото си на годишна база и са в размер на 56,5 млн. лв. за 2015 г. при 54,7 млн. лв. за 2014 година</w:t>
      </w:r>
      <w:r>
        <w:rPr>
          <w:lang w:val="en-US"/>
        </w:rPr>
        <w:t>.</w:t>
      </w:r>
    </w:p>
    <w:p w:rsidR="00B20702" w:rsidRDefault="00B20702" w:rsidP="00B20702">
      <w:pPr>
        <w:ind w:firstLine="900"/>
        <w:jc w:val="both"/>
        <w:rPr>
          <w:b/>
          <w:i/>
          <w:u w:val="single"/>
        </w:rPr>
      </w:pPr>
      <w:r>
        <w:rPr>
          <w:b/>
          <w:i/>
          <w:u w:val="single"/>
        </w:rPr>
        <w:t>Имуществени данъци по Закона за местните данъци и такси (ЗМДТ)</w:t>
      </w:r>
    </w:p>
    <w:p w:rsidR="00B20702" w:rsidRDefault="00B20702" w:rsidP="00B20702">
      <w:pPr>
        <w:jc w:val="both"/>
        <w:rPr>
          <w:b/>
          <w:sz w:val="8"/>
          <w:szCs w:val="8"/>
          <w:u w:val="single"/>
        </w:rPr>
      </w:pPr>
    </w:p>
    <w:p w:rsidR="00B20702" w:rsidRDefault="00B20702" w:rsidP="00B20702">
      <w:pPr>
        <w:ind w:right="23" w:firstLine="540"/>
        <w:jc w:val="both"/>
        <w:rPr>
          <w:sz w:val="8"/>
          <w:szCs w:val="8"/>
        </w:rPr>
      </w:pPr>
    </w:p>
    <w:p w:rsidR="00B20702" w:rsidRDefault="00B20702" w:rsidP="00B20702">
      <w:pPr>
        <w:pStyle w:val="BodyText3"/>
        <w:tabs>
          <w:tab w:val="left" w:pos="180"/>
          <w:tab w:val="left" w:pos="9540"/>
          <w:tab w:val="left" w:pos="9900"/>
        </w:tabs>
        <w:spacing w:before="120"/>
        <w:ind w:right="3" w:firstLine="540"/>
        <w:jc w:val="both"/>
        <w:rPr>
          <w:sz w:val="24"/>
          <w:szCs w:val="24"/>
          <w:lang w:val="en-US"/>
        </w:rPr>
      </w:pPr>
      <w:r>
        <w:rPr>
          <w:bCs/>
          <w:sz w:val="24"/>
          <w:szCs w:val="24"/>
        </w:rPr>
        <w:t xml:space="preserve">Имуществените данъци включват данък върху недвижимите имоти, данък върху наследствата, данък върху превозните средства, данък върху придобиването на имущество </w:t>
      </w:r>
      <w:r>
        <w:rPr>
          <w:bCs/>
          <w:sz w:val="24"/>
          <w:szCs w:val="24"/>
        </w:rPr>
        <w:lastRenderedPageBreak/>
        <w:t xml:space="preserve">по дарения и възмезден начин, туристически данък и постъпват по бюджетите на общините. </w:t>
      </w:r>
      <w:r>
        <w:rPr>
          <w:sz w:val="24"/>
          <w:szCs w:val="24"/>
        </w:rPr>
        <w:t>Ставките на имуществените данъци се определят от общинските съвети в законово фиксирани граници съгласно Закона за местните данъци и такси. Това дава добри възможности за гъвкаво управление на приходните политики от страна на общинската администрация.</w:t>
      </w:r>
    </w:p>
    <w:p w:rsidR="00A243D8" w:rsidRPr="00A243D8" w:rsidRDefault="00A243D8" w:rsidP="00B20702">
      <w:pPr>
        <w:pStyle w:val="BodyText3"/>
        <w:tabs>
          <w:tab w:val="left" w:pos="180"/>
          <w:tab w:val="left" w:pos="9540"/>
          <w:tab w:val="left" w:pos="9900"/>
        </w:tabs>
        <w:spacing w:before="120"/>
        <w:ind w:right="3" w:firstLine="540"/>
        <w:jc w:val="both"/>
        <w:rPr>
          <w:sz w:val="24"/>
          <w:szCs w:val="24"/>
          <w:lang w:val="en-US"/>
        </w:rPr>
      </w:pPr>
    </w:p>
    <w:p w:rsidR="00B20702" w:rsidRDefault="00D37B0F" w:rsidP="00B20702">
      <w:pPr>
        <w:pStyle w:val="BodyText3"/>
        <w:tabs>
          <w:tab w:val="left" w:pos="180"/>
          <w:tab w:val="left" w:pos="9540"/>
          <w:tab w:val="left" w:pos="9900"/>
        </w:tabs>
        <w:ind w:right="3" w:firstLine="540"/>
        <w:jc w:val="both"/>
        <w:rPr>
          <w:color w:val="0070C0"/>
          <w:sz w:val="24"/>
          <w:szCs w:val="24"/>
        </w:rPr>
      </w:pPr>
      <w:r>
        <w:rPr>
          <w:noProof/>
        </w:rPr>
        <mc:AlternateContent>
          <mc:Choice Requires="wps">
            <w:drawing>
              <wp:anchor distT="0" distB="0" distL="114300" distR="114300" simplePos="0" relativeHeight="251659264" behindDoc="0" locked="0" layoutInCell="1" allowOverlap="1" wp14:anchorId="42E391AC" wp14:editId="2F5853FE">
                <wp:simplePos x="0" y="0"/>
                <wp:positionH relativeFrom="column">
                  <wp:posOffset>685800</wp:posOffset>
                </wp:positionH>
                <wp:positionV relativeFrom="paragraph">
                  <wp:posOffset>2743200</wp:posOffset>
                </wp:positionV>
                <wp:extent cx="4546600" cy="196850"/>
                <wp:effectExtent l="0" t="0" r="0" b="3175"/>
                <wp:wrapNone/>
                <wp:docPr id="2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4546600"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A8A" w:rsidRDefault="00B22A8A" w:rsidP="00B2070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54pt;margin-top:3in;width:358pt;height:15.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" filled="f" stroked="f">
                <v:textbox inset="0,0,0,0">
                  <w:txbxContent>
                    <w:p w:rsidR="00B22A8A" w:rsidRDefault="00B22A8A" w:rsidP="00B20702"/>
                  </w:txbxContent>
                </v:textbox>
              </v:rect>
            </w:pict>
          </mc:Fallback>
        </mc:AlternateContent>
      </w:r>
      <w:r>
        <w:rPr>
          <w:noProof/>
        </w:rPr>
        <w:drawing>
          <wp:inline distT="0" distB="0" distL="0" distR="0" wp14:anchorId="6A9B0F50" wp14:editId="59A75A4F">
            <wp:extent cx="5512435" cy="3200400"/>
            <wp:effectExtent l="0" t="0" r="0" b="0"/>
            <wp:docPr id="18"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243D8" w:rsidRDefault="00A243D8" w:rsidP="00B20702">
      <w:pPr>
        <w:pStyle w:val="BodyText"/>
        <w:widowControl w:val="0"/>
        <w:ind w:firstLine="720"/>
        <w:jc w:val="both"/>
        <w:rPr>
          <w:bCs/>
          <w:lang w:val="en-US"/>
        </w:rPr>
      </w:pPr>
    </w:p>
    <w:p w:rsidR="00B20702" w:rsidRDefault="00B20702" w:rsidP="00B20702">
      <w:pPr>
        <w:pStyle w:val="BodyText"/>
        <w:widowControl w:val="0"/>
        <w:ind w:firstLine="720"/>
        <w:jc w:val="both"/>
      </w:pPr>
      <w:r>
        <w:rPr>
          <w:bCs/>
        </w:rPr>
        <w:t>От имуществени данъци в общинските бюджети през 201</w:t>
      </w:r>
      <w:r>
        <w:rPr>
          <w:bCs/>
          <w:lang w:val="en-US"/>
        </w:rPr>
        <w:t>5</w:t>
      </w:r>
      <w:r>
        <w:rPr>
          <w:bCs/>
        </w:rPr>
        <w:t xml:space="preserve"> г. са постъпили общо 7</w:t>
      </w:r>
      <w:r>
        <w:rPr>
          <w:bCs/>
          <w:lang w:val="en-US"/>
        </w:rPr>
        <w:t>44</w:t>
      </w:r>
      <w:r w:rsidR="00FF07C5">
        <w:rPr>
          <w:bCs/>
        </w:rPr>
        <w:t>,</w:t>
      </w:r>
      <w:r>
        <w:rPr>
          <w:bCs/>
          <w:lang w:val="en-US"/>
        </w:rPr>
        <w:t>7</w:t>
      </w:r>
      <w:r>
        <w:rPr>
          <w:bCs/>
        </w:rPr>
        <w:t xml:space="preserve"> млн. лв., 101,</w:t>
      </w:r>
      <w:r>
        <w:rPr>
          <w:bCs/>
          <w:lang w:val="en-US"/>
        </w:rPr>
        <w:t>0</w:t>
      </w:r>
      <w:r>
        <w:rPr>
          <w:bCs/>
        </w:rPr>
        <w:t xml:space="preserve"> % спрямо годишния разчет и с 39,4 млн. лв. (5,6 %) повече от тези за 2014 г. С най-значителен дял в приходите от имуществени данъци е данъкът върху недвижимите имоти – 37,4 %, следват данък върху превозните средства – 30,6 % и данък при придобиване на имущество по дарения и възмезден начин – 30,0 % и туристически данък – 2,0 %.</w:t>
      </w:r>
      <w:r>
        <w:t xml:space="preserve"> Данъкът върху наследствата, освен че има инцидентен характер, предвид нормативно определения изключително ограничен обхват, е от несъществено значение в общите приходи от имуществени данъци. </w:t>
      </w:r>
    </w:p>
    <w:p w:rsidR="00B20702" w:rsidRDefault="00B20702" w:rsidP="00781B85">
      <w:pPr>
        <w:pStyle w:val="Heading3"/>
        <w:numPr>
          <w:ilvl w:val="2"/>
          <w:numId w:val="15"/>
        </w:numPr>
        <w:rPr>
          <w:rFonts w:ascii="Times New Roman" w:hAnsi="Times New Roman" w:cs="Times New Roman"/>
          <w:sz w:val="24"/>
          <w:szCs w:val="24"/>
          <w:lang w:val="bg-BG"/>
        </w:rPr>
      </w:pPr>
      <w:bookmarkStart w:id="172" w:name="_Toc393728064"/>
      <w:bookmarkStart w:id="173" w:name="_Toc357527090"/>
      <w:bookmarkStart w:id="174" w:name="_Toc326315905"/>
      <w:bookmarkStart w:id="175" w:name="_Toc324863413"/>
      <w:bookmarkStart w:id="176" w:name="_Toc261276576"/>
      <w:bookmarkStart w:id="177" w:name="_Toc462146113"/>
      <w:r>
        <w:rPr>
          <w:rFonts w:ascii="Times New Roman" w:hAnsi="Times New Roman" w:cs="Times New Roman"/>
          <w:sz w:val="24"/>
          <w:szCs w:val="24"/>
          <w:lang w:val="bg-BG"/>
        </w:rPr>
        <w:t>Неданъчни приходи</w:t>
      </w:r>
      <w:bookmarkEnd w:id="172"/>
      <w:bookmarkEnd w:id="173"/>
      <w:bookmarkEnd w:id="174"/>
      <w:bookmarkEnd w:id="175"/>
      <w:bookmarkEnd w:id="176"/>
      <w:bookmarkEnd w:id="177"/>
    </w:p>
    <w:p w:rsidR="00B20702" w:rsidRPr="005646E6" w:rsidRDefault="00B20702" w:rsidP="00B20702">
      <w:pPr>
        <w:ind w:right="23" w:firstLine="540"/>
        <w:jc w:val="both"/>
      </w:pPr>
      <w:bookmarkStart w:id="178" w:name="_Toc261276577"/>
      <w:r>
        <w:t>Постъпленията от неданъчни приходи по</w:t>
      </w:r>
      <w:r>
        <w:rPr>
          <w:i/>
          <w:u w:val="single"/>
        </w:rPr>
        <w:t xml:space="preserve"> КФП</w:t>
      </w:r>
      <w:r>
        <w:t xml:space="preserve"> за 2015 г. възлизат на 3 69</w:t>
      </w:r>
      <w:r w:rsidR="009C307C">
        <w:t>6</w:t>
      </w:r>
      <w:r>
        <w:t>,</w:t>
      </w:r>
      <w:r w:rsidR="009C307C">
        <w:t>2</w:t>
      </w:r>
      <w:r>
        <w:t xml:space="preserve"> млн. лв. (102,1 % изпълнение спрямо предвидените в ЗДБРБ за 2015 г. и 4,3 % от БВП).</w:t>
      </w:r>
      <w:r>
        <w:rPr>
          <w:color w:val="0070C0"/>
        </w:rPr>
        <w:t xml:space="preserve"> </w:t>
      </w:r>
      <w:r>
        <w:t xml:space="preserve">В тази </w:t>
      </w:r>
      <w:r w:rsidRPr="005646E6">
        <w:t>група приходи по КФП се включват държавни, общински и съдебни такси, приходи и доходи от общинска и държавна собственост, глоби, санкции и наказателни лихви, приходи от концесии и др.</w:t>
      </w:r>
    </w:p>
    <w:p w:rsidR="00B20702" w:rsidRDefault="00B20702" w:rsidP="00B20702">
      <w:pPr>
        <w:ind w:right="23" w:firstLine="540"/>
        <w:jc w:val="both"/>
        <w:rPr>
          <w:rFonts w:cs="TimesNewRomanPSMT"/>
          <w:sz w:val="8"/>
          <w:szCs w:val="8"/>
        </w:rPr>
      </w:pPr>
    </w:p>
    <w:p w:rsidR="00B20702" w:rsidRDefault="00B20702" w:rsidP="00B20702">
      <w:pPr>
        <w:tabs>
          <w:tab w:val="left" w:pos="900"/>
        </w:tabs>
        <w:ind w:right="23" w:firstLine="720"/>
        <w:jc w:val="both"/>
      </w:pPr>
      <w:r>
        <w:t xml:space="preserve">Неданъчните приходи по </w:t>
      </w:r>
      <w:r>
        <w:rPr>
          <w:i/>
          <w:u w:val="single"/>
        </w:rPr>
        <w:t>държавния бюджет</w:t>
      </w:r>
      <w:r>
        <w:t xml:space="preserve"> за 2015 г. са в размер на 1 757,7 млн. лв. или 100,1 % спрямо планираните за годината. През 2015 г. по държавния бюджет постъпи годишната вноска от превишението на приходите над разходите на БНБ за 2014 г.  в размер на 48,6 млн. лева. </w:t>
      </w:r>
    </w:p>
    <w:p w:rsidR="00B20702" w:rsidRDefault="00B20702" w:rsidP="00B20702">
      <w:pPr>
        <w:tabs>
          <w:tab w:val="left" w:pos="900"/>
        </w:tabs>
        <w:ind w:right="23" w:firstLine="720"/>
        <w:jc w:val="both"/>
        <w:rPr>
          <w:color w:val="0070C0"/>
          <w:sz w:val="4"/>
          <w:szCs w:val="4"/>
        </w:rPr>
      </w:pPr>
    </w:p>
    <w:p w:rsidR="00B20702" w:rsidRDefault="00B20702" w:rsidP="00B20702">
      <w:pPr>
        <w:tabs>
          <w:tab w:val="left" w:pos="900"/>
        </w:tabs>
        <w:ind w:right="23" w:firstLine="720"/>
        <w:jc w:val="both"/>
        <w:rPr>
          <w:color w:val="0070C0"/>
          <w:lang w:val="en-US"/>
        </w:rPr>
      </w:pPr>
      <w:r>
        <w:t xml:space="preserve">Изпълнението на неданъчните приходи по </w:t>
      </w:r>
      <w:r>
        <w:rPr>
          <w:i/>
          <w:u w:val="single"/>
        </w:rPr>
        <w:t>централния бюджет</w:t>
      </w:r>
      <w:r>
        <w:t xml:space="preserve"> за 2015 г. е в размер на 263,4 млн. лв. или 106,3 % спрямо предвиденото за годината. Дивидентите по централния бюджет за 2015 г. са в размер на 30,7 млн. лв., при заложени в разчетите по ЗДБРБ за 2015 г. 63,1 млн. лв. и формират 11,6 % от общия размер на неданъчните </w:t>
      </w:r>
      <w:r>
        <w:lastRenderedPageBreak/>
        <w:t xml:space="preserve">приходи. </w:t>
      </w:r>
      <w:r>
        <w:rPr>
          <w:bCs/>
        </w:rPr>
        <w:t>Сред най-големите вносители са: „Бул Био - НЦЗПБ" ЕООД - гр. София, Държавно предприятие „РВД“, „Летище София” ЕАД, „Кинтекс” ЕАД, „Пристанище Варна“ ЕАД и други. Основна причина за неизпълнение на заложените в ЗДБРБ за 2015 г. приходи от дивидент за държавата е реализираната загуба в значителен размер     (-274,7 млн. лв.) по консолидирания финансов отчет на БЕХ ЕАД</w:t>
      </w:r>
      <w:r w:rsidR="00DE783F">
        <w:rPr>
          <w:bCs/>
          <w:lang w:val="en-US"/>
        </w:rPr>
        <w:t xml:space="preserve"> </w:t>
      </w:r>
      <w:r w:rsidR="00DE783F">
        <w:rPr>
          <w:bCs/>
        </w:rPr>
        <w:t>(при очаквана печалба при изготвянето на разчетите)</w:t>
      </w:r>
      <w:r>
        <w:rPr>
          <w:bCs/>
        </w:rPr>
        <w:t xml:space="preserve">, която от своя страна се дължи на натрупаните множество проблеми в сектора и значителната загуба на „НЕК“ ЕАД (-586,5 млн. лв.), както и реализираната загуба в размер от над (-35 млн. лв.) от ТЕЦ </w:t>
      </w:r>
      <w:r w:rsidR="009C307C">
        <w:rPr>
          <w:bCs/>
        </w:rPr>
        <w:t>„</w:t>
      </w:r>
      <w:r>
        <w:rPr>
          <w:bCs/>
        </w:rPr>
        <w:t xml:space="preserve">Марица Изток 2" ЕАД, които не успяха да бъдат компенсирани, независимо от положителните финансови резултати на част от останалите дружества в холдинга. </w:t>
      </w:r>
    </w:p>
    <w:p w:rsidR="00B20702" w:rsidRDefault="00B20702" w:rsidP="00B20702">
      <w:pPr>
        <w:tabs>
          <w:tab w:val="left" w:pos="900"/>
        </w:tabs>
        <w:ind w:right="23"/>
        <w:jc w:val="both"/>
        <w:rPr>
          <w:sz w:val="4"/>
          <w:szCs w:val="4"/>
        </w:rPr>
      </w:pPr>
    </w:p>
    <w:p w:rsidR="00B20702" w:rsidRDefault="00B20702" w:rsidP="00B20702">
      <w:pPr>
        <w:tabs>
          <w:tab w:val="left" w:pos="900"/>
        </w:tabs>
        <w:ind w:right="23" w:firstLine="720"/>
        <w:jc w:val="both"/>
        <w:rPr>
          <w:color w:val="0070C0"/>
        </w:rPr>
      </w:pPr>
      <w:r>
        <w:t xml:space="preserve">Изпълнението на неданъчните приходи по бюджетите на </w:t>
      </w:r>
      <w:r>
        <w:rPr>
          <w:i/>
          <w:u w:val="single"/>
        </w:rPr>
        <w:t>министерствата и ведомствата</w:t>
      </w:r>
      <w:r>
        <w:t xml:space="preserve"> е добро</w:t>
      </w:r>
      <w:r w:rsidR="00DE783F">
        <w:t xml:space="preserve"> спрямо разчета</w:t>
      </w:r>
      <w:r>
        <w:t>, като са постъпили 1 374,5 млн. лв., което е 100,7 % спрямо планираните със ЗДБРБ за 2015 г. средства. Това са главно приходи от държавни такси и приходи и доходи от собственост. С най-висок относителен дял в неданъчните приходи на министерствата и ведомствата (15,0 %) са приходите от винетни такси. През 2015 г. те са в размер на 206,4 млн. лева.</w:t>
      </w:r>
    </w:p>
    <w:p w:rsidR="00B20702" w:rsidRDefault="00B20702" w:rsidP="00B20702">
      <w:pPr>
        <w:tabs>
          <w:tab w:val="left" w:pos="900"/>
        </w:tabs>
        <w:ind w:right="23" w:firstLine="720"/>
        <w:jc w:val="both"/>
      </w:pPr>
      <w:r>
        <w:rPr>
          <w:color w:val="0070C0"/>
        </w:rPr>
        <w:t xml:space="preserve"> </w:t>
      </w:r>
      <w:r>
        <w:t>По-голямата част от неданъчните приходи по държавния бюджет са по бюджетите на следните министерства и ведомства:</w:t>
      </w:r>
    </w:p>
    <w:p w:rsidR="00B20702" w:rsidRDefault="00B20702" w:rsidP="00B20702">
      <w:pPr>
        <w:tabs>
          <w:tab w:val="left" w:pos="900"/>
        </w:tabs>
        <w:ind w:right="23"/>
        <w:jc w:val="both"/>
        <w:rPr>
          <w:color w:val="0070C0"/>
          <w:sz w:val="10"/>
          <w:szCs w:val="10"/>
        </w:rPr>
      </w:pPr>
    </w:p>
    <w:p w:rsidR="00B20702" w:rsidRDefault="00D37B0F" w:rsidP="00B20702">
      <w:pPr>
        <w:ind w:right="23"/>
        <w:jc w:val="center"/>
        <w:rPr>
          <w:color w:val="0070C0"/>
        </w:rPr>
      </w:pPr>
      <w:r>
        <w:rPr>
          <w:noProof/>
        </w:rPr>
        <w:drawing>
          <wp:inline distT="0" distB="0" distL="0" distR="0" wp14:anchorId="5370337F" wp14:editId="12748048">
            <wp:extent cx="4930140" cy="2964180"/>
            <wp:effectExtent l="0" t="0" r="22860" b="26670"/>
            <wp:docPr id="19" name="Objec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B20702" w:rsidRDefault="00B20702" w:rsidP="00B20702">
      <w:pPr>
        <w:ind w:right="23"/>
        <w:jc w:val="center"/>
        <w:rPr>
          <w:noProof/>
          <w:color w:val="0070C0"/>
          <w:lang w:eastAsia="en-US"/>
        </w:rPr>
      </w:pPr>
    </w:p>
    <w:p w:rsidR="00B20702" w:rsidRDefault="00B20702" w:rsidP="00781B85">
      <w:pPr>
        <w:pStyle w:val="BodyText"/>
        <w:numPr>
          <w:ilvl w:val="0"/>
          <w:numId w:val="53"/>
        </w:numPr>
        <w:spacing w:after="0"/>
        <w:ind w:left="0" w:firstLine="539"/>
        <w:jc w:val="both"/>
        <w:rPr>
          <w:bCs/>
        </w:rPr>
      </w:pPr>
      <w:r>
        <w:rPr>
          <w:b/>
        </w:rPr>
        <w:t>Министерство на регионалното развитие и благоустройство</w:t>
      </w:r>
      <w:r>
        <w:t xml:space="preserve"> (МРРБ) – постъпилите неданъчните приходи по бюджета на министерството са в размер на 284,5 млн. лв., в т.ч.приходи от държавни такси 277,0 млн. лв. или изпълнението им възлиза на 105,6 % от годишния уточнен план. От администрираните държавни такси с най-голям дял са приходите от винетни такси в размер на 206,4 млн. лв., събрани по реда на чл. 25 и чл. 26 от Тарифата за таксите, които се събират от Агенция „Пътна инфраструктура”, а останалите събрани други такси по тарифата са в размер на 49,1 млн. лв., реализирани от кантарни такси, такси за преминаване на Дунав мост в посока Русе-Гюргево, от такси за крайпътни обслужващи обекти и рекламни съоръжения, такси за транзитно преминаване на пътни превозни средства с чуждестранна регистрация, както и такси за движение на тежки и извънгабаритни превозни средства по републиканските пътища;</w:t>
      </w:r>
    </w:p>
    <w:p w:rsidR="00B20702" w:rsidRPr="004E1276" w:rsidRDefault="00B20702" w:rsidP="00781B85">
      <w:pPr>
        <w:pStyle w:val="BodyText"/>
        <w:numPr>
          <w:ilvl w:val="0"/>
          <w:numId w:val="53"/>
        </w:numPr>
        <w:spacing w:after="0"/>
        <w:ind w:left="0" w:firstLine="539"/>
        <w:jc w:val="both"/>
        <w:rPr>
          <w:bCs/>
        </w:rPr>
      </w:pPr>
      <w:r>
        <w:rPr>
          <w:b/>
        </w:rPr>
        <w:t xml:space="preserve">Министерство на </w:t>
      </w:r>
      <w:r>
        <w:rPr>
          <w:b/>
          <w:bCs/>
        </w:rPr>
        <w:t>енергетиката</w:t>
      </w:r>
      <w:r>
        <w:rPr>
          <w:bCs/>
        </w:rPr>
        <w:t xml:space="preserve"> (МЕ) – </w:t>
      </w:r>
      <w:r>
        <w:t xml:space="preserve">постъпилите неданъчни приходи по бюджета на министерството са в размер на 183,0 млн. лв. Изпълнението им спрямо достигнатите неданъчни приходи по уточнен план е 137,6 %. Най-голям е делът на </w:t>
      </w:r>
      <w:r>
        <w:lastRenderedPageBreak/>
        <w:t xml:space="preserve">приходите от вноски на държавни (общински) предприятия и институции във Фонд „Извеждане от експлоатация на ядрени съоръжения” и Фонд „Радиоактивни отпадъци”– 87,1 млн. лв. или 47,6 % от общия размер на отчетените неданъчни приходи. През 2015 г. постъпилите приходи по транзитната сметка „Национален план за инвестиции“ са в размер на </w:t>
      </w:r>
      <w:r w:rsidR="00675AFE">
        <w:t>60</w:t>
      </w:r>
      <w:r>
        <w:t>,</w:t>
      </w:r>
      <w:r w:rsidR="00675AFE">
        <w:t>3</w:t>
      </w:r>
      <w:r>
        <w:t xml:space="preserve"> млн. лв. (Наредба за организацията и </w:t>
      </w:r>
      <w:r w:rsidRPr="004E1276">
        <w:t>контрола по изпълнението на Националния план за инвестиции за периода 2013-2020 г.)</w:t>
      </w:r>
      <w:r w:rsidR="005D4D0C" w:rsidRPr="004E1276">
        <w:t xml:space="preserve"> Друг основен приходоизточник са постъпленията от концесионни вноски, които са в размер на 43,5 млн. лв.</w:t>
      </w:r>
      <w:r w:rsidRPr="004E1276">
        <w:t>;</w:t>
      </w:r>
    </w:p>
    <w:p w:rsidR="00B20702" w:rsidRDefault="00B20702" w:rsidP="00781B85">
      <w:pPr>
        <w:pStyle w:val="BodyText"/>
        <w:numPr>
          <w:ilvl w:val="0"/>
          <w:numId w:val="53"/>
        </w:numPr>
        <w:spacing w:after="0"/>
        <w:ind w:left="0" w:firstLine="539"/>
        <w:jc w:val="both"/>
        <w:rPr>
          <w:bCs/>
          <w:color w:val="0070C0"/>
        </w:rPr>
      </w:pPr>
      <w:r>
        <w:rPr>
          <w:b/>
          <w:bCs/>
        </w:rPr>
        <w:t xml:space="preserve">Министерство на </w:t>
      </w:r>
      <w:r>
        <w:rPr>
          <w:b/>
        </w:rPr>
        <w:t>вътрешните работи</w:t>
      </w:r>
      <w:r>
        <w:t xml:space="preserve"> (МВР) – постъпилите неданъчни приходи са в размер на 170,</w:t>
      </w:r>
      <w:r>
        <w:rPr>
          <w:lang w:val="en-US"/>
        </w:rPr>
        <w:t>8</w:t>
      </w:r>
      <w:r>
        <w:t xml:space="preserve"> млн. лв., които основно са</w:t>
      </w:r>
      <w:r>
        <w:rPr>
          <w:lang w:val="en-US"/>
        </w:rPr>
        <w:t xml:space="preserve"> </w:t>
      </w:r>
      <w:r>
        <w:t>приходи от държавни такси в размер на 94,3 млн. лева.</w:t>
      </w:r>
      <w:r>
        <w:rPr>
          <w:bCs/>
        </w:rPr>
        <w:t xml:space="preserve"> </w:t>
      </w:r>
      <w:r>
        <w:t>Приходите и доходите от собственост са в размер на 49,2 млн. лв. (приходи от</w:t>
      </w:r>
      <w:r>
        <w:rPr>
          <w:bCs/>
        </w:rPr>
        <w:t xml:space="preserve"> продажби на услуги, стоки и продукция</w:t>
      </w:r>
      <w:r>
        <w:t>, както и приходи от договори за охрана със СОТ, полиция и пожарна безопасност). Към 31.12.2015 г. събраните приходи от наложени глоби и санкции са в размер на 42,6 млн. лева</w:t>
      </w:r>
      <w:r>
        <w:rPr>
          <w:bCs/>
          <w:color w:val="0070C0"/>
        </w:rPr>
        <w:t xml:space="preserve">; </w:t>
      </w:r>
    </w:p>
    <w:p w:rsidR="00B20702" w:rsidRDefault="00B20702" w:rsidP="00781B85">
      <w:pPr>
        <w:pStyle w:val="BodyText"/>
        <w:numPr>
          <w:ilvl w:val="0"/>
          <w:numId w:val="53"/>
        </w:numPr>
        <w:spacing w:after="0"/>
        <w:ind w:left="0" w:firstLine="539"/>
        <w:jc w:val="both"/>
        <w:rPr>
          <w:bCs/>
          <w:color w:val="0070C0"/>
        </w:rPr>
      </w:pPr>
      <w:r>
        <w:rPr>
          <w:b/>
          <w:bCs/>
        </w:rPr>
        <w:t>Министерство на земеделието и храните</w:t>
      </w:r>
      <w:r>
        <w:rPr>
          <w:bCs/>
        </w:rPr>
        <w:t xml:space="preserve"> (МЗХ) – постъпилите неданъчни приходи по бюджета на министерството са в размер на 151,7 млн. лв</w:t>
      </w:r>
      <w:r>
        <w:t xml:space="preserve">., в т. ч. 76,9 млн. лв. приходи от държавни такси. През 2015 г. е налице неизпълнение на приходите, което </w:t>
      </w:r>
      <w:r>
        <w:rPr>
          <w:bCs/>
        </w:rPr>
        <w:t>се дължи главно на по–малкия размер на отчетените приходи от държавни такси 89,5 % и приходи и доходи от собственост 92,1 %, спрямо уточнения им план за 2015 година</w:t>
      </w:r>
      <w:r>
        <w:rPr>
          <w:color w:val="0070C0"/>
        </w:rPr>
        <w:t>;</w:t>
      </w:r>
    </w:p>
    <w:p w:rsidR="00B20702" w:rsidRDefault="00B20702" w:rsidP="00781B85">
      <w:pPr>
        <w:pStyle w:val="BodyText"/>
        <w:numPr>
          <w:ilvl w:val="0"/>
          <w:numId w:val="53"/>
        </w:numPr>
        <w:spacing w:after="0"/>
        <w:ind w:left="0" w:firstLine="539"/>
        <w:jc w:val="both"/>
        <w:rPr>
          <w:color w:val="0070C0"/>
        </w:rPr>
      </w:pPr>
      <w:r>
        <w:rPr>
          <w:b/>
          <w:bCs/>
        </w:rPr>
        <w:t>Министерство на финансите</w:t>
      </w:r>
      <w:r>
        <w:rPr>
          <w:bCs/>
        </w:rPr>
        <w:t xml:space="preserve"> (МФ) – постъпилите неданъчни приходи са в размер на 114,9 млн. лв. или изпълнението е 127,7 % спрямо утвърдените със ЗДБРБ за 2015 г., а спрямо уточнения им план – 127,5 %. </w:t>
      </w:r>
      <w:r>
        <w:t>Най-голям е делът на приходите от държавни такси – 103,5 млн. лв. или 90,1 % от общия размер на отчетените неданъчни приходи</w:t>
      </w:r>
      <w:r>
        <w:rPr>
          <w:bCs/>
        </w:rPr>
        <w:t xml:space="preserve">. </w:t>
      </w:r>
      <w:r>
        <w:t>Реализираното преизпълнение на приходите основно е свързано с п</w:t>
      </w:r>
      <w:r w:rsidR="00DE783F">
        <w:t>риходите</w:t>
      </w:r>
      <w:r>
        <w:t xml:space="preserve"> от държавни такси за издаване и поддържане на лиценз за организиране на хазартни игри и онлайн залагания по Закона за хазарта и по Тарифата за таксите, които се събират по Закона за хазарта</w:t>
      </w:r>
      <w:r>
        <w:rPr>
          <w:color w:val="0070C0"/>
        </w:rPr>
        <w:t>;</w:t>
      </w:r>
    </w:p>
    <w:p w:rsidR="00B20702" w:rsidRDefault="00B20702" w:rsidP="00781B85">
      <w:pPr>
        <w:pStyle w:val="BodyText"/>
        <w:numPr>
          <w:ilvl w:val="0"/>
          <w:numId w:val="53"/>
        </w:numPr>
        <w:spacing w:after="0"/>
        <w:ind w:left="0" w:firstLine="539"/>
        <w:jc w:val="both"/>
        <w:rPr>
          <w:color w:val="0070C0"/>
        </w:rPr>
      </w:pPr>
      <w:r>
        <w:rPr>
          <w:b/>
        </w:rPr>
        <w:t xml:space="preserve">Комисия за регулиране на съобщенията (КРС) </w:t>
      </w:r>
      <w:r>
        <w:t>- постъпилите неданъчни приходи са в размер на 64,2 млн. лв. или изпълнението възлиза на 78,8 % спрямо утвърдените с годишния закон. Отчетеното неизпълнение на неданъчните приходи спрямо утвърдените със ЗДБРБ за 2015 г. се дължи на неизпълнението на приходите от държавни такси поради настъпили промени в нормативната уредба. Същевременно намаляващата роля на електронните съобщителни мрежи за предоставяне на фиксирана гласова телефонна услуга също води до понижаване на приходите. През 2015 г. е отчетено преизпълнение на приходите от глоби, санкции и наказателни лихви, което не компенсира по-ниското изпълнение на приходите от държавни такси.</w:t>
      </w:r>
    </w:p>
    <w:p w:rsidR="00B20702" w:rsidRDefault="00B20702" w:rsidP="00B20702">
      <w:pPr>
        <w:pStyle w:val="BodyText"/>
        <w:spacing w:after="0"/>
        <w:jc w:val="both"/>
        <w:rPr>
          <w:color w:val="0070C0"/>
          <w:sz w:val="8"/>
          <w:szCs w:val="8"/>
        </w:rPr>
      </w:pPr>
    </w:p>
    <w:p w:rsidR="00B20702" w:rsidRDefault="00B20702" w:rsidP="00B20702">
      <w:pPr>
        <w:pStyle w:val="BodyText"/>
        <w:spacing w:after="0"/>
        <w:ind w:firstLine="720"/>
        <w:jc w:val="both"/>
      </w:pPr>
      <w:r>
        <w:t xml:space="preserve">Постъпилите приходи </w:t>
      </w:r>
      <w:r w:rsidR="009151BD">
        <w:t xml:space="preserve">по бюджетите на министерствата – концеденти и Министерския съвет </w:t>
      </w:r>
      <w:r>
        <w:t xml:space="preserve">от концесионна дейност </w:t>
      </w:r>
      <w:r w:rsidR="009151BD">
        <w:t xml:space="preserve">през </w:t>
      </w:r>
      <w:r>
        <w:t xml:space="preserve">2015 г. са общо в размер на 88,0 млн. лв. при утвърдени със ЗДБРБ за 2015 г. 74,3 млн. лв. или същите са преизпълнени с 13,7 млн. лева. Приходите от концесионната дейност по министерства - концеденти са както следва: МЕ – 43,5 млн. лв., Министерство на транспорта, информационните технологии и съобщенията (МТИТС) – 35,3 млн. лв., МРРБ – 5,4  млн. лв., МОСВ – 3,6 млн. лв. и Министерския съвет (МС) – 0,2 млн. лева. МТИТС </w:t>
      </w:r>
      <w:r w:rsidR="009151BD">
        <w:t xml:space="preserve">е реализирало преизпълнение на приходите от концесии </w:t>
      </w:r>
      <w:r>
        <w:t>в размер на 12,3 млн. лева</w:t>
      </w:r>
      <w:r>
        <w:rPr>
          <w:color w:val="0070C0"/>
        </w:rPr>
        <w:t>.</w:t>
      </w:r>
    </w:p>
    <w:p w:rsidR="00B20702" w:rsidRDefault="00B20702" w:rsidP="00B20702">
      <w:pPr>
        <w:pStyle w:val="BodyText"/>
        <w:spacing w:after="0"/>
        <w:ind w:firstLine="539"/>
        <w:jc w:val="both"/>
        <w:rPr>
          <w:sz w:val="4"/>
          <w:szCs w:val="4"/>
        </w:rPr>
      </w:pPr>
    </w:p>
    <w:p w:rsidR="00B20702" w:rsidRDefault="00B20702" w:rsidP="00B20702">
      <w:pPr>
        <w:tabs>
          <w:tab w:val="left" w:pos="9633"/>
        </w:tabs>
        <w:ind w:right="-50" w:firstLine="540"/>
        <w:jc w:val="both"/>
        <w:rPr>
          <w:lang w:val="en-US"/>
        </w:rPr>
      </w:pPr>
      <w:r>
        <w:t xml:space="preserve">Общият размер на неданъчните приходи по </w:t>
      </w:r>
      <w:r>
        <w:rPr>
          <w:i/>
          <w:u w:val="single"/>
        </w:rPr>
        <w:t>местните бюджети</w:t>
      </w:r>
      <w:r>
        <w:t xml:space="preserve"> е 1 170,</w:t>
      </w:r>
      <w:r w:rsidR="009C307C">
        <w:t>0</w:t>
      </w:r>
      <w:r>
        <w:t xml:space="preserve"> млн. лв. (99,</w:t>
      </w:r>
      <w:r w:rsidR="009C307C">
        <w:t>6</w:t>
      </w:r>
      <w:r>
        <w:t xml:space="preserve"> % от годишните разчети за 2015 г.). Най-голям относителен дял заемат приходите от общински такси (726,2 млн. лв.) – 62,0 %, следват приходите и доходите от собственост (246,6 млн. лв.) – 21,1 % и постъпленията от продажба на нефинансови активи (134,0 млн. лв.) – 11,4 %. Съпоставени с предходната година постъпленията нарастват с 4</w:t>
      </w:r>
      <w:r w:rsidR="008C2C66">
        <w:t>2</w:t>
      </w:r>
      <w:r>
        <w:t>,</w:t>
      </w:r>
      <w:r w:rsidR="008C2C66">
        <w:t>8</w:t>
      </w:r>
      <w:r>
        <w:t xml:space="preserve"> млн. лв., 3,</w:t>
      </w:r>
      <w:r w:rsidR="008C2C66">
        <w:t>8</w:t>
      </w:r>
      <w:r>
        <w:t xml:space="preserve"> процентни пункта. </w:t>
      </w:r>
    </w:p>
    <w:p w:rsidR="00A957DB" w:rsidRDefault="00A957DB" w:rsidP="00B20702">
      <w:pPr>
        <w:tabs>
          <w:tab w:val="left" w:pos="9633"/>
        </w:tabs>
        <w:ind w:right="-50" w:firstLine="540"/>
        <w:jc w:val="both"/>
      </w:pPr>
    </w:p>
    <w:p w:rsidR="00B20702" w:rsidRDefault="00B20702" w:rsidP="00781B85">
      <w:pPr>
        <w:pStyle w:val="Heading3"/>
        <w:numPr>
          <w:ilvl w:val="2"/>
          <w:numId w:val="15"/>
        </w:numPr>
        <w:rPr>
          <w:rFonts w:ascii="Times New Roman" w:hAnsi="Times New Roman" w:cs="Times New Roman"/>
          <w:sz w:val="24"/>
          <w:szCs w:val="24"/>
          <w:lang w:val="bg-BG"/>
        </w:rPr>
      </w:pPr>
      <w:bookmarkStart w:id="179" w:name="_Toc393728065"/>
      <w:bookmarkStart w:id="180" w:name="_Toc357527091"/>
      <w:bookmarkStart w:id="181" w:name="_Toc326315906"/>
      <w:bookmarkStart w:id="182" w:name="_Toc324863414"/>
      <w:bookmarkStart w:id="183" w:name="_Toc462146114"/>
      <w:r>
        <w:rPr>
          <w:rFonts w:ascii="Times New Roman" w:hAnsi="Times New Roman" w:cs="Times New Roman"/>
          <w:sz w:val="24"/>
          <w:szCs w:val="24"/>
          <w:lang w:val="bg-BG"/>
        </w:rPr>
        <w:lastRenderedPageBreak/>
        <w:t>Помощи, дарения и други безвъзмездно получени суми</w:t>
      </w:r>
      <w:bookmarkEnd w:id="178"/>
      <w:bookmarkEnd w:id="179"/>
      <w:bookmarkEnd w:id="180"/>
      <w:bookmarkEnd w:id="181"/>
      <w:bookmarkEnd w:id="182"/>
      <w:bookmarkEnd w:id="183"/>
    </w:p>
    <w:p w:rsidR="00B20702" w:rsidRDefault="00B20702" w:rsidP="00B20702">
      <w:pPr>
        <w:ind w:firstLine="540"/>
        <w:jc w:val="both"/>
        <w:rPr>
          <w:sz w:val="8"/>
          <w:szCs w:val="8"/>
        </w:rPr>
      </w:pPr>
    </w:p>
    <w:p w:rsidR="00666D9F" w:rsidRPr="00B20702" w:rsidRDefault="00B20702" w:rsidP="00B20702">
      <w:pPr>
        <w:tabs>
          <w:tab w:val="left" w:pos="720"/>
        </w:tabs>
        <w:ind w:firstLine="720"/>
        <w:jc w:val="both"/>
        <w:rPr>
          <w:color w:val="0070C0"/>
          <w:lang w:val="en-US"/>
        </w:rPr>
      </w:pPr>
      <w:r>
        <w:t xml:space="preserve">Постъпленията от </w:t>
      </w:r>
      <w:r>
        <w:rPr>
          <w:b/>
          <w:i/>
        </w:rPr>
        <w:t>помощи</w:t>
      </w:r>
      <w:r>
        <w:t xml:space="preserve"> по КФП за 2015 г. са в размер на 3 647,7</w:t>
      </w:r>
      <w:r>
        <w:rPr>
          <w:b/>
        </w:rPr>
        <w:t xml:space="preserve"> </w:t>
      </w:r>
      <w:r w:rsidRPr="00EC33FC">
        <w:t>млн. лв.,</w:t>
      </w:r>
      <w:r>
        <w:t xml:space="preserve"> 110,4 % спрямо планираните, в т.ч. постъпилите по сметките на Национален фонд</w:t>
      </w:r>
      <w:r w:rsidR="00DE783F">
        <w:t xml:space="preserve"> ( вкл.  по сметките на бенефициенти)</w:t>
      </w:r>
      <w:r>
        <w:t xml:space="preserve"> приходи (</w:t>
      </w:r>
      <w:r>
        <w:rPr>
          <w:bCs/>
        </w:rPr>
        <w:t xml:space="preserve">нето) по програмите, съфинансирани от Структурните и Кохезионния фондове на ЕС, програмите, финансирани от Европейския фонд за регионално развитие, Европейския социален фонд (включително ИМЗ), Кохезионния фонд и ФЕПН на ЕС за финансовата рамка 2014 – 2020 г., ФМ на ЕИП и НФМ, двустранните програми за трансгранично сътрудничество по външните граници на EС за период 2007 – 2013 г. и за 2014 – 2020 г., Българо-швейцарската програма за сътрудничество и предприсъединителните програми в размер на </w:t>
      </w:r>
      <w:r w:rsidRPr="00C96B16">
        <w:rPr>
          <w:bCs/>
        </w:rPr>
        <w:t>2 833,</w:t>
      </w:r>
      <w:r w:rsidR="00C96B16" w:rsidRPr="00C96B16">
        <w:rPr>
          <w:bCs/>
        </w:rPr>
        <w:t>3</w:t>
      </w:r>
      <w:r w:rsidRPr="00C96B16">
        <w:rPr>
          <w:bCs/>
        </w:rPr>
        <w:t xml:space="preserve"> млн. лв.</w:t>
      </w:r>
      <w:r w:rsidRPr="00C96B16">
        <w:rPr>
          <w:color w:val="0070C0"/>
        </w:rPr>
        <w:t xml:space="preserve"> </w:t>
      </w:r>
      <w:r w:rsidRPr="00C96B16">
        <w:t>и 5</w:t>
      </w:r>
      <w:r w:rsidR="00DE783F">
        <w:t>63,5</w:t>
      </w:r>
      <w:r w:rsidRPr="00C96B16">
        <w:t xml:space="preserve"> млн. лв., постъпили по сметката за средства от Европейския съюз на</w:t>
      </w:r>
      <w:r w:rsidR="00DE783F">
        <w:t xml:space="preserve"> разплащателната агенция към</w:t>
      </w:r>
      <w:r w:rsidRPr="00C96B16">
        <w:t xml:space="preserve"> ДФ „Земеделие</w:t>
      </w:r>
      <w:r>
        <w:t>”</w:t>
      </w:r>
      <w:r w:rsidR="00DE783F">
        <w:t xml:space="preserve"> (вкл. по сметките на бенефициенти)</w:t>
      </w:r>
      <w:r>
        <w:t xml:space="preserve"> за 201</w:t>
      </w:r>
      <w:r w:rsidR="00C96B16">
        <w:t>5</w:t>
      </w:r>
      <w:r>
        <w:t xml:space="preserve"> г. от Европейския земеделски фонд за развитие на селските райони (ЕЗФРСР), Европейския фонд за гарантиране на земеделието (EФГЗ) и Европейския фонд за рибарство (ЕФР)</w:t>
      </w:r>
      <w:r>
        <w:rPr>
          <w:lang w:val="en-US"/>
        </w:rPr>
        <w:t>.</w:t>
      </w:r>
    </w:p>
    <w:p w:rsidR="00666D9F" w:rsidRPr="00DB3468" w:rsidRDefault="00666D9F" w:rsidP="00781B85">
      <w:pPr>
        <w:pStyle w:val="Heading3"/>
        <w:numPr>
          <w:ilvl w:val="1"/>
          <w:numId w:val="10"/>
        </w:numPr>
        <w:rPr>
          <w:rFonts w:ascii="Times New Roman" w:hAnsi="Times New Roman"/>
          <w:sz w:val="24"/>
          <w:lang w:val="bg-BG"/>
        </w:rPr>
      </w:pPr>
      <w:bookmarkStart w:id="184" w:name="_Toc462146115"/>
      <w:bookmarkEnd w:id="110"/>
      <w:bookmarkEnd w:id="111"/>
      <w:bookmarkEnd w:id="112"/>
      <w:r w:rsidRPr="00DB3468">
        <w:rPr>
          <w:rFonts w:ascii="Times New Roman" w:hAnsi="Times New Roman"/>
          <w:sz w:val="24"/>
          <w:lang w:val="bg-BG"/>
        </w:rPr>
        <w:t>Изпълнение на разходите по икономически елементи по консолидираната фискална програма за 201</w:t>
      </w:r>
      <w:r w:rsidR="00DB3468" w:rsidRPr="00DB3468">
        <w:rPr>
          <w:rFonts w:ascii="Times New Roman" w:hAnsi="Times New Roman"/>
          <w:sz w:val="24"/>
          <w:lang w:val="bg-BG"/>
        </w:rPr>
        <w:t>5</w:t>
      </w:r>
      <w:r w:rsidRPr="00DB3468">
        <w:rPr>
          <w:rFonts w:ascii="Times New Roman" w:hAnsi="Times New Roman"/>
          <w:sz w:val="24"/>
          <w:lang w:val="bg-BG"/>
        </w:rPr>
        <w:t> г.</w:t>
      </w:r>
      <w:bookmarkEnd w:id="184"/>
    </w:p>
    <w:p w:rsidR="00666D9F" w:rsidRPr="001F6421" w:rsidRDefault="00666D9F" w:rsidP="003E03C0">
      <w:pPr>
        <w:tabs>
          <w:tab w:val="left" w:pos="720"/>
        </w:tabs>
        <w:jc w:val="both"/>
        <w:rPr>
          <w:b/>
          <w:color w:val="0070C0"/>
          <w:sz w:val="12"/>
          <w:szCs w:val="12"/>
        </w:rPr>
      </w:pPr>
    </w:p>
    <w:p w:rsidR="00DB3468" w:rsidRDefault="00DB3468" w:rsidP="00DB3468">
      <w:pPr>
        <w:tabs>
          <w:tab w:val="left" w:pos="0"/>
        </w:tabs>
        <w:ind w:right="72" w:firstLine="720"/>
        <w:jc w:val="both"/>
        <w:rPr>
          <w:lang w:eastAsia="en-US"/>
        </w:rPr>
      </w:pPr>
      <w:bookmarkStart w:id="185" w:name="_Toc261276585"/>
      <w:bookmarkStart w:id="186" w:name="_Toc293312904"/>
      <w:bookmarkStart w:id="187" w:name="_Toc324863421"/>
      <w:bookmarkStart w:id="188" w:name="_Toc136597741"/>
      <w:bookmarkStart w:id="189" w:name="_Toc136601644"/>
      <w:bookmarkStart w:id="190" w:name="_Toc167181040"/>
      <w:r>
        <w:rPr>
          <w:lang w:eastAsia="en-US"/>
        </w:rPr>
        <w:t>Разходите по консолидираната фискална програма по икономически елементи за периода 201</w:t>
      </w:r>
      <w:r>
        <w:rPr>
          <w:lang w:val="en-US" w:eastAsia="en-US"/>
        </w:rPr>
        <w:t>2</w:t>
      </w:r>
      <w:r>
        <w:rPr>
          <w:lang w:eastAsia="en-US"/>
        </w:rPr>
        <w:t xml:space="preserve"> г. - 201</w:t>
      </w:r>
      <w:r>
        <w:rPr>
          <w:lang w:val="en-US" w:eastAsia="en-US"/>
        </w:rPr>
        <w:t>5</w:t>
      </w:r>
      <w:r>
        <w:rPr>
          <w:lang w:eastAsia="en-US"/>
        </w:rPr>
        <w:t xml:space="preserve"> г., представени и като процент от БВП са както следва:</w:t>
      </w:r>
    </w:p>
    <w:p w:rsidR="00DB3468" w:rsidRDefault="00DB3468" w:rsidP="00DB3468">
      <w:pPr>
        <w:tabs>
          <w:tab w:val="left" w:pos="0"/>
        </w:tabs>
        <w:ind w:right="72" w:firstLine="720"/>
        <w:jc w:val="both"/>
        <w:rPr>
          <w:color w:val="0070C0"/>
          <w:lang w:eastAsia="en-US"/>
        </w:rPr>
      </w:pPr>
    </w:p>
    <w:p w:rsidR="00DB3468" w:rsidRDefault="00DB3468" w:rsidP="00DB3468">
      <w:pPr>
        <w:tabs>
          <w:tab w:val="left" w:pos="9720"/>
          <w:tab w:val="left" w:pos="9900"/>
        </w:tabs>
        <w:ind w:right="72" w:firstLine="540"/>
        <w:jc w:val="both"/>
        <w:rPr>
          <w:b/>
          <w:i/>
          <w:iCs/>
          <w:color w:val="0070C0"/>
          <w:sz w:val="12"/>
          <w:szCs w:val="12"/>
        </w:rPr>
      </w:pPr>
    </w:p>
    <w:p w:rsidR="00DB3468" w:rsidRDefault="00DB3468" w:rsidP="00DB3468">
      <w:pPr>
        <w:tabs>
          <w:tab w:val="left" w:pos="9720"/>
          <w:tab w:val="left" w:pos="9900"/>
        </w:tabs>
        <w:ind w:right="72" w:firstLine="540"/>
        <w:jc w:val="both"/>
        <w:rPr>
          <w:b/>
          <w:i/>
          <w:iCs/>
          <w:sz w:val="26"/>
          <w:szCs w:val="26"/>
        </w:rPr>
      </w:pPr>
      <w:r>
        <w:rPr>
          <w:b/>
          <w:i/>
          <w:iCs/>
          <w:sz w:val="26"/>
          <w:szCs w:val="26"/>
        </w:rPr>
        <w:t>Разходи по консолидираната фискална програма за периода 201</w:t>
      </w:r>
      <w:r>
        <w:rPr>
          <w:b/>
          <w:i/>
          <w:iCs/>
          <w:sz w:val="26"/>
          <w:szCs w:val="26"/>
          <w:lang w:val="en-US"/>
        </w:rPr>
        <w:t>2</w:t>
      </w:r>
      <w:r>
        <w:rPr>
          <w:b/>
          <w:i/>
          <w:iCs/>
          <w:sz w:val="26"/>
          <w:szCs w:val="26"/>
        </w:rPr>
        <w:t>-20</w:t>
      </w:r>
      <w:r>
        <w:rPr>
          <w:b/>
          <w:i/>
          <w:iCs/>
          <w:sz w:val="26"/>
          <w:szCs w:val="26"/>
          <w:lang w:val="en-US"/>
        </w:rPr>
        <w:t>15</w:t>
      </w:r>
      <w:r>
        <w:rPr>
          <w:b/>
          <w:i/>
          <w:iCs/>
          <w:sz w:val="26"/>
          <w:szCs w:val="26"/>
        </w:rPr>
        <w:t xml:space="preserve"> г.</w:t>
      </w:r>
    </w:p>
    <w:tbl>
      <w:tblPr>
        <w:tblW w:w="10593" w:type="dxa"/>
        <w:jc w:val="center"/>
        <w:tblInd w:w="-1059" w:type="dxa"/>
        <w:tblCellMar>
          <w:left w:w="70" w:type="dxa"/>
          <w:right w:w="70" w:type="dxa"/>
        </w:tblCellMar>
        <w:tblLook w:val="04A0" w:firstRow="1" w:lastRow="0" w:firstColumn="1" w:lastColumn="0" w:noHBand="0" w:noVBand="1"/>
      </w:tblPr>
      <w:tblGrid>
        <w:gridCol w:w="3254"/>
        <w:gridCol w:w="914"/>
        <w:gridCol w:w="897"/>
        <w:gridCol w:w="992"/>
        <w:gridCol w:w="992"/>
        <w:gridCol w:w="992"/>
        <w:gridCol w:w="851"/>
        <w:gridCol w:w="927"/>
        <w:gridCol w:w="774"/>
      </w:tblGrid>
      <w:tr w:rsidR="004E417F" w:rsidTr="004E417F">
        <w:trPr>
          <w:trHeight w:val="285"/>
          <w:jc w:val="center"/>
        </w:trPr>
        <w:tc>
          <w:tcPr>
            <w:tcW w:w="3254" w:type="dxa"/>
            <w:vMerge w:val="restart"/>
            <w:tcBorders>
              <w:top w:val="double" w:sz="6" w:space="0" w:color="800000"/>
              <w:left w:val="double" w:sz="6" w:space="0" w:color="800000"/>
              <w:bottom w:val="double" w:sz="6" w:space="0" w:color="800000"/>
              <w:right w:val="single" w:sz="8" w:space="0" w:color="FFFFFF"/>
            </w:tcBorders>
            <w:shd w:val="clear" w:color="auto" w:fill="800000"/>
            <w:hideMark/>
          </w:tcPr>
          <w:p w:rsidR="00DB3468" w:rsidRDefault="00DB3468">
            <w:pPr>
              <w:jc w:val="center"/>
              <w:rPr>
                <w:b/>
                <w:bCs/>
              </w:rPr>
            </w:pPr>
            <w:r>
              <w:rPr>
                <w:b/>
                <w:bCs/>
                <w:sz w:val="22"/>
                <w:szCs w:val="22"/>
              </w:rPr>
              <w:t>млн. лв.</w:t>
            </w:r>
          </w:p>
        </w:tc>
        <w:tc>
          <w:tcPr>
            <w:tcW w:w="1811" w:type="dxa"/>
            <w:gridSpan w:val="2"/>
            <w:tcBorders>
              <w:top w:val="double" w:sz="6" w:space="0" w:color="800000"/>
              <w:left w:val="nil"/>
              <w:bottom w:val="single" w:sz="8" w:space="0" w:color="FFFFFF"/>
              <w:right w:val="single" w:sz="8" w:space="0" w:color="FFFFFF"/>
            </w:tcBorders>
            <w:shd w:val="clear" w:color="auto" w:fill="800000"/>
            <w:hideMark/>
          </w:tcPr>
          <w:p w:rsidR="00DB3468" w:rsidRDefault="00DB3468">
            <w:pPr>
              <w:tabs>
                <w:tab w:val="left" w:pos="1370"/>
              </w:tabs>
              <w:ind w:left="-470"/>
              <w:jc w:val="center"/>
              <w:rPr>
                <w:b/>
                <w:bCs/>
                <w:sz w:val="20"/>
                <w:szCs w:val="20"/>
              </w:rPr>
            </w:pPr>
            <w:r>
              <w:rPr>
                <w:b/>
                <w:bCs/>
                <w:sz w:val="20"/>
                <w:szCs w:val="20"/>
              </w:rPr>
              <w:t xml:space="preserve">             201</w:t>
            </w:r>
            <w:r>
              <w:rPr>
                <w:b/>
                <w:bCs/>
                <w:sz w:val="20"/>
                <w:szCs w:val="20"/>
                <w:lang w:val="en-US"/>
              </w:rPr>
              <w:t>2</w:t>
            </w:r>
            <w:r>
              <w:rPr>
                <w:b/>
                <w:bCs/>
                <w:sz w:val="20"/>
                <w:szCs w:val="20"/>
              </w:rPr>
              <w:t xml:space="preserve"> г.</w:t>
            </w:r>
          </w:p>
        </w:tc>
        <w:tc>
          <w:tcPr>
            <w:tcW w:w="1984" w:type="dxa"/>
            <w:gridSpan w:val="2"/>
            <w:tcBorders>
              <w:top w:val="double" w:sz="6" w:space="0" w:color="800000"/>
              <w:left w:val="nil"/>
              <w:bottom w:val="single" w:sz="8" w:space="0" w:color="FFFFFF"/>
              <w:right w:val="single" w:sz="8" w:space="0" w:color="FFFFFF"/>
            </w:tcBorders>
            <w:shd w:val="clear" w:color="auto" w:fill="800000"/>
            <w:hideMark/>
          </w:tcPr>
          <w:p w:rsidR="00DB3468" w:rsidRDefault="00DB3468">
            <w:pPr>
              <w:jc w:val="center"/>
              <w:rPr>
                <w:b/>
                <w:bCs/>
                <w:sz w:val="20"/>
                <w:szCs w:val="20"/>
              </w:rPr>
            </w:pPr>
            <w:r>
              <w:rPr>
                <w:b/>
                <w:bCs/>
                <w:sz w:val="20"/>
                <w:szCs w:val="20"/>
              </w:rPr>
              <w:t>201</w:t>
            </w:r>
            <w:r>
              <w:rPr>
                <w:b/>
                <w:bCs/>
                <w:sz w:val="20"/>
                <w:szCs w:val="20"/>
                <w:lang w:val="en-US"/>
              </w:rPr>
              <w:t>3</w:t>
            </w:r>
            <w:r>
              <w:rPr>
                <w:b/>
                <w:bCs/>
                <w:sz w:val="20"/>
                <w:szCs w:val="20"/>
              </w:rPr>
              <w:t xml:space="preserve"> г. </w:t>
            </w:r>
          </w:p>
        </w:tc>
        <w:tc>
          <w:tcPr>
            <w:tcW w:w="1843" w:type="dxa"/>
            <w:gridSpan w:val="2"/>
            <w:tcBorders>
              <w:top w:val="double" w:sz="6" w:space="0" w:color="800000"/>
              <w:left w:val="nil"/>
              <w:bottom w:val="single" w:sz="8" w:space="0" w:color="FFFFFF"/>
              <w:right w:val="single" w:sz="4" w:space="0" w:color="FFFFFF"/>
            </w:tcBorders>
            <w:shd w:val="clear" w:color="auto" w:fill="800000"/>
            <w:hideMark/>
          </w:tcPr>
          <w:p w:rsidR="00DB3468" w:rsidRDefault="00DB3468">
            <w:pPr>
              <w:jc w:val="center"/>
              <w:rPr>
                <w:b/>
                <w:bCs/>
                <w:sz w:val="20"/>
                <w:szCs w:val="20"/>
              </w:rPr>
            </w:pPr>
            <w:r>
              <w:rPr>
                <w:b/>
                <w:bCs/>
                <w:sz w:val="20"/>
                <w:szCs w:val="20"/>
              </w:rPr>
              <w:t>201</w:t>
            </w:r>
            <w:r>
              <w:rPr>
                <w:b/>
                <w:bCs/>
                <w:sz w:val="20"/>
                <w:szCs w:val="20"/>
                <w:lang w:val="en-US"/>
              </w:rPr>
              <w:t>4</w:t>
            </w:r>
            <w:r>
              <w:rPr>
                <w:b/>
                <w:bCs/>
                <w:sz w:val="20"/>
                <w:szCs w:val="20"/>
              </w:rPr>
              <w:t xml:space="preserve"> г.</w:t>
            </w:r>
          </w:p>
        </w:tc>
        <w:tc>
          <w:tcPr>
            <w:tcW w:w="1701" w:type="dxa"/>
            <w:gridSpan w:val="2"/>
            <w:tcBorders>
              <w:top w:val="double" w:sz="6" w:space="0" w:color="800000"/>
              <w:left w:val="single" w:sz="8" w:space="0" w:color="FFFFFF"/>
              <w:bottom w:val="single" w:sz="8" w:space="0" w:color="FFFFFF"/>
              <w:right w:val="double" w:sz="6" w:space="0" w:color="800000"/>
            </w:tcBorders>
            <w:shd w:val="clear" w:color="auto" w:fill="800000"/>
            <w:hideMark/>
          </w:tcPr>
          <w:p w:rsidR="00DB3468" w:rsidRDefault="00DB3468">
            <w:pPr>
              <w:jc w:val="center"/>
              <w:rPr>
                <w:b/>
                <w:bCs/>
                <w:sz w:val="20"/>
                <w:szCs w:val="20"/>
              </w:rPr>
            </w:pPr>
            <w:r>
              <w:rPr>
                <w:b/>
                <w:bCs/>
                <w:sz w:val="20"/>
                <w:szCs w:val="20"/>
              </w:rPr>
              <w:t>201</w:t>
            </w:r>
            <w:r>
              <w:rPr>
                <w:b/>
                <w:bCs/>
                <w:sz w:val="20"/>
                <w:szCs w:val="20"/>
                <w:lang w:val="en-US"/>
              </w:rPr>
              <w:t>5</w:t>
            </w:r>
            <w:r>
              <w:rPr>
                <w:b/>
                <w:bCs/>
                <w:sz w:val="20"/>
                <w:szCs w:val="20"/>
              </w:rPr>
              <w:t xml:space="preserve"> г.</w:t>
            </w:r>
          </w:p>
        </w:tc>
      </w:tr>
      <w:tr w:rsidR="004E417F" w:rsidTr="004E417F">
        <w:trPr>
          <w:trHeight w:val="471"/>
          <w:jc w:val="center"/>
        </w:trPr>
        <w:tc>
          <w:tcPr>
            <w:tcW w:w="0" w:type="auto"/>
            <w:vMerge/>
            <w:tcBorders>
              <w:top w:val="double" w:sz="6" w:space="0" w:color="800000"/>
              <w:left w:val="double" w:sz="6" w:space="0" w:color="800000"/>
              <w:bottom w:val="double" w:sz="6" w:space="0" w:color="800000"/>
              <w:right w:val="single" w:sz="8" w:space="0" w:color="FFFFFF"/>
            </w:tcBorders>
            <w:vAlign w:val="center"/>
            <w:hideMark/>
          </w:tcPr>
          <w:p w:rsidR="00DB3468" w:rsidRDefault="00DB3468">
            <w:pPr>
              <w:rPr>
                <w:b/>
                <w:bCs/>
              </w:rPr>
            </w:pPr>
          </w:p>
        </w:tc>
        <w:tc>
          <w:tcPr>
            <w:tcW w:w="914" w:type="dxa"/>
            <w:tcBorders>
              <w:top w:val="nil"/>
              <w:left w:val="nil"/>
              <w:bottom w:val="double" w:sz="6" w:space="0" w:color="800000"/>
              <w:right w:val="single" w:sz="8" w:space="0" w:color="FFFFFF"/>
            </w:tcBorders>
            <w:shd w:val="clear" w:color="auto" w:fill="800000"/>
            <w:hideMark/>
          </w:tcPr>
          <w:p w:rsidR="00DB3468" w:rsidRDefault="00DB3468">
            <w:pPr>
              <w:jc w:val="center"/>
              <w:rPr>
                <w:b/>
                <w:bCs/>
                <w:sz w:val="16"/>
                <w:szCs w:val="16"/>
              </w:rPr>
            </w:pPr>
            <w:r>
              <w:rPr>
                <w:b/>
                <w:bCs/>
                <w:sz w:val="16"/>
                <w:szCs w:val="16"/>
              </w:rPr>
              <w:t>ОТЧЕТ</w:t>
            </w:r>
          </w:p>
        </w:tc>
        <w:tc>
          <w:tcPr>
            <w:tcW w:w="897" w:type="dxa"/>
            <w:tcBorders>
              <w:top w:val="nil"/>
              <w:left w:val="nil"/>
              <w:bottom w:val="double" w:sz="6" w:space="0" w:color="800000"/>
              <w:right w:val="single" w:sz="8" w:space="0" w:color="FFFFFF"/>
            </w:tcBorders>
            <w:shd w:val="clear" w:color="auto" w:fill="800000"/>
            <w:hideMark/>
          </w:tcPr>
          <w:p w:rsidR="00DB3468" w:rsidRDefault="00DB3468">
            <w:pPr>
              <w:jc w:val="center"/>
              <w:rPr>
                <w:b/>
                <w:bCs/>
                <w:sz w:val="16"/>
                <w:szCs w:val="16"/>
              </w:rPr>
            </w:pPr>
            <w:r>
              <w:rPr>
                <w:b/>
                <w:bCs/>
                <w:sz w:val="16"/>
                <w:szCs w:val="16"/>
              </w:rPr>
              <w:t>% БВП</w:t>
            </w:r>
          </w:p>
        </w:tc>
        <w:tc>
          <w:tcPr>
            <w:tcW w:w="992" w:type="dxa"/>
            <w:tcBorders>
              <w:top w:val="nil"/>
              <w:left w:val="nil"/>
              <w:bottom w:val="double" w:sz="6" w:space="0" w:color="800000"/>
              <w:right w:val="single" w:sz="8" w:space="0" w:color="FFFFFF"/>
            </w:tcBorders>
            <w:shd w:val="clear" w:color="auto" w:fill="800000"/>
            <w:hideMark/>
          </w:tcPr>
          <w:p w:rsidR="00DB3468" w:rsidRDefault="00DB3468">
            <w:pPr>
              <w:jc w:val="center"/>
              <w:rPr>
                <w:b/>
                <w:bCs/>
                <w:sz w:val="16"/>
                <w:szCs w:val="16"/>
              </w:rPr>
            </w:pPr>
            <w:r>
              <w:rPr>
                <w:b/>
                <w:bCs/>
                <w:sz w:val="16"/>
                <w:szCs w:val="16"/>
              </w:rPr>
              <w:t>ОТЧЕТ</w:t>
            </w:r>
          </w:p>
        </w:tc>
        <w:tc>
          <w:tcPr>
            <w:tcW w:w="992" w:type="dxa"/>
            <w:tcBorders>
              <w:top w:val="nil"/>
              <w:left w:val="nil"/>
              <w:bottom w:val="double" w:sz="6" w:space="0" w:color="800000"/>
              <w:right w:val="single" w:sz="8" w:space="0" w:color="FFFFFF"/>
            </w:tcBorders>
            <w:shd w:val="clear" w:color="auto" w:fill="800000"/>
            <w:hideMark/>
          </w:tcPr>
          <w:p w:rsidR="00DB3468" w:rsidRDefault="00DB3468">
            <w:pPr>
              <w:jc w:val="center"/>
              <w:rPr>
                <w:b/>
                <w:bCs/>
                <w:sz w:val="16"/>
                <w:szCs w:val="16"/>
              </w:rPr>
            </w:pPr>
            <w:r>
              <w:rPr>
                <w:b/>
                <w:bCs/>
                <w:sz w:val="16"/>
                <w:szCs w:val="16"/>
              </w:rPr>
              <w:t>% БВП</w:t>
            </w:r>
          </w:p>
        </w:tc>
        <w:tc>
          <w:tcPr>
            <w:tcW w:w="992" w:type="dxa"/>
            <w:tcBorders>
              <w:top w:val="nil"/>
              <w:left w:val="nil"/>
              <w:bottom w:val="double" w:sz="6" w:space="0" w:color="800000"/>
              <w:right w:val="nil"/>
            </w:tcBorders>
            <w:shd w:val="clear" w:color="auto" w:fill="800000"/>
            <w:hideMark/>
          </w:tcPr>
          <w:p w:rsidR="00DB3468" w:rsidRDefault="00DB3468">
            <w:pPr>
              <w:jc w:val="center"/>
              <w:rPr>
                <w:b/>
                <w:bCs/>
                <w:sz w:val="16"/>
                <w:szCs w:val="16"/>
              </w:rPr>
            </w:pPr>
            <w:r>
              <w:rPr>
                <w:b/>
                <w:bCs/>
                <w:sz w:val="16"/>
                <w:szCs w:val="16"/>
              </w:rPr>
              <w:t>ОТЧЕТ</w:t>
            </w:r>
          </w:p>
        </w:tc>
        <w:tc>
          <w:tcPr>
            <w:tcW w:w="851" w:type="dxa"/>
            <w:tcBorders>
              <w:top w:val="nil"/>
              <w:left w:val="single" w:sz="8" w:space="0" w:color="FFFFFF"/>
              <w:bottom w:val="double" w:sz="6" w:space="0" w:color="800000"/>
              <w:right w:val="nil"/>
            </w:tcBorders>
            <w:shd w:val="clear" w:color="auto" w:fill="800000"/>
            <w:hideMark/>
          </w:tcPr>
          <w:p w:rsidR="00DB3468" w:rsidRDefault="00DB3468">
            <w:pPr>
              <w:jc w:val="center"/>
              <w:rPr>
                <w:b/>
                <w:bCs/>
                <w:sz w:val="16"/>
                <w:szCs w:val="16"/>
              </w:rPr>
            </w:pPr>
            <w:r>
              <w:rPr>
                <w:b/>
                <w:bCs/>
                <w:sz w:val="16"/>
                <w:szCs w:val="16"/>
              </w:rPr>
              <w:t>% БВП</w:t>
            </w:r>
          </w:p>
        </w:tc>
        <w:tc>
          <w:tcPr>
            <w:tcW w:w="927" w:type="dxa"/>
            <w:tcBorders>
              <w:top w:val="nil"/>
              <w:left w:val="single" w:sz="8" w:space="0" w:color="FFFFFF"/>
              <w:bottom w:val="double" w:sz="6" w:space="0" w:color="800000"/>
              <w:right w:val="nil"/>
            </w:tcBorders>
            <w:shd w:val="clear" w:color="auto" w:fill="800000"/>
            <w:hideMark/>
          </w:tcPr>
          <w:p w:rsidR="00DB3468" w:rsidRDefault="00DB3468">
            <w:pPr>
              <w:jc w:val="center"/>
              <w:rPr>
                <w:b/>
                <w:bCs/>
                <w:sz w:val="16"/>
                <w:szCs w:val="16"/>
              </w:rPr>
            </w:pPr>
            <w:r>
              <w:rPr>
                <w:b/>
                <w:bCs/>
                <w:sz w:val="16"/>
                <w:szCs w:val="16"/>
              </w:rPr>
              <w:t>ОТЧЕТ</w:t>
            </w:r>
          </w:p>
        </w:tc>
        <w:tc>
          <w:tcPr>
            <w:tcW w:w="774" w:type="dxa"/>
            <w:tcBorders>
              <w:top w:val="nil"/>
              <w:left w:val="single" w:sz="8" w:space="0" w:color="FFFFFF"/>
              <w:bottom w:val="double" w:sz="6" w:space="0" w:color="800000"/>
              <w:right w:val="double" w:sz="6" w:space="0" w:color="800000"/>
            </w:tcBorders>
            <w:shd w:val="clear" w:color="auto" w:fill="800000"/>
            <w:hideMark/>
          </w:tcPr>
          <w:p w:rsidR="00DB3468" w:rsidRDefault="00DB3468">
            <w:pPr>
              <w:jc w:val="center"/>
              <w:rPr>
                <w:b/>
                <w:bCs/>
                <w:sz w:val="16"/>
                <w:szCs w:val="16"/>
              </w:rPr>
            </w:pPr>
            <w:r>
              <w:rPr>
                <w:b/>
                <w:bCs/>
                <w:sz w:val="16"/>
                <w:szCs w:val="16"/>
              </w:rPr>
              <w:t>% БВП</w:t>
            </w:r>
          </w:p>
        </w:tc>
      </w:tr>
      <w:tr w:rsidR="004E417F" w:rsidTr="004E417F">
        <w:trPr>
          <w:trHeight w:val="300"/>
          <w:jc w:val="center"/>
        </w:trPr>
        <w:tc>
          <w:tcPr>
            <w:tcW w:w="3254" w:type="dxa"/>
            <w:tcBorders>
              <w:top w:val="double" w:sz="6" w:space="0" w:color="800000"/>
              <w:left w:val="double" w:sz="6" w:space="0" w:color="800000"/>
              <w:bottom w:val="nil"/>
              <w:right w:val="nil"/>
            </w:tcBorders>
            <w:shd w:val="clear" w:color="auto" w:fill="FFFFCC"/>
            <w:vAlign w:val="bottom"/>
            <w:hideMark/>
          </w:tcPr>
          <w:p w:rsidR="004E417F" w:rsidRDefault="004E417F">
            <w:pPr>
              <w:rPr>
                <w:b/>
                <w:bCs/>
              </w:rPr>
            </w:pPr>
            <w:r>
              <w:rPr>
                <w:b/>
                <w:bCs/>
                <w:sz w:val="22"/>
                <w:szCs w:val="22"/>
              </w:rPr>
              <w:t>ОБЩО РАЗХОДИ</w:t>
            </w:r>
          </w:p>
        </w:tc>
        <w:tc>
          <w:tcPr>
            <w:tcW w:w="914" w:type="dxa"/>
            <w:tcBorders>
              <w:top w:val="double" w:sz="6" w:space="0" w:color="800000"/>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sz w:val="20"/>
                <w:szCs w:val="20"/>
              </w:rPr>
              <w:t>27 828,3</w:t>
            </w:r>
          </w:p>
        </w:tc>
        <w:tc>
          <w:tcPr>
            <w:tcW w:w="897" w:type="dxa"/>
            <w:tcBorders>
              <w:top w:val="double" w:sz="6" w:space="0" w:color="800000"/>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color w:val="000000"/>
                <w:sz w:val="20"/>
                <w:szCs w:val="20"/>
              </w:rPr>
              <w:t>34,1%</w:t>
            </w:r>
          </w:p>
        </w:tc>
        <w:tc>
          <w:tcPr>
            <w:tcW w:w="992" w:type="dxa"/>
            <w:tcBorders>
              <w:top w:val="double" w:sz="6" w:space="0" w:color="800000"/>
              <w:left w:val="single" w:sz="8" w:space="0" w:color="800000"/>
              <w:bottom w:val="nil"/>
              <w:right w:val="nil"/>
            </w:tcBorders>
            <w:shd w:val="clear" w:color="auto" w:fill="FFFFCC"/>
            <w:vAlign w:val="bottom"/>
            <w:hideMark/>
          </w:tcPr>
          <w:p w:rsidR="004E417F" w:rsidRDefault="004E417F">
            <w:pPr>
              <w:spacing w:before="100" w:beforeAutospacing="1" w:after="100" w:afterAutospacing="1"/>
              <w:jc w:val="right"/>
              <w:rPr>
                <w:b/>
                <w:bCs/>
                <w:sz w:val="20"/>
                <w:szCs w:val="20"/>
                <w:lang w:val="en-US"/>
              </w:rPr>
            </w:pPr>
            <w:r>
              <w:rPr>
                <w:b/>
                <w:bCs/>
                <w:sz w:val="20"/>
                <w:szCs w:val="20"/>
              </w:rPr>
              <w:t>30 41</w:t>
            </w:r>
            <w:r>
              <w:rPr>
                <w:b/>
                <w:bCs/>
                <w:sz w:val="20"/>
                <w:szCs w:val="20"/>
                <w:lang w:val="en-US"/>
              </w:rPr>
              <w:t>7</w:t>
            </w:r>
            <w:r>
              <w:rPr>
                <w:b/>
                <w:bCs/>
                <w:sz w:val="20"/>
                <w:szCs w:val="20"/>
              </w:rPr>
              <w:t>,</w:t>
            </w:r>
            <w:r>
              <w:rPr>
                <w:b/>
                <w:bCs/>
                <w:sz w:val="20"/>
                <w:szCs w:val="20"/>
                <w:lang w:val="en-US"/>
              </w:rPr>
              <w:t>9</w:t>
            </w:r>
          </w:p>
        </w:tc>
        <w:tc>
          <w:tcPr>
            <w:tcW w:w="992" w:type="dxa"/>
            <w:tcBorders>
              <w:top w:val="double" w:sz="6" w:space="0" w:color="800000"/>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color w:val="000000"/>
                <w:sz w:val="20"/>
                <w:szCs w:val="20"/>
              </w:rPr>
              <w:t>37,1%</w:t>
            </w:r>
          </w:p>
        </w:tc>
        <w:tc>
          <w:tcPr>
            <w:tcW w:w="992" w:type="dxa"/>
            <w:tcBorders>
              <w:top w:val="double" w:sz="6" w:space="0" w:color="800000"/>
              <w:left w:val="single" w:sz="8" w:space="0" w:color="800000"/>
              <w:bottom w:val="nil"/>
              <w:right w:val="nil"/>
            </w:tcBorders>
            <w:shd w:val="clear" w:color="auto" w:fill="FFFFCC"/>
            <w:vAlign w:val="bottom"/>
            <w:hideMark/>
          </w:tcPr>
          <w:p w:rsidR="004E417F" w:rsidRDefault="004E417F">
            <w:pPr>
              <w:spacing w:before="100" w:beforeAutospacing="1" w:after="100" w:afterAutospacing="1"/>
              <w:jc w:val="right"/>
              <w:rPr>
                <w:b/>
                <w:bCs/>
                <w:sz w:val="20"/>
                <w:szCs w:val="20"/>
                <w:lang w:val="en-US"/>
              </w:rPr>
            </w:pPr>
            <w:r>
              <w:rPr>
                <w:b/>
                <w:bCs/>
                <w:sz w:val="20"/>
                <w:szCs w:val="20"/>
              </w:rPr>
              <w:t>3</w:t>
            </w:r>
            <w:r>
              <w:rPr>
                <w:b/>
                <w:bCs/>
                <w:sz w:val="20"/>
                <w:szCs w:val="20"/>
                <w:lang w:val="en-US"/>
              </w:rPr>
              <w:t>2</w:t>
            </w:r>
            <w:r>
              <w:rPr>
                <w:b/>
                <w:bCs/>
                <w:sz w:val="20"/>
                <w:szCs w:val="20"/>
              </w:rPr>
              <w:t> 4</w:t>
            </w:r>
            <w:r>
              <w:rPr>
                <w:b/>
                <w:bCs/>
                <w:sz w:val="20"/>
                <w:szCs w:val="20"/>
                <w:lang w:val="en-US"/>
              </w:rPr>
              <w:t>82</w:t>
            </w:r>
            <w:r>
              <w:rPr>
                <w:b/>
                <w:bCs/>
                <w:sz w:val="20"/>
                <w:szCs w:val="20"/>
              </w:rPr>
              <w:t>,</w:t>
            </w:r>
            <w:r>
              <w:rPr>
                <w:b/>
                <w:bCs/>
                <w:sz w:val="20"/>
                <w:szCs w:val="20"/>
                <w:lang w:val="en-US"/>
              </w:rPr>
              <w:t>0</w:t>
            </w:r>
          </w:p>
        </w:tc>
        <w:tc>
          <w:tcPr>
            <w:tcW w:w="851" w:type="dxa"/>
            <w:tcBorders>
              <w:top w:val="double" w:sz="6" w:space="0" w:color="800000"/>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sz w:val="20"/>
                <w:szCs w:val="20"/>
              </w:rPr>
              <w:t>3</w:t>
            </w:r>
            <w:r>
              <w:rPr>
                <w:b/>
                <w:bCs/>
                <w:sz w:val="20"/>
                <w:szCs w:val="20"/>
                <w:lang w:val="en-US"/>
              </w:rPr>
              <w:t>8</w:t>
            </w:r>
            <w:r>
              <w:rPr>
                <w:b/>
                <w:bCs/>
                <w:sz w:val="20"/>
                <w:szCs w:val="20"/>
              </w:rPr>
              <w:t>,</w:t>
            </w:r>
            <w:r>
              <w:rPr>
                <w:b/>
                <w:bCs/>
                <w:sz w:val="20"/>
                <w:szCs w:val="20"/>
                <w:lang w:val="en-US"/>
              </w:rPr>
              <w:t>8</w:t>
            </w:r>
            <w:r>
              <w:rPr>
                <w:b/>
                <w:bCs/>
                <w:sz w:val="20"/>
                <w:szCs w:val="20"/>
              </w:rPr>
              <w:t>%</w:t>
            </w:r>
          </w:p>
        </w:tc>
        <w:tc>
          <w:tcPr>
            <w:tcW w:w="927" w:type="dxa"/>
            <w:tcBorders>
              <w:top w:val="double" w:sz="6" w:space="0" w:color="800000"/>
              <w:left w:val="single" w:sz="8" w:space="0" w:color="800000"/>
              <w:bottom w:val="nil"/>
              <w:right w:val="nil"/>
            </w:tcBorders>
            <w:shd w:val="clear" w:color="auto" w:fill="FFFFCC"/>
            <w:vAlign w:val="bottom"/>
            <w:hideMark/>
          </w:tcPr>
          <w:p w:rsidR="004E417F" w:rsidRDefault="004E417F" w:rsidP="0076564D">
            <w:pPr>
              <w:jc w:val="right"/>
              <w:rPr>
                <w:b/>
                <w:bCs/>
                <w:sz w:val="20"/>
                <w:szCs w:val="20"/>
              </w:rPr>
            </w:pPr>
            <w:r>
              <w:rPr>
                <w:b/>
                <w:bCs/>
                <w:sz w:val="20"/>
                <w:szCs w:val="20"/>
              </w:rPr>
              <w:t>34 684,</w:t>
            </w:r>
            <w:r w:rsidR="0076564D">
              <w:rPr>
                <w:b/>
                <w:bCs/>
                <w:sz w:val="20"/>
                <w:szCs w:val="20"/>
              </w:rPr>
              <w:t>8</w:t>
            </w:r>
          </w:p>
        </w:tc>
        <w:tc>
          <w:tcPr>
            <w:tcW w:w="774" w:type="dxa"/>
            <w:tcBorders>
              <w:top w:val="double" w:sz="6" w:space="0" w:color="800000"/>
              <w:left w:val="single" w:sz="8" w:space="0" w:color="800000"/>
              <w:bottom w:val="nil"/>
              <w:right w:val="double" w:sz="6" w:space="0" w:color="800000"/>
            </w:tcBorders>
            <w:shd w:val="clear" w:color="auto" w:fill="FFFFCC"/>
            <w:vAlign w:val="bottom"/>
            <w:hideMark/>
          </w:tcPr>
          <w:p w:rsidR="004E417F" w:rsidRDefault="004E417F">
            <w:pPr>
              <w:jc w:val="right"/>
              <w:rPr>
                <w:b/>
                <w:bCs/>
                <w:sz w:val="20"/>
                <w:szCs w:val="20"/>
              </w:rPr>
            </w:pPr>
            <w:r>
              <w:rPr>
                <w:b/>
                <w:bCs/>
                <w:sz w:val="20"/>
                <w:szCs w:val="20"/>
              </w:rPr>
              <w:t>40,2%</w:t>
            </w:r>
          </w:p>
        </w:tc>
      </w:tr>
      <w:tr w:rsidR="004E417F" w:rsidTr="004E417F">
        <w:trPr>
          <w:trHeight w:val="80"/>
          <w:jc w:val="center"/>
        </w:trPr>
        <w:tc>
          <w:tcPr>
            <w:tcW w:w="3254" w:type="dxa"/>
            <w:tcBorders>
              <w:top w:val="nil"/>
              <w:left w:val="double" w:sz="6" w:space="0" w:color="800000"/>
              <w:bottom w:val="nil"/>
              <w:right w:val="nil"/>
            </w:tcBorders>
            <w:shd w:val="clear" w:color="auto" w:fill="FFFFCC"/>
            <w:hideMark/>
          </w:tcPr>
          <w:p w:rsidR="004E417F" w:rsidRDefault="004E417F">
            <w:pPr>
              <w:rPr>
                <w:b/>
                <w:bCs/>
                <w:sz w:val="4"/>
                <w:szCs w:val="4"/>
              </w:rPr>
            </w:pPr>
            <w:r>
              <w:rPr>
                <w:b/>
                <w:bCs/>
                <w:sz w:val="4"/>
                <w:szCs w:val="4"/>
              </w:rPr>
              <w:t> </w:t>
            </w:r>
          </w:p>
        </w:tc>
        <w:tc>
          <w:tcPr>
            <w:tcW w:w="914"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b/>
                <w:bCs/>
                <w:sz w:val="4"/>
                <w:szCs w:val="4"/>
              </w:rPr>
            </w:pPr>
            <w:r>
              <w:rPr>
                <w:b/>
                <w:bCs/>
                <w:sz w:val="4"/>
                <w:szCs w:val="4"/>
              </w:rPr>
              <w:t> </w:t>
            </w:r>
          </w:p>
        </w:tc>
        <w:tc>
          <w:tcPr>
            <w:tcW w:w="897" w:type="dxa"/>
            <w:shd w:val="clear" w:color="auto" w:fill="FFFFCC"/>
            <w:vAlign w:val="bottom"/>
            <w:hideMark/>
          </w:tcPr>
          <w:p w:rsidR="004E417F" w:rsidRDefault="004E417F">
            <w:pPr>
              <w:jc w:val="right"/>
              <w:rPr>
                <w:b/>
                <w:bCs/>
                <w:sz w:val="4"/>
                <w:szCs w:val="4"/>
              </w:rPr>
            </w:pPr>
            <w:r>
              <w:rPr>
                <w:b/>
                <w:bCs/>
                <w:color w:val="000000"/>
                <w:sz w:val="4"/>
                <w:szCs w:val="4"/>
              </w:rPr>
              <w:t> </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sz w:val="4"/>
                <w:szCs w:val="4"/>
              </w:rPr>
              <w:t> </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color w:val="000000"/>
                <w:sz w:val="4"/>
                <w:szCs w:val="4"/>
              </w:rPr>
              <w:t> </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sz w:val="4"/>
                <w:szCs w:val="4"/>
              </w:rPr>
              <w:t> </w:t>
            </w:r>
          </w:p>
        </w:tc>
        <w:tc>
          <w:tcPr>
            <w:tcW w:w="851"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sz w:val="4"/>
                <w:szCs w:val="4"/>
              </w:rPr>
              <w:t> </w:t>
            </w:r>
          </w:p>
        </w:tc>
        <w:tc>
          <w:tcPr>
            <w:tcW w:w="927"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sz w:val="4"/>
                <w:szCs w:val="4"/>
              </w:rPr>
              <w:t> </w:t>
            </w:r>
          </w:p>
        </w:tc>
        <w:tc>
          <w:tcPr>
            <w:tcW w:w="774" w:type="dxa"/>
            <w:tcBorders>
              <w:top w:val="nil"/>
              <w:left w:val="single" w:sz="8" w:space="0" w:color="800000"/>
              <w:bottom w:val="nil"/>
              <w:right w:val="double" w:sz="6" w:space="0" w:color="800000"/>
            </w:tcBorders>
            <w:shd w:val="clear" w:color="auto" w:fill="FFFFCC"/>
            <w:vAlign w:val="bottom"/>
            <w:hideMark/>
          </w:tcPr>
          <w:p w:rsidR="004E417F" w:rsidRDefault="004E417F">
            <w:pPr>
              <w:jc w:val="right"/>
              <w:rPr>
                <w:b/>
                <w:bCs/>
                <w:sz w:val="20"/>
                <w:szCs w:val="20"/>
              </w:rPr>
            </w:pPr>
            <w:r>
              <w:rPr>
                <w:b/>
                <w:bCs/>
                <w:sz w:val="20"/>
                <w:szCs w:val="20"/>
              </w:rPr>
              <w:t> </w:t>
            </w:r>
          </w:p>
        </w:tc>
      </w:tr>
      <w:tr w:rsidR="004E417F" w:rsidTr="004E417F">
        <w:trPr>
          <w:trHeight w:val="255"/>
          <w:jc w:val="center"/>
        </w:trPr>
        <w:tc>
          <w:tcPr>
            <w:tcW w:w="3254" w:type="dxa"/>
            <w:tcBorders>
              <w:top w:val="nil"/>
              <w:left w:val="double" w:sz="6" w:space="0" w:color="800000"/>
              <w:bottom w:val="nil"/>
              <w:right w:val="nil"/>
            </w:tcBorders>
            <w:shd w:val="clear" w:color="auto" w:fill="FFFFCC"/>
            <w:hideMark/>
          </w:tcPr>
          <w:p w:rsidR="004E417F" w:rsidRDefault="004E417F">
            <w:pPr>
              <w:rPr>
                <w:b/>
                <w:bCs/>
                <w:sz w:val="20"/>
                <w:szCs w:val="20"/>
              </w:rPr>
            </w:pPr>
            <w:r>
              <w:rPr>
                <w:b/>
                <w:bCs/>
                <w:sz w:val="20"/>
                <w:szCs w:val="20"/>
              </w:rPr>
              <w:t>Общо нелихвени разходи</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sz w:val="20"/>
                <w:szCs w:val="20"/>
              </w:rPr>
              <w:t>26 446,3</w:t>
            </w:r>
          </w:p>
        </w:tc>
        <w:tc>
          <w:tcPr>
            <w:tcW w:w="897"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color w:val="000000"/>
                <w:sz w:val="20"/>
                <w:szCs w:val="20"/>
              </w:rPr>
              <w:t>32,4%</w:t>
            </w:r>
          </w:p>
        </w:tc>
        <w:tc>
          <w:tcPr>
            <w:tcW w:w="992" w:type="dxa"/>
            <w:tcBorders>
              <w:top w:val="nil"/>
              <w:left w:val="single" w:sz="8" w:space="0" w:color="800000"/>
              <w:bottom w:val="nil"/>
              <w:right w:val="nil"/>
            </w:tcBorders>
            <w:shd w:val="clear" w:color="auto" w:fill="FFFFCC"/>
            <w:vAlign w:val="bottom"/>
            <w:hideMark/>
          </w:tcPr>
          <w:p w:rsidR="004E417F" w:rsidRDefault="004E417F">
            <w:pPr>
              <w:spacing w:before="100" w:beforeAutospacing="1" w:after="100" w:afterAutospacing="1"/>
              <w:jc w:val="right"/>
              <w:rPr>
                <w:b/>
                <w:bCs/>
                <w:sz w:val="20"/>
                <w:szCs w:val="20"/>
                <w:lang w:val="en-US"/>
              </w:rPr>
            </w:pPr>
            <w:r>
              <w:rPr>
                <w:b/>
                <w:bCs/>
                <w:sz w:val="20"/>
                <w:szCs w:val="20"/>
              </w:rPr>
              <w:t>28 795,</w:t>
            </w:r>
            <w:r>
              <w:rPr>
                <w:b/>
                <w:bCs/>
                <w:sz w:val="20"/>
                <w:szCs w:val="20"/>
                <w:lang w:val="en-US"/>
              </w:rPr>
              <w:t>0</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color w:val="000000"/>
                <w:sz w:val="20"/>
                <w:szCs w:val="20"/>
              </w:rPr>
              <w:t>35,1%</w:t>
            </w:r>
          </w:p>
        </w:tc>
        <w:tc>
          <w:tcPr>
            <w:tcW w:w="992" w:type="dxa"/>
            <w:tcBorders>
              <w:top w:val="nil"/>
              <w:left w:val="single" w:sz="8" w:space="0" w:color="800000"/>
              <w:bottom w:val="nil"/>
              <w:right w:val="nil"/>
            </w:tcBorders>
            <w:shd w:val="clear" w:color="auto" w:fill="FFFFCC"/>
            <w:vAlign w:val="bottom"/>
            <w:hideMark/>
          </w:tcPr>
          <w:p w:rsidR="004E417F" w:rsidRDefault="004E417F">
            <w:pPr>
              <w:spacing w:before="100" w:beforeAutospacing="1" w:after="100" w:afterAutospacing="1"/>
              <w:jc w:val="right"/>
              <w:rPr>
                <w:b/>
                <w:bCs/>
                <w:sz w:val="20"/>
                <w:szCs w:val="20"/>
                <w:lang w:val="en-US"/>
              </w:rPr>
            </w:pPr>
            <w:r>
              <w:rPr>
                <w:b/>
                <w:bCs/>
                <w:sz w:val="20"/>
                <w:szCs w:val="20"/>
                <w:lang w:val="en-US"/>
              </w:rPr>
              <w:t>30</w:t>
            </w:r>
            <w:r>
              <w:rPr>
                <w:b/>
                <w:bCs/>
                <w:sz w:val="20"/>
                <w:szCs w:val="20"/>
              </w:rPr>
              <w:t> </w:t>
            </w:r>
            <w:r>
              <w:rPr>
                <w:b/>
                <w:bCs/>
                <w:sz w:val="20"/>
                <w:szCs w:val="20"/>
                <w:lang w:val="en-US"/>
              </w:rPr>
              <w:t>947</w:t>
            </w:r>
            <w:r>
              <w:rPr>
                <w:b/>
                <w:bCs/>
                <w:sz w:val="20"/>
                <w:szCs w:val="20"/>
              </w:rPr>
              <w:t>,</w:t>
            </w:r>
            <w:r>
              <w:rPr>
                <w:b/>
                <w:bCs/>
                <w:sz w:val="20"/>
                <w:szCs w:val="20"/>
                <w:lang w:val="en-US"/>
              </w:rPr>
              <w:t>3</w:t>
            </w:r>
          </w:p>
        </w:tc>
        <w:tc>
          <w:tcPr>
            <w:tcW w:w="851"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sz w:val="20"/>
                <w:szCs w:val="20"/>
              </w:rPr>
              <w:t>3</w:t>
            </w:r>
            <w:r>
              <w:rPr>
                <w:b/>
                <w:bCs/>
                <w:sz w:val="20"/>
                <w:szCs w:val="20"/>
                <w:lang w:val="en-US"/>
              </w:rPr>
              <w:t>7</w:t>
            </w:r>
            <w:r>
              <w:rPr>
                <w:b/>
                <w:bCs/>
                <w:sz w:val="20"/>
                <w:szCs w:val="20"/>
              </w:rPr>
              <w:t>,</w:t>
            </w:r>
            <w:r>
              <w:rPr>
                <w:b/>
                <w:bCs/>
                <w:sz w:val="20"/>
                <w:szCs w:val="20"/>
                <w:lang w:val="en-US"/>
              </w:rPr>
              <w:t>0</w:t>
            </w:r>
            <w:r>
              <w:rPr>
                <w:b/>
                <w:bCs/>
                <w:sz w:val="20"/>
                <w:szCs w:val="20"/>
              </w:rPr>
              <w:t>%</w:t>
            </w:r>
          </w:p>
        </w:tc>
        <w:tc>
          <w:tcPr>
            <w:tcW w:w="927" w:type="dxa"/>
            <w:tcBorders>
              <w:top w:val="nil"/>
              <w:left w:val="single" w:sz="8" w:space="0" w:color="800000"/>
              <w:bottom w:val="nil"/>
              <w:right w:val="nil"/>
            </w:tcBorders>
            <w:shd w:val="clear" w:color="auto" w:fill="FFFFCC"/>
            <w:vAlign w:val="bottom"/>
            <w:hideMark/>
          </w:tcPr>
          <w:p w:rsidR="004E417F" w:rsidRDefault="004E417F" w:rsidP="0076564D">
            <w:pPr>
              <w:jc w:val="right"/>
              <w:rPr>
                <w:b/>
                <w:bCs/>
                <w:sz w:val="20"/>
                <w:szCs w:val="20"/>
              </w:rPr>
            </w:pPr>
            <w:r>
              <w:rPr>
                <w:b/>
                <w:bCs/>
                <w:sz w:val="20"/>
                <w:szCs w:val="20"/>
              </w:rPr>
              <w:t>33 0</w:t>
            </w:r>
            <w:r w:rsidR="0076564D">
              <w:rPr>
                <w:b/>
                <w:bCs/>
                <w:sz w:val="20"/>
                <w:szCs w:val="20"/>
              </w:rPr>
              <w:t>40</w:t>
            </w:r>
            <w:r>
              <w:rPr>
                <w:b/>
                <w:bCs/>
                <w:sz w:val="20"/>
                <w:szCs w:val="20"/>
              </w:rPr>
              <w:t>,</w:t>
            </w:r>
            <w:r w:rsidR="0076564D">
              <w:rPr>
                <w:b/>
                <w:bCs/>
                <w:sz w:val="20"/>
                <w:szCs w:val="20"/>
              </w:rPr>
              <w:t>1</w:t>
            </w:r>
          </w:p>
        </w:tc>
        <w:tc>
          <w:tcPr>
            <w:tcW w:w="774" w:type="dxa"/>
            <w:tcBorders>
              <w:top w:val="nil"/>
              <w:left w:val="single" w:sz="8" w:space="0" w:color="800000"/>
              <w:bottom w:val="nil"/>
              <w:right w:val="double" w:sz="6" w:space="0" w:color="800000"/>
            </w:tcBorders>
            <w:shd w:val="clear" w:color="auto" w:fill="FFFFCC"/>
            <w:vAlign w:val="bottom"/>
            <w:hideMark/>
          </w:tcPr>
          <w:p w:rsidR="004E417F" w:rsidRDefault="004E417F">
            <w:pPr>
              <w:jc w:val="right"/>
              <w:rPr>
                <w:b/>
                <w:bCs/>
                <w:sz w:val="20"/>
                <w:szCs w:val="20"/>
              </w:rPr>
            </w:pPr>
            <w:r>
              <w:rPr>
                <w:b/>
                <w:bCs/>
                <w:sz w:val="20"/>
                <w:szCs w:val="20"/>
              </w:rPr>
              <w:t>38,3%</w:t>
            </w:r>
          </w:p>
        </w:tc>
      </w:tr>
      <w:tr w:rsidR="004E417F" w:rsidTr="004E417F">
        <w:trPr>
          <w:trHeight w:val="80"/>
          <w:jc w:val="center"/>
        </w:trPr>
        <w:tc>
          <w:tcPr>
            <w:tcW w:w="3254" w:type="dxa"/>
            <w:tcBorders>
              <w:top w:val="nil"/>
              <w:left w:val="double" w:sz="6" w:space="0" w:color="800000"/>
              <w:bottom w:val="nil"/>
              <w:right w:val="nil"/>
            </w:tcBorders>
            <w:shd w:val="clear" w:color="auto" w:fill="FFFFCC"/>
          </w:tcPr>
          <w:p w:rsidR="004E417F" w:rsidRDefault="004E417F">
            <w:pPr>
              <w:rPr>
                <w:b/>
                <w:bCs/>
                <w:sz w:val="4"/>
                <w:szCs w:val="4"/>
              </w:rPr>
            </w:pP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sz w:val="4"/>
                <w:szCs w:val="4"/>
              </w:rPr>
              <w:t> </w:t>
            </w:r>
          </w:p>
        </w:tc>
        <w:tc>
          <w:tcPr>
            <w:tcW w:w="897"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color w:val="000000"/>
                <w:sz w:val="4"/>
                <w:szCs w:val="4"/>
              </w:rPr>
              <w:t> </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sz w:val="4"/>
                <w:szCs w:val="4"/>
              </w:rPr>
              <w:t> </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color w:val="000000"/>
                <w:sz w:val="4"/>
                <w:szCs w:val="4"/>
              </w:rPr>
              <w:t> </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sz w:val="4"/>
                <w:szCs w:val="4"/>
              </w:rPr>
              <w:t> </w:t>
            </w:r>
          </w:p>
        </w:tc>
        <w:tc>
          <w:tcPr>
            <w:tcW w:w="851"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sz w:val="4"/>
                <w:szCs w:val="4"/>
              </w:rPr>
              <w:t> </w:t>
            </w:r>
          </w:p>
        </w:tc>
        <w:tc>
          <w:tcPr>
            <w:tcW w:w="927" w:type="dxa"/>
            <w:tcBorders>
              <w:top w:val="nil"/>
              <w:left w:val="single" w:sz="8" w:space="0" w:color="800000"/>
              <w:bottom w:val="nil"/>
              <w:right w:val="nil"/>
            </w:tcBorders>
            <w:shd w:val="clear" w:color="auto" w:fill="FFFFCC"/>
            <w:vAlign w:val="bottom"/>
            <w:hideMark/>
          </w:tcPr>
          <w:p w:rsidR="004E417F" w:rsidRDefault="004E417F">
            <w:pPr>
              <w:jc w:val="right"/>
              <w:rPr>
                <w:b/>
                <w:bCs/>
                <w:sz w:val="4"/>
                <w:szCs w:val="4"/>
              </w:rPr>
            </w:pPr>
            <w:r>
              <w:rPr>
                <w:b/>
                <w:bCs/>
                <w:sz w:val="4"/>
                <w:szCs w:val="4"/>
              </w:rPr>
              <w:t> </w:t>
            </w:r>
          </w:p>
        </w:tc>
        <w:tc>
          <w:tcPr>
            <w:tcW w:w="774" w:type="dxa"/>
            <w:tcBorders>
              <w:top w:val="nil"/>
              <w:left w:val="single" w:sz="8" w:space="0" w:color="800000"/>
              <w:bottom w:val="nil"/>
              <w:right w:val="double" w:sz="6" w:space="0" w:color="800000"/>
            </w:tcBorders>
            <w:shd w:val="clear" w:color="auto" w:fill="FFFFCC"/>
            <w:vAlign w:val="bottom"/>
            <w:hideMark/>
          </w:tcPr>
          <w:p w:rsidR="004E417F" w:rsidRDefault="004E417F">
            <w:pPr>
              <w:jc w:val="right"/>
              <w:rPr>
                <w:b/>
                <w:bCs/>
                <w:sz w:val="20"/>
                <w:szCs w:val="20"/>
              </w:rPr>
            </w:pPr>
            <w:r>
              <w:rPr>
                <w:b/>
                <w:bCs/>
                <w:sz w:val="20"/>
                <w:szCs w:val="20"/>
              </w:rPr>
              <w:t> </w:t>
            </w:r>
          </w:p>
        </w:tc>
      </w:tr>
      <w:tr w:rsidR="004E417F" w:rsidTr="004E417F">
        <w:trPr>
          <w:trHeight w:val="270"/>
          <w:jc w:val="center"/>
        </w:trPr>
        <w:tc>
          <w:tcPr>
            <w:tcW w:w="3254" w:type="dxa"/>
            <w:tcBorders>
              <w:top w:val="nil"/>
              <w:left w:val="double" w:sz="6" w:space="0" w:color="800000"/>
              <w:bottom w:val="nil"/>
              <w:right w:val="single" w:sz="8" w:space="0" w:color="800000"/>
            </w:tcBorders>
            <w:shd w:val="clear" w:color="auto" w:fill="FFFFCC"/>
            <w:hideMark/>
          </w:tcPr>
          <w:p w:rsidR="004E417F" w:rsidRDefault="004E417F">
            <w:pPr>
              <w:rPr>
                <w:b/>
                <w:bCs/>
                <w:i/>
                <w:iCs/>
                <w:sz w:val="20"/>
                <w:szCs w:val="20"/>
              </w:rPr>
            </w:pPr>
            <w:r>
              <w:rPr>
                <w:b/>
                <w:bCs/>
                <w:i/>
                <w:iCs/>
                <w:sz w:val="20"/>
                <w:szCs w:val="20"/>
              </w:rPr>
              <w:t>Текущи нелихвени разходи</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sz w:val="20"/>
                <w:szCs w:val="20"/>
              </w:rPr>
              <w:t>22 765,2</w:t>
            </w:r>
          </w:p>
        </w:tc>
        <w:tc>
          <w:tcPr>
            <w:tcW w:w="897"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b/>
                <w:bCs/>
                <w:sz w:val="20"/>
                <w:szCs w:val="20"/>
              </w:rPr>
            </w:pPr>
            <w:r>
              <w:rPr>
                <w:b/>
                <w:bCs/>
                <w:color w:val="000000"/>
                <w:sz w:val="20"/>
                <w:szCs w:val="20"/>
              </w:rPr>
              <w:t>27,9%</w:t>
            </w:r>
          </w:p>
        </w:tc>
        <w:tc>
          <w:tcPr>
            <w:tcW w:w="992" w:type="dxa"/>
            <w:shd w:val="clear" w:color="auto" w:fill="FFFFCC"/>
            <w:vAlign w:val="bottom"/>
            <w:hideMark/>
          </w:tcPr>
          <w:p w:rsidR="004E417F" w:rsidRDefault="004E417F">
            <w:pPr>
              <w:spacing w:before="100" w:beforeAutospacing="1" w:after="100" w:afterAutospacing="1"/>
              <w:jc w:val="right"/>
              <w:rPr>
                <w:b/>
                <w:bCs/>
                <w:sz w:val="20"/>
                <w:szCs w:val="20"/>
                <w:lang w:val="en-US"/>
              </w:rPr>
            </w:pPr>
            <w:r>
              <w:rPr>
                <w:b/>
                <w:bCs/>
                <w:sz w:val="20"/>
                <w:szCs w:val="20"/>
              </w:rPr>
              <w:t>24 68</w:t>
            </w:r>
            <w:r>
              <w:rPr>
                <w:b/>
                <w:bCs/>
                <w:sz w:val="20"/>
                <w:szCs w:val="20"/>
                <w:lang w:val="en-US"/>
              </w:rPr>
              <w:t>1</w:t>
            </w:r>
            <w:r>
              <w:rPr>
                <w:b/>
                <w:bCs/>
                <w:sz w:val="20"/>
                <w:szCs w:val="20"/>
              </w:rPr>
              <w:t>,</w:t>
            </w:r>
            <w:r>
              <w:rPr>
                <w:b/>
                <w:bCs/>
                <w:sz w:val="20"/>
                <w:szCs w:val="20"/>
                <w:lang w:val="en-US"/>
              </w:rPr>
              <w:t>9</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color w:val="000000"/>
                <w:sz w:val="20"/>
                <w:szCs w:val="20"/>
              </w:rPr>
              <w:t>30,1%</w:t>
            </w:r>
          </w:p>
        </w:tc>
        <w:tc>
          <w:tcPr>
            <w:tcW w:w="992" w:type="dxa"/>
            <w:tcBorders>
              <w:top w:val="nil"/>
              <w:left w:val="single" w:sz="8" w:space="0" w:color="800000"/>
              <w:bottom w:val="nil"/>
              <w:right w:val="nil"/>
            </w:tcBorders>
            <w:shd w:val="clear" w:color="auto" w:fill="FFFFCC"/>
            <w:vAlign w:val="bottom"/>
            <w:hideMark/>
          </w:tcPr>
          <w:p w:rsidR="004E417F" w:rsidRDefault="004E417F">
            <w:pPr>
              <w:spacing w:before="100" w:beforeAutospacing="1" w:after="100" w:afterAutospacing="1"/>
              <w:jc w:val="right"/>
              <w:rPr>
                <w:b/>
                <w:bCs/>
                <w:sz w:val="20"/>
                <w:szCs w:val="20"/>
                <w:lang w:val="en-US"/>
              </w:rPr>
            </w:pPr>
            <w:r>
              <w:rPr>
                <w:b/>
                <w:bCs/>
                <w:sz w:val="20"/>
                <w:szCs w:val="20"/>
              </w:rPr>
              <w:t>2</w:t>
            </w:r>
            <w:r>
              <w:rPr>
                <w:b/>
                <w:bCs/>
                <w:sz w:val="20"/>
                <w:szCs w:val="20"/>
                <w:lang w:val="en-US"/>
              </w:rPr>
              <w:t>6</w:t>
            </w:r>
            <w:r>
              <w:rPr>
                <w:b/>
                <w:bCs/>
                <w:sz w:val="20"/>
                <w:szCs w:val="20"/>
              </w:rPr>
              <w:t> </w:t>
            </w:r>
            <w:r>
              <w:rPr>
                <w:b/>
                <w:bCs/>
                <w:sz w:val="20"/>
                <w:szCs w:val="20"/>
                <w:lang w:val="en-US"/>
              </w:rPr>
              <w:t>005</w:t>
            </w:r>
            <w:r>
              <w:rPr>
                <w:b/>
                <w:bCs/>
                <w:sz w:val="20"/>
                <w:szCs w:val="20"/>
              </w:rPr>
              <w:t>,</w:t>
            </w:r>
            <w:r>
              <w:rPr>
                <w:b/>
                <w:bCs/>
                <w:sz w:val="20"/>
                <w:szCs w:val="20"/>
                <w:lang w:val="en-US"/>
              </w:rPr>
              <w:t>3</w:t>
            </w:r>
          </w:p>
        </w:tc>
        <w:tc>
          <w:tcPr>
            <w:tcW w:w="851"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sz w:val="20"/>
                <w:szCs w:val="20"/>
              </w:rPr>
              <w:t>31,</w:t>
            </w:r>
            <w:r>
              <w:rPr>
                <w:b/>
                <w:bCs/>
                <w:sz w:val="20"/>
                <w:szCs w:val="20"/>
                <w:lang w:val="en-US"/>
              </w:rPr>
              <w:t>1</w:t>
            </w:r>
            <w:r>
              <w:rPr>
                <w:b/>
                <w:bCs/>
                <w:sz w:val="20"/>
                <w:szCs w:val="20"/>
              </w:rPr>
              <w:t>%</w:t>
            </w:r>
          </w:p>
        </w:tc>
        <w:tc>
          <w:tcPr>
            <w:tcW w:w="927" w:type="dxa"/>
            <w:tcBorders>
              <w:top w:val="nil"/>
              <w:left w:val="single" w:sz="8" w:space="0" w:color="800000"/>
              <w:bottom w:val="nil"/>
              <w:right w:val="single" w:sz="8" w:space="0" w:color="800000"/>
            </w:tcBorders>
            <w:shd w:val="clear" w:color="auto" w:fill="FFFFCC"/>
            <w:vAlign w:val="bottom"/>
            <w:hideMark/>
          </w:tcPr>
          <w:p w:rsidR="004E417F" w:rsidRDefault="004E417F" w:rsidP="0076564D">
            <w:pPr>
              <w:jc w:val="right"/>
              <w:rPr>
                <w:b/>
                <w:bCs/>
                <w:sz w:val="20"/>
                <w:szCs w:val="20"/>
              </w:rPr>
            </w:pPr>
            <w:r>
              <w:rPr>
                <w:b/>
                <w:bCs/>
                <w:sz w:val="20"/>
                <w:szCs w:val="20"/>
              </w:rPr>
              <w:t>26 140,</w:t>
            </w:r>
            <w:r w:rsidR="0076564D">
              <w:rPr>
                <w:b/>
                <w:bCs/>
                <w:sz w:val="20"/>
                <w:szCs w:val="20"/>
              </w:rPr>
              <w:t>3</w:t>
            </w:r>
          </w:p>
        </w:tc>
        <w:tc>
          <w:tcPr>
            <w:tcW w:w="774" w:type="dxa"/>
            <w:tcBorders>
              <w:top w:val="nil"/>
              <w:left w:val="nil"/>
              <w:bottom w:val="nil"/>
              <w:right w:val="double" w:sz="6" w:space="0" w:color="800000"/>
            </w:tcBorders>
            <w:shd w:val="clear" w:color="auto" w:fill="FFFFCC"/>
            <w:vAlign w:val="bottom"/>
            <w:hideMark/>
          </w:tcPr>
          <w:p w:rsidR="004E417F" w:rsidRDefault="004E417F">
            <w:pPr>
              <w:jc w:val="right"/>
              <w:rPr>
                <w:b/>
                <w:bCs/>
                <w:sz w:val="20"/>
                <w:szCs w:val="20"/>
              </w:rPr>
            </w:pPr>
            <w:r>
              <w:rPr>
                <w:b/>
                <w:bCs/>
                <w:sz w:val="20"/>
                <w:szCs w:val="20"/>
              </w:rPr>
              <w:t>30,3%</w:t>
            </w:r>
          </w:p>
        </w:tc>
      </w:tr>
      <w:tr w:rsidR="004E417F" w:rsidTr="004E417F">
        <w:trPr>
          <w:trHeight w:val="255"/>
          <w:jc w:val="center"/>
        </w:trPr>
        <w:tc>
          <w:tcPr>
            <w:tcW w:w="3254" w:type="dxa"/>
            <w:tcBorders>
              <w:top w:val="nil"/>
              <w:left w:val="double" w:sz="6" w:space="0" w:color="800000"/>
              <w:bottom w:val="nil"/>
              <w:right w:val="nil"/>
            </w:tcBorders>
            <w:shd w:val="clear" w:color="auto" w:fill="FFFFCC"/>
            <w:hideMark/>
          </w:tcPr>
          <w:p w:rsidR="004E417F" w:rsidRDefault="004E417F">
            <w:pPr>
              <w:ind w:right="-304"/>
              <w:rPr>
                <w:sz w:val="20"/>
                <w:szCs w:val="20"/>
              </w:rPr>
            </w:pPr>
            <w:r>
              <w:rPr>
                <w:sz w:val="20"/>
                <w:szCs w:val="20"/>
              </w:rPr>
              <w:t xml:space="preserve">Заплати и възнаграждения за персонал </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4 140,1</w:t>
            </w:r>
          </w:p>
        </w:tc>
        <w:tc>
          <w:tcPr>
            <w:tcW w:w="897"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color w:val="000000"/>
                <w:sz w:val="20"/>
                <w:szCs w:val="20"/>
              </w:rPr>
              <w:t>5,1%</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4 453,7</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color w:val="000000"/>
                <w:sz w:val="20"/>
                <w:szCs w:val="20"/>
              </w:rPr>
              <w:t>5,4%</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lang w:val="en-US"/>
              </w:rPr>
            </w:pPr>
            <w:r>
              <w:rPr>
                <w:sz w:val="20"/>
                <w:szCs w:val="20"/>
              </w:rPr>
              <w:t xml:space="preserve">4 </w:t>
            </w:r>
            <w:r>
              <w:rPr>
                <w:sz w:val="20"/>
                <w:szCs w:val="20"/>
                <w:lang w:val="en-US"/>
              </w:rPr>
              <w:t>606</w:t>
            </w:r>
            <w:r>
              <w:rPr>
                <w:sz w:val="20"/>
                <w:szCs w:val="20"/>
              </w:rPr>
              <w:t>,</w:t>
            </w:r>
            <w:r>
              <w:rPr>
                <w:sz w:val="20"/>
                <w:szCs w:val="20"/>
                <w:lang w:val="en-US"/>
              </w:rPr>
              <w:t>6</w:t>
            </w:r>
          </w:p>
        </w:tc>
        <w:tc>
          <w:tcPr>
            <w:tcW w:w="851"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5,</w:t>
            </w:r>
            <w:r>
              <w:rPr>
                <w:sz w:val="20"/>
                <w:szCs w:val="20"/>
                <w:lang w:val="en-US"/>
              </w:rPr>
              <w:t>5</w:t>
            </w:r>
            <w:r>
              <w:rPr>
                <w:sz w:val="20"/>
                <w:szCs w:val="20"/>
              </w:rPr>
              <w:t>%</w:t>
            </w:r>
          </w:p>
        </w:tc>
        <w:tc>
          <w:tcPr>
            <w:tcW w:w="927" w:type="dxa"/>
            <w:tcBorders>
              <w:top w:val="nil"/>
              <w:left w:val="single" w:sz="8" w:space="0" w:color="800000"/>
              <w:bottom w:val="nil"/>
              <w:right w:val="nil"/>
            </w:tcBorders>
            <w:shd w:val="clear" w:color="auto" w:fill="FFFFCC"/>
            <w:vAlign w:val="bottom"/>
            <w:hideMark/>
          </w:tcPr>
          <w:p w:rsidR="004E417F" w:rsidRDefault="004E417F">
            <w:pPr>
              <w:jc w:val="right"/>
              <w:rPr>
                <w:sz w:val="18"/>
                <w:szCs w:val="18"/>
              </w:rPr>
            </w:pPr>
            <w:r>
              <w:rPr>
                <w:sz w:val="18"/>
                <w:szCs w:val="18"/>
              </w:rPr>
              <w:t>4 664,1</w:t>
            </w:r>
          </w:p>
        </w:tc>
        <w:tc>
          <w:tcPr>
            <w:tcW w:w="774" w:type="dxa"/>
            <w:tcBorders>
              <w:top w:val="nil"/>
              <w:left w:val="single" w:sz="8" w:space="0" w:color="800000"/>
              <w:bottom w:val="nil"/>
              <w:right w:val="double" w:sz="6" w:space="0" w:color="800000"/>
            </w:tcBorders>
            <w:shd w:val="clear" w:color="auto" w:fill="FFFFCC"/>
            <w:vAlign w:val="bottom"/>
            <w:hideMark/>
          </w:tcPr>
          <w:p w:rsidR="004E417F" w:rsidRPr="00380D66" w:rsidRDefault="004E417F">
            <w:pPr>
              <w:jc w:val="right"/>
              <w:rPr>
                <w:bCs/>
                <w:sz w:val="20"/>
                <w:szCs w:val="20"/>
              </w:rPr>
            </w:pPr>
            <w:r w:rsidRPr="00380D66">
              <w:rPr>
                <w:bCs/>
                <w:sz w:val="20"/>
                <w:szCs w:val="20"/>
              </w:rPr>
              <w:t>5,4%</w:t>
            </w:r>
          </w:p>
        </w:tc>
      </w:tr>
      <w:tr w:rsidR="004E417F" w:rsidTr="004E417F">
        <w:trPr>
          <w:trHeight w:val="255"/>
          <w:jc w:val="center"/>
        </w:trPr>
        <w:tc>
          <w:tcPr>
            <w:tcW w:w="3254" w:type="dxa"/>
            <w:tcBorders>
              <w:top w:val="nil"/>
              <w:left w:val="double" w:sz="6" w:space="0" w:color="800000"/>
              <w:bottom w:val="nil"/>
              <w:right w:val="nil"/>
            </w:tcBorders>
            <w:shd w:val="clear" w:color="auto" w:fill="FFFFCC"/>
            <w:hideMark/>
          </w:tcPr>
          <w:p w:rsidR="004E417F" w:rsidRDefault="004E417F">
            <w:pPr>
              <w:rPr>
                <w:b/>
                <w:bCs/>
                <w:sz w:val="20"/>
                <w:szCs w:val="20"/>
              </w:rPr>
            </w:pPr>
            <w:r>
              <w:rPr>
                <w:sz w:val="20"/>
                <w:szCs w:val="20"/>
              </w:rPr>
              <w:t>Осигурителни вноски</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 xml:space="preserve"> 1 067,5</w:t>
            </w:r>
          </w:p>
        </w:tc>
        <w:tc>
          <w:tcPr>
            <w:tcW w:w="897"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color w:val="000000"/>
                <w:sz w:val="20"/>
                <w:szCs w:val="20"/>
              </w:rPr>
              <w:t>1,3%</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 xml:space="preserve"> 1 369,2</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color w:val="000000"/>
                <w:sz w:val="20"/>
                <w:szCs w:val="20"/>
              </w:rPr>
              <w:t>1,7%</w:t>
            </w:r>
          </w:p>
        </w:tc>
        <w:tc>
          <w:tcPr>
            <w:tcW w:w="992"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sz w:val="20"/>
                <w:szCs w:val="20"/>
                <w:lang w:val="en-US"/>
              </w:rPr>
            </w:pPr>
            <w:r>
              <w:rPr>
                <w:sz w:val="20"/>
                <w:szCs w:val="20"/>
              </w:rPr>
              <w:t xml:space="preserve"> 1 </w:t>
            </w:r>
            <w:r>
              <w:rPr>
                <w:sz w:val="20"/>
                <w:szCs w:val="20"/>
                <w:lang w:val="en-US"/>
              </w:rPr>
              <w:t>413</w:t>
            </w:r>
            <w:r>
              <w:rPr>
                <w:sz w:val="20"/>
                <w:szCs w:val="20"/>
              </w:rPr>
              <w:t>,</w:t>
            </w:r>
            <w:r>
              <w:rPr>
                <w:sz w:val="20"/>
                <w:szCs w:val="20"/>
                <w:lang w:val="en-US"/>
              </w:rPr>
              <w:t>0</w:t>
            </w:r>
          </w:p>
        </w:tc>
        <w:tc>
          <w:tcPr>
            <w:tcW w:w="851" w:type="dxa"/>
            <w:shd w:val="clear" w:color="auto" w:fill="FFFFCC"/>
            <w:vAlign w:val="bottom"/>
            <w:hideMark/>
          </w:tcPr>
          <w:p w:rsidR="004E417F" w:rsidRDefault="004E417F">
            <w:pPr>
              <w:jc w:val="right"/>
              <w:rPr>
                <w:sz w:val="20"/>
                <w:szCs w:val="20"/>
              </w:rPr>
            </w:pPr>
            <w:r>
              <w:rPr>
                <w:sz w:val="20"/>
                <w:szCs w:val="20"/>
              </w:rPr>
              <w:t>1,</w:t>
            </w:r>
            <w:r>
              <w:rPr>
                <w:sz w:val="20"/>
                <w:szCs w:val="20"/>
                <w:lang w:val="en-US"/>
              </w:rPr>
              <w:t>7</w:t>
            </w:r>
            <w:r>
              <w:rPr>
                <w:sz w:val="20"/>
                <w:szCs w:val="20"/>
              </w:rPr>
              <w:t>%</w:t>
            </w:r>
          </w:p>
        </w:tc>
        <w:tc>
          <w:tcPr>
            <w:tcW w:w="927" w:type="dxa"/>
            <w:tcBorders>
              <w:top w:val="nil"/>
              <w:left w:val="single" w:sz="8" w:space="0" w:color="800000"/>
              <w:bottom w:val="nil"/>
              <w:right w:val="nil"/>
            </w:tcBorders>
            <w:shd w:val="clear" w:color="auto" w:fill="FFFFCC"/>
            <w:vAlign w:val="bottom"/>
            <w:hideMark/>
          </w:tcPr>
          <w:p w:rsidR="004E417F" w:rsidRDefault="004E417F">
            <w:pPr>
              <w:jc w:val="right"/>
              <w:rPr>
                <w:sz w:val="18"/>
                <w:szCs w:val="18"/>
              </w:rPr>
            </w:pPr>
            <w:r>
              <w:rPr>
                <w:sz w:val="18"/>
                <w:szCs w:val="18"/>
              </w:rPr>
              <w:t>1 419,0</w:t>
            </w:r>
          </w:p>
        </w:tc>
        <w:tc>
          <w:tcPr>
            <w:tcW w:w="774" w:type="dxa"/>
            <w:tcBorders>
              <w:top w:val="nil"/>
              <w:left w:val="single" w:sz="8" w:space="0" w:color="800000"/>
              <w:bottom w:val="nil"/>
              <w:right w:val="double" w:sz="6" w:space="0" w:color="800000"/>
            </w:tcBorders>
            <w:shd w:val="clear" w:color="auto" w:fill="FFFFCC"/>
            <w:vAlign w:val="bottom"/>
            <w:hideMark/>
          </w:tcPr>
          <w:p w:rsidR="004E417F" w:rsidRPr="00380D66" w:rsidRDefault="004E417F">
            <w:pPr>
              <w:jc w:val="right"/>
              <w:rPr>
                <w:bCs/>
                <w:sz w:val="20"/>
                <w:szCs w:val="20"/>
              </w:rPr>
            </w:pPr>
            <w:r w:rsidRPr="00380D66">
              <w:rPr>
                <w:bCs/>
                <w:sz w:val="20"/>
                <w:szCs w:val="20"/>
              </w:rPr>
              <w:t>1,6%</w:t>
            </w:r>
          </w:p>
        </w:tc>
      </w:tr>
      <w:tr w:rsidR="004E417F" w:rsidTr="004E417F">
        <w:trPr>
          <w:trHeight w:val="255"/>
          <w:jc w:val="center"/>
        </w:trPr>
        <w:tc>
          <w:tcPr>
            <w:tcW w:w="3254" w:type="dxa"/>
            <w:tcBorders>
              <w:top w:val="nil"/>
              <w:left w:val="double" w:sz="6" w:space="0" w:color="800000"/>
              <w:bottom w:val="nil"/>
              <w:right w:val="nil"/>
            </w:tcBorders>
            <w:shd w:val="clear" w:color="auto" w:fill="FFFFCC"/>
            <w:hideMark/>
          </w:tcPr>
          <w:p w:rsidR="004E417F" w:rsidRDefault="004E417F">
            <w:pPr>
              <w:rPr>
                <w:sz w:val="20"/>
                <w:szCs w:val="20"/>
              </w:rPr>
            </w:pPr>
            <w:r>
              <w:rPr>
                <w:sz w:val="20"/>
                <w:szCs w:val="20"/>
              </w:rPr>
              <w:t>Стипендии</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99,0</w:t>
            </w:r>
          </w:p>
        </w:tc>
        <w:tc>
          <w:tcPr>
            <w:tcW w:w="897"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color w:val="000000"/>
                <w:sz w:val="20"/>
                <w:szCs w:val="20"/>
              </w:rPr>
              <w:t>0,1%</w:t>
            </w:r>
          </w:p>
        </w:tc>
        <w:tc>
          <w:tcPr>
            <w:tcW w:w="992"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sz w:val="20"/>
                <w:szCs w:val="20"/>
              </w:rPr>
            </w:pPr>
            <w:r>
              <w:rPr>
                <w:sz w:val="20"/>
                <w:szCs w:val="20"/>
              </w:rPr>
              <w:t>106,2</w:t>
            </w:r>
          </w:p>
        </w:tc>
        <w:tc>
          <w:tcPr>
            <w:tcW w:w="992" w:type="dxa"/>
            <w:shd w:val="clear" w:color="auto" w:fill="FFFFCC"/>
            <w:vAlign w:val="bottom"/>
            <w:hideMark/>
          </w:tcPr>
          <w:p w:rsidR="004E417F" w:rsidRDefault="004E417F">
            <w:pPr>
              <w:jc w:val="right"/>
              <w:rPr>
                <w:sz w:val="20"/>
                <w:szCs w:val="20"/>
              </w:rPr>
            </w:pPr>
            <w:r>
              <w:rPr>
                <w:color w:val="000000"/>
                <w:sz w:val="20"/>
                <w:szCs w:val="20"/>
              </w:rPr>
              <w:t>0,1%</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lang w:val="en-US"/>
              </w:rPr>
            </w:pPr>
            <w:r>
              <w:rPr>
                <w:sz w:val="20"/>
                <w:szCs w:val="20"/>
              </w:rPr>
              <w:t>1</w:t>
            </w:r>
            <w:r>
              <w:rPr>
                <w:sz w:val="20"/>
                <w:szCs w:val="20"/>
                <w:lang w:val="en-US"/>
              </w:rPr>
              <w:t>25</w:t>
            </w:r>
            <w:r>
              <w:rPr>
                <w:sz w:val="20"/>
                <w:szCs w:val="20"/>
              </w:rPr>
              <w:t>,</w:t>
            </w:r>
            <w:r>
              <w:rPr>
                <w:sz w:val="20"/>
                <w:szCs w:val="20"/>
                <w:lang w:val="en-US"/>
              </w:rPr>
              <w:t>5</w:t>
            </w:r>
          </w:p>
        </w:tc>
        <w:tc>
          <w:tcPr>
            <w:tcW w:w="851"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0,</w:t>
            </w:r>
            <w:r>
              <w:rPr>
                <w:sz w:val="20"/>
                <w:szCs w:val="20"/>
                <w:lang w:val="en-US"/>
              </w:rPr>
              <w:t>2</w:t>
            </w:r>
            <w:r>
              <w:rPr>
                <w:sz w:val="20"/>
                <w:szCs w:val="20"/>
              </w:rPr>
              <w:t>%</w:t>
            </w:r>
          </w:p>
        </w:tc>
        <w:tc>
          <w:tcPr>
            <w:tcW w:w="927" w:type="dxa"/>
            <w:tcBorders>
              <w:top w:val="nil"/>
              <w:left w:val="single" w:sz="8" w:space="0" w:color="800000"/>
              <w:bottom w:val="nil"/>
              <w:right w:val="nil"/>
            </w:tcBorders>
            <w:shd w:val="clear" w:color="auto" w:fill="FFFFCC"/>
            <w:vAlign w:val="bottom"/>
            <w:hideMark/>
          </w:tcPr>
          <w:p w:rsidR="004E417F" w:rsidRDefault="004E417F">
            <w:pPr>
              <w:jc w:val="right"/>
              <w:rPr>
                <w:sz w:val="18"/>
                <w:szCs w:val="18"/>
              </w:rPr>
            </w:pPr>
            <w:r>
              <w:rPr>
                <w:sz w:val="18"/>
                <w:szCs w:val="18"/>
              </w:rPr>
              <w:t>96,2</w:t>
            </w:r>
          </w:p>
        </w:tc>
        <w:tc>
          <w:tcPr>
            <w:tcW w:w="774" w:type="dxa"/>
            <w:tcBorders>
              <w:top w:val="nil"/>
              <w:left w:val="single" w:sz="8" w:space="0" w:color="800000"/>
              <w:bottom w:val="nil"/>
              <w:right w:val="double" w:sz="6" w:space="0" w:color="800000"/>
            </w:tcBorders>
            <w:shd w:val="clear" w:color="auto" w:fill="FFFFCC"/>
            <w:vAlign w:val="bottom"/>
            <w:hideMark/>
          </w:tcPr>
          <w:p w:rsidR="004E417F" w:rsidRPr="00380D66" w:rsidRDefault="004E417F">
            <w:pPr>
              <w:jc w:val="right"/>
              <w:rPr>
                <w:bCs/>
                <w:sz w:val="20"/>
                <w:szCs w:val="20"/>
              </w:rPr>
            </w:pPr>
            <w:r w:rsidRPr="00380D66">
              <w:rPr>
                <w:bCs/>
                <w:sz w:val="20"/>
                <w:szCs w:val="20"/>
              </w:rPr>
              <w:t>0,1%</w:t>
            </w:r>
          </w:p>
        </w:tc>
      </w:tr>
      <w:tr w:rsidR="004E417F" w:rsidTr="004E417F">
        <w:trPr>
          <w:trHeight w:val="157"/>
          <w:jc w:val="center"/>
        </w:trPr>
        <w:tc>
          <w:tcPr>
            <w:tcW w:w="3254" w:type="dxa"/>
            <w:tcBorders>
              <w:top w:val="nil"/>
              <w:left w:val="double" w:sz="6" w:space="0" w:color="800000"/>
              <w:bottom w:val="nil"/>
              <w:right w:val="nil"/>
            </w:tcBorders>
            <w:shd w:val="clear" w:color="auto" w:fill="FFFFCC"/>
            <w:vAlign w:val="bottom"/>
            <w:hideMark/>
          </w:tcPr>
          <w:p w:rsidR="004E417F" w:rsidRDefault="004E417F">
            <w:r>
              <w:rPr>
                <w:sz w:val="20"/>
                <w:szCs w:val="20"/>
              </w:rPr>
              <w:t xml:space="preserve">Издръжка* </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lang w:val="en-US"/>
              </w:rPr>
            </w:pPr>
            <w:r>
              <w:rPr>
                <w:sz w:val="20"/>
                <w:szCs w:val="20"/>
              </w:rPr>
              <w:t xml:space="preserve">4 </w:t>
            </w:r>
            <w:r>
              <w:rPr>
                <w:sz w:val="20"/>
                <w:szCs w:val="20"/>
                <w:lang w:val="en-US"/>
              </w:rPr>
              <w:t>4</w:t>
            </w:r>
            <w:r>
              <w:rPr>
                <w:sz w:val="20"/>
                <w:szCs w:val="20"/>
              </w:rPr>
              <w:t>81,6</w:t>
            </w:r>
          </w:p>
        </w:tc>
        <w:tc>
          <w:tcPr>
            <w:tcW w:w="897"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color w:val="000000"/>
                <w:sz w:val="20"/>
                <w:szCs w:val="20"/>
              </w:rPr>
              <w:t>5,5%</w:t>
            </w:r>
          </w:p>
        </w:tc>
        <w:tc>
          <w:tcPr>
            <w:tcW w:w="992" w:type="dxa"/>
            <w:tcBorders>
              <w:top w:val="nil"/>
              <w:left w:val="single" w:sz="8" w:space="0" w:color="800000"/>
              <w:bottom w:val="nil"/>
              <w:right w:val="single" w:sz="8" w:space="0" w:color="800000"/>
            </w:tcBorders>
            <w:shd w:val="clear" w:color="auto" w:fill="FFFFCC"/>
            <w:vAlign w:val="bottom"/>
            <w:hideMark/>
          </w:tcPr>
          <w:p w:rsidR="004E417F" w:rsidRDefault="004E417F">
            <w:pPr>
              <w:spacing w:before="100" w:beforeAutospacing="1" w:after="100" w:afterAutospacing="1"/>
              <w:jc w:val="right"/>
              <w:rPr>
                <w:sz w:val="20"/>
                <w:szCs w:val="20"/>
                <w:lang w:val="en-US"/>
              </w:rPr>
            </w:pPr>
            <w:r>
              <w:rPr>
                <w:sz w:val="20"/>
                <w:szCs w:val="20"/>
              </w:rPr>
              <w:t>4 69</w:t>
            </w:r>
            <w:r>
              <w:rPr>
                <w:sz w:val="20"/>
                <w:szCs w:val="20"/>
                <w:lang w:val="en-US"/>
              </w:rPr>
              <w:t>5</w:t>
            </w:r>
            <w:r>
              <w:rPr>
                <w:sz w:val="20"/>
                <w:szCs w:val="20"/>
              </w:rPr>
              <w:t>,</w:t>
            </w:r>
            <w:r>
              <w:rPr>
                <w:sz w:val="20"/>
                <w:szCs w:val="20"/>
                <w:lang w:val="en-US"/>
              </w:rPr>
              <w:t>9</w:t>
            </w:r>
          </w:p>
        </w:tc>
        <w:tc>
          <w:tcPr>
            <w:tcW w:w="992" w:type="dxa"/>
            <w:tcBorders>
              <w:top w:val="nil"/>
              <w:left w:val="nil"/>
              <w:bottom w:val="nil"/>
              <w:right w:val="single" w:sz="8" w:space="0" w:color="800000"/>
            </w:tcBorders>
            <w:shd w:val="clear" w:color="auto" w:fill="FFFFCC"/>
            <w:vAlign w:val="bottom"/>
            <w:hideMark/>
          </w:tcPr>
          <w:p w:rsidR="004E417F" w:rsidRDefault="004E417F">
            <w:pPr>
              <w:jc w:val="right"/>
              <w:rPr>
                <w:sz w:val="20"/>
                <w:szCs w:val="20"/>
              </w:rPr>
            </w:pPr>
            <w:r>
              <w:rPr>
                <w:color w:val="000000"/>
                <w:sz w:val="20"/>
                <w:szCs w:val="20"/>
              </w:rPr>
              <w:t>5,7%</w:t>
            </w:r>
          </w:p>
        </w:tc>
        <w:tc>
          <w:tcPr>
            <w:tcW w:w="992" w:type="dxa"/>
            <w:tcBorders>
              <w:top w:val="nil"/>
              <w:left w:val="nil"/>
              <w:bottom w:val="nil"/>
              <w:right w:val="single" w:sz="8" w:space="0" w:color="800000"/>
            </w:tcBorders>
            <w:shd w:val="clear" w:color="auto" w:fill="FFFFCC"/>
            <w:vAlign w:val="bottom"/>
            <w:hideMark/>
          </w:tcPr>
          <w:p w:rsidR="004E417F" w:rsidRDefault="004E417F">
            <w:pPr>
              <w:spacing w:before="100" w:beforeAutospacing="1" w:after="100" w:afterAutospacing="1"/>
              <w:jc w:val="right"/>
              <w:rPr>
                <w:sz w:val="20"/>
                <w:szCs w:val="20"/>
                <w:lang w:val="en-US"/>
              </w:rPr>
            </w:pPr>
            <w:r>
              <w:rPr>
                <w:sz w:val="20"/>
                <w:szCs w:val="20"/>
              </w:rPr>
              <w:t>4 </w:t>
            </w:r>
            <w:r>
              <w:rPr>
                <w:sz w:val="20"/>
                <w:szCs w:val="20"/>
                <w:lang w:val="en-US"/>
              </w:rPr>
              <w:t>725</w:t>
            </w:r>
            <w:r>
              <w:rPr>
                <w:sz w:val="20"/>
                <w:szCs w:val="20"/>
              </w:rPr>
              <w:t>,</w:t>
            </w:r>
            <w:r>
              <w:rPr>
                <w:sz w:val="20"/>
                <w:szCs w:val="20"/>
                <w:lang w:val="en-US"/>
              </w:rPr>
              <w:t>5</w:t>
            </w:r>
          </w:p>
        </w:tc>
        <w:tc>
          <w:tcPr>
            <w:tcW w:w="851" w:type="dxa"/>
            <w:shd w:val="clear" w:color="auto" w:fill="FFFFCC"/>
            <w:vAlign w:val="bottom"/>
            <w:hideMark/>
          </w:tcPr>
          <w:p w:rsidR="004E417F" w:rsidRDefault="004E417F">
            <w:pPr>
              <w:jc w:val="right"/>
              <w:rPr>
                <w:sz w:val="20"/>
                <w:szCs w:val="20"/>
              </w:rPr>
            </w:pPr>
            <w:r>
              <w:rPr>
                <w:sz w:val="20"/>
                <w:szCs w:val="20"/>
                <w:lang w:val="en-US"/>
              </w:rPr>
              <w:t>5</w:t>
            </w:r>
            <w:r>
              <w:rPr>
                <w:sz w:val="20"/>
                <w:szCs w:val="20"/>
              </w:rPr>
              <w:t>,</w:t>
            </w:r>
            <w:r>
              <w:rPr>
                <w:sz w:val="20"/>
                <w:szCs w:val="20"/>
                <w:lang w:val="en-US"/>
              </w:rPr>
              <w:t>7</w:t>
            </w:r>
            <w:r>
              <w:rPr>
                <w:sz w:val="20"/>
                <w:szCs w:val="20"/>
              </w:rPr>
              <w:t>%</w:t>
            </w:r>
          </w:p>
        </w:tc>
        <w:tc>
          <w:tcPr>
            <w:tcW w:w="927" w:type="dxa"/>
            <w:tcBorders>
              <w:top w:val="nil"/>
              <w:left w:val="single" w:sz="8" w:space="0" w:color="800000"/>
              <w:bottom w:val="nil"/>
              <w:right w:val="nil"/>
            </w:tcBorders>
            <w:shd w:val="clear" w:color="auto" w:fill="FFFFCC"/>
            <w:vAlign w:val="bottom"/>
            <w:hideMark/>
          </w:tcPr>
          <w:p w:rsidR="004E417F" w:rsidRDefault="004E417F" w:rsidP="0076564D">
            <w:pPr>
              <w:jc w:val="right"/>
              <w:rPr>
                <w:sz w:val="18"/>
                <w:szCs w:val="18"/>
              </w:rPr>
            </w:pPr>
            <w:r>
              <w:rPr>
                <w:sz w:val="18"/>
                <w:szCs w:val="18"/>
              </w:rPr>
              <w:t>4 465,</w:t>
            </w:r>
            <w:r w:rsidR="0076564D">
              <w:rPr>
                <w:sz w:val="18"/>
                <w:szCs w:val="18"/>
              </w:rPr>
              <w:t>6</w:t>
            </w:r>
          </w:p>
        </w:tc>
        <w:tc>
          <w:tcPr>
            <w:tcW w:w="774" w:type="dxa"/>
            <w:tcBorders>
              <w:top w:val="nil"/>
              <w:left w:val="single" w:sz="8" w:space="0" w:color="800000"/>
              <w:bottom w:val="nil"/>
              <w:right w:val="double" w:sz="6" w:space="0" w:color="800000"/>
            </w:tcBorders>
            <w:shd w:val="clear" w:color="auto" w:fill="FFFFCC"/>
            <w:vAlign w:val="bottom"/>
            <w:hideMark/>
          </w:tcPr>
          <w:p w:rsidR="004E417F" w:rsidRPr="00380D66" w:rsidRDefault="004E417F">
            <w:pPr>
              <w:jc w:val="right"/>
              <w:rPr>
                <w:bCs/>
                <w:sz w:val="20"/>
                <w:szCs w:val="20"/>
              </w:rPr>
            </w:pPr>
            <w:r w:rsidRPr="00380D66">
              <w:rPr>
                <w:bCs/>
                <w:sz w:val="20"/>
                <w:szCs w:val="20"/>
              </w:rPr>
              <w:t>5,2%</w:t>
            </w:r>
          </w:p>
        </w:tc>
      </w:tr>
      <w:tr w:rsidR="004E417F" w:rsidTr="004E417F">
        <w:trPr>
          <w:trHeight w:val="255"/>
          <w:jc w:val="center"/>
        </w:trPr>
        <w:tc>
          <w:tcPr>
            <w:tcW w:w="3254" w:type="dxa"/>
            <w:tcBorders>
              <w:top w:val="nil"/>
              <w:left w:val="double" w:sz="6" w:space="0" w:color="800000"/>
              <w:bottom w:val="nil"/>
              <w:right w:val="single" w:sz="8" w:space="0" w:color="800000"/>
            </w:tcBorders>
            <w:shd w:val="clear" w:color="auto" w:fill="FFFFCC"/>
            <w:hideMark/>
          </w:tcPr>
          <w:p w:rsidR="004E417F" w:rsidRDefault="004E417F">
            <w:pPr>
              <w:rPr>
                <w:b/>
                <w:bCs/>
                <w:sz w:val="20"/>
                <w:szCs w:val="20"/>
              </w:rPr>
            </w:pPr>
            <w:r>
              <w:rPr>
                <w:sz w:val="20"/>
                <w:szCs w:val="20"/>
              </w:rPr>
              <w:t>Субсидии</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lang w:val="en-US"/>
              </w:rPr>
            </w:pPr>
            <w:r>
              <w:rPr>
                <w:sz w:val="20"/>
                <w:szCs w:val="20"/>
              </w:rPr>
              <w:t>1 233,2</w:t>
            </w:r>
          </w:p>
        </w:tc>
        <w:tc>
          <w:tcPr>
            <w:tcW w:w="897"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color w:val="000000"/>
                <w:sz w:val="20"/>
                <w:szCs w:val="20"/>
              </w:rPr>
              <w:t>1,5%</w:t>
            </w:r>
          </w:p>
        </w:tc>
        <w:tc>
          <w:tcPr>
            <w:tcW w:w="992"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sz w:val="20"/>
                <w:szCs w:val="20"/>
                <w:lang w:val="en-US"/>
              </w:rPr>
            </w:pPr>
            <w:r>
              <w:rPr>
                <w:sz w:val="20"/>
                <w:szCs w:val="20"/>
              </w:rPr>
              <w:t>1 416,</w:t>
            </w:r>
            <w:r>
              <w:rPr>
                <w:sz w:val="20"/>
                <w:szCs w:val="20"/>
                <w:lang w:val="en-US"/>
              </w:rPr>
              <w:t>3</w:t>
            </w:r>
          </w:p>
        </w:tc>
        <w:tc>
          <w:tcPr>
            <w:tcW w:w="992" w:type="dxa"/>
            <w:shd w:val="clear" w:color="auto" w:fill="FFFFCC"/>
            <w:vAlign w:val="bottom"/>
            <w:hideMark/>
          </w:tcPr>
          <w:p w:rsidR="004E417F" w:rsidRDefault="004E417F">
            <w:pPr>
              <w:jc w:val="right"/>
              <w:rPr>
                <w:sz w:val="20"/>
                <w:szCs w:val="20"/>
              </w:rPr>
            </w:pPr>
            <w:r>
              <w:rPr>
                <w:color w:val="000000"/>
                <w:sz w:val="20"/>
                <w:szCs w:val="20"/>
              </w:rPr>
              <w:t>1,7%</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lang w:val="en-US"/>
              </w:rPr>
            </w:pPr>
            <w:r>
              <w:rPr>
                <w:sz w:val="20"/>
                <w:szCs w:val="20"/>
              </w:rPr>
              <w:t>1 </w:t>
            </w:r>
            <w:r>
              <w:rPr>
                <w:sz w:val="20"/>
                <w:szCs w:val="20"/>
                <w:lang w:val="en-US"/>
              </w:rPr>
              <w:t>551</w:t>
            </w:r>
            <w:r>
              <w:rPr>
                <w:sz w:val="20"/>
                <w:szCs w:val="20"/>
              </w:rPr>
              <w:t>,</w:t>
            </w:r>
            <w:r>
              <w:rPr>
                <w:sz w:val="20"/>
                <w:szCs w:val="20"/>
                <w:lang w:val="en-US"/>
              </w:rPr>
              <w:t>1</w:t>
            </w:r>
          </w:p>
        </w:tc>
        <w:tc>
          <w:tcPr>
            <w:tcW w:w="851"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1,</w:t>
            </w:r>
            <w:r>
              <w:rPr>
                <w:sz w:val="20"/>
                <w:szCs w:val="20"/>
                <w:lang w:val="en-US"/>
              </w:rPr>
              <w:t>9</w:t>
            </w:r>
            <w:r>
              <w:rPr>
                <w:sz w:val="20"/>
                <w:szCs w:val="20"/>
              </w:rPr>
              <w:t>%</w:t>
            </w:r>
          </w:p>
        </w:tc>
        <w:tc>
          <w:tcPr>
            <w:tcW w:w="927" w:type="dxa"/>
            <w:tcBorders>
              <w:top w:val="nil"/>
              <w:left w:val="single" w:sz="8" w:space="0" w:color="800000"/>
              <w:bottom w:val="nil"/>
              <w:right w:val="nil"/>
            </w:tcBorders>
            <w:shd w:val="clear" w:color="auto" w:fill="FFFFCC"/>
            <w:vAlign w:val="bottom"/>
            <w:hideMark/>
          </w:tcPr>
          <w:p w:rsidR="004E417F" w:rsidRDefault="004E417F">
            <w:pPr>
              <w:jc w:val="right"/>
              <w:rPr>
                <w:sz w:val="18"/>
                <w:szCs w:val="18"/>
              </w:rPr>
            </w:pPr>
            <w:r>
              <w:rPr>
                <w:sz w:val="18"/>
                <w:szCs w:val="18"/>
              </w:rPr>
              <w:t>1 650,3</w:t>
            </w:r>
          </w:p>
        </w:tc>
        <w:tc>
          <w:tcPr>
            <w:tcW w:w="774" w:type="dxa"/>
            <w:tcBorders>
              <w:top w:val="nil"/>
              <w:left w:val="single" w:sz="8" w:space="0" w:color="800000"/>
              <w:bottom w:val="nil"/>
              <w:right w:val="double" w:sz="6" w:space="0" w:color="800000"/>
            </w:tcBorders>
            <w:shd w:val="clear" w:color="auto" w:fill="FFFFCC"/>
            <w:vAlign w:val="bottom"/>
            <w:hideMark/>
          </w:tcPr>
          <w:p w:rsidR="004E417F" w:rsidRPr="00380D66" w:rsidRDefault="004E417F">
            <w:pPr>
              <w:jc w:val="right"/>
              <w:rPr>
                <w:bCs/>
                <w:sz w:val="20"/>
                <w:szCs w:val="20"/>
              </w:rPr>
            </w:pPr>
            <w:r w:rsidRPr="00380D66">
              <w:rPr>
                <w:bCs/>
                <w:sz w:val="20"/>
                <w:szCs w:val="20"/>
              </w:rPr>
              <w:t>1,9%</w:t>
            </w:r>
          </w:p>
        </w:tc>
      </w:tr>
      <w:tr w:rsidR="004E417F" w:rsidTr="004E417F">
        <w:trPr>
          <w:trHeight w:val="255"/>
          <w:jc w:val="center"/>
        </w:trPr>
        <w:tc>
          <w:tcPr>
            <w:tcW w:w="3254" w:type="dxa"/>
            <w:tcBorders>
              <w:top w:val="nil"/>
              <w:left w:val="double" w:sz="6" w:space="0" w:color="800000"/>
              <w:bottom w:val="nil"/>
              <w:right w:val="nil"/>
            </w:tcBorders>
            <w:shd w:val="clear" w:color="auto" w:fill="FFFFCC"/>
            <w:hideMark/>
          </w:tcPr>
          <w:p w:rsidR="004E417F" w:rsidRDefault="004E417F">
            <w:pPr>
              <w:rPr>
                <w:sz w:val="20"/>
                <w:szCs w:val="20"/>
              </w:rPr>
            </w:pPr>
            <w:r>
              <w:rPr>
                <w:sz w:val="20"/>
                <w:szCs w:val="20"/>
              </w:rPr>
              <w:t>Социално и здравноосигурителни р-ди</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lang w:val="en-US"/>
              </w:rPr>
            </w:pPr>
            <w:r>
              <w:rPr>
                <w:sz w:val="20"/>
                <w:szCs w:val="20"/>
              </w:rPr>
              <w:t>11 743,8</w:t>
            </w:r>
          </w:p>
        </w:tc>
        <w:tc>
          <w:tcPr>
            <w:tcW w:w="897"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color w:val="000000"/>
                <w:sz w:val="20"/>
                <w:szCs w:val="20"/>
              </w:rPr>
              <w:t>14,4%</w:t>
            </w:r>
          </w:p>
        </w:tc>
        <w:tc>
          <w:tcPr>
            <w:tcW w:w="992"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sz w:val="20"/>
                <w:szCs w:val="20"/>
                <w:lang w:val="en-US"/>
              </w:rPr>
            </w:pPr>
            <w:r>
              <w:rPr>
                <w:sz w:val="20"/>
                <w:szCs w:val="20"/>
              </w:rPr>
              <w:t>12 640,7</w:t>
            </w:r>
          </w:p>
        </w:tc>
        <w:tc>
          <w:tcPr>
            <w:tcW w:w="992" w:type="dxa"/>
            <w:shd w:val="clear" w:color="auto" w:fill="FFFFCC"/>
            <w:vAlign w:val="bottom"/>
            <w:hideMark/>
          </w:tcPr>
          <w:p w:rsidR="004E417F" w:rsidRDefault="004E417F">
            <w:pPr>
              <w:jc w:val="right"/>
              <w:rPr>
                <w:sz w:val="20"/>
                <w:szCs w:val="20"/>
              </w:rPr>
            </w:pPr>
            <w:r>
              <w:rPr>
                <w:color w:val="000000"/>
                <w:sz w:val="20"/>
                <w:szCs w:val="20"/>
              </w:rPr>
              <w:t>15,4%</w:t>
            </w:r>
          </w:p>
        </w:tc>
        <w:tc>
          <w:tcPr>
            <w:tcW w:w="992"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sz w:val="20"/>
                <w:szCs w:val="20"/>
                <w:lang w:val="en-US"/>
              </w:rPr>
            </w:pPr>
            <w:r>
              <w:rPr>
                <w:sz w:val="20"/>
                <w:szCs w:val="20"/>
              </w:rPr>
              <w:t>1</w:t>
            </w:r>
            <w:r>
              <w:rPr>
                <w:sz w:val="20"/>
                <w:szCs w:val="20"/>
                <w:lang w:val="en-US"/>
              </w:rPr>
              <w:t>3 583</w:t>
            </w:r>
            <w:r>
              <w:rPr>
                <w:sz w:val="20"/>
                <w:szCs w:val="20"/>
              </w:rPr>
              <w:t>,</w:t>
            </w:r>
            <w:r>
              <w:rPr>
                <w:sz w:val="20"/>
                <w:szCs w:val="20"/>
                <w:lang w:val="en-US"/>
              </w:rPr>
              <w:t>6</w:t>
            </w:r>
          </w:p>
        </w:tc>
        <w:tc>
          <w:tcPr>
            <w:tcW w:w="851" w:type="dxa"/>
            <w:shd w:val="clear" w:color="auto" w:fill="FFFFCC"/>
            <w:vAlign w:val="bottom"/>
            <w:hideMark/>
          </w:tcPr>
          <w:p w:rsidR="004E417F" w:rsidRDefault="004E417F">
            <w:pPr>
              <w:jc w:val="right"/>
              <w:rPr>
                <w:sz w:val="20"/>
                <w:szCs w:val="20"/>
              </w:rPr>
            </w:pPr>
            <w:r>
              <w:rPr>
                <w:sz w:val="20"/>
                <w:szCs w:val="20"/>
              </w:rPr>
              <w:t>16,</w:t>
            </w:r>
            <w:r>
              <w:rPr>
                <w:sz w:val="20"/>
                <w:szCs w:val="20"/>
                <w:lang w:val="en-US"/>
              </w:rPr>
              <w:t>2</w:t>
            </w:r>
            <w:r>
              <w:rPr>
                <w:sz w:val="20"/>
                <w:szCs w:val="20"/>
              </w:rPr>
              <w:t>%</w:t>
            </w:r>
          </w:p>
        </w:tc>
        <w:tc>
          <w:tcPr>
            <w:tcW w:w="927"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13 845,0</w:t>
            </w:r>
          </w:p>
        </w:tc>
        <w:tc>
          <w:tcPr>
            <w:tcW w:w="774" w:type="dxa"/>
            <w:tcBorders>
              <w:top w:val="nil"/>
              <w:left w:val="single" w:sz="8" w:space="0" w:color="800000"/>
              <w:bottom w:val="nil"/>
              <w:right w:val="double" w:sz="6" w:space="0" w:color="800000"/>
            </w:tcBorders>
            <w:shd w:val="clear" w:color="auto" w:fill="FFFFCC"/>
            <w:vAlign w:val="bottom"/>
            <w:hideMark/>
          </w:tcPr>
          <w:p w:rsidR="004E417F" w:rsidRPr="00380D66" w:rsidRDefault="004E417F">
            <w:pPr>
              <w:jc w:val="right"/>
              <w:rPr>
                <w:bCs/>
                <w:sz w:val="20"/>
                <w:szCs w:val="20"/>
              </w:rPr>
            </w:pPr>
            <w:r w:rsidRPr="00380D66">
              <w:rPr>
                <w:bCs/>
                <w:sz w:val="20"/>
                <w:szCs w:val="20"/>
              </w:rPr>
              <w:t>16,0%</w:t>
            </w:r>
          </w:p>
        </w:tc>
      </w:tr>
      <w:tr w:rsidR="004E417F" w:rsidTr="004E417F">
        <w:trPr>
          <w:trHeight w:val="255"/>
          <w:jc w:val="center"/>
        </w:trPr>
        <w:tc>
          <w:tcPr>
            <w:tcW w:w="3254" w:type="dxa"/>
            <w:tcBorders>
              <w:top w:val="nil"/>
              <w:left w:val="double" w:sz="6" w:space="0" w:color="800000"/>
              <w:bottom w:val="nil"/>
              <w:right w:val="nil"/>
            </w:tcBorders>
            <w:shd w:val="clear" w:color="auto" w:fill="FFFFCC"/>
            <w:hideMark/>
          </w:tcPr>
          <w:p w:rsidR="004E417F" w:rsidRDefault="004E417F">
            <w:pPr>
              <w:rPr>
                <w:b/>
                <w:bCs/>
                <w:sz w:val="20"/>
                <w:szCs w:val="20"/>
              </w:rPr>
            </w:pPr>
            <w:r>
              <w:rPr>
                <w:bCs/>
                <w:sz w:val="20"/>
                <w:szCs w:val="20"/>
                <w:lang w:val="en-US"/>
              </w:rPr>
              <w:t xml:space="preserve">      </w:t>
            </w:r>
            <w:r>
              <w:rPr>
                <w:bCs/>
                <w:sz w:val="20"/>
                <w:szCs w:val="20"/>
              </w:rPr>
              <w:t>в т.ч.</w:t>
            </w:r>
            <w:r>
              <w:rPr>
                <w:sz w:val="20"/>
                <w:szCs w:val="20"/>
              </w:rPr>
              <w:t>пенсии</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7 234,3</w:t>
            </w:r>
          </w:p>
        </w:tc>
        <w:tc>
          <w:tcPr>
            <w:tcW w:w="897"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color w:val="000000"/>
                <w:sz w:val="20"/>
                <w:szCs w:val="20"/>
              </w:rPr>
              <w:t>8,9%</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7 762,2</w:t>
            </w:r>
          </w:p>
        </w:tc>
        <w:tc>
          <w:tcPr>
            <w:tcW w:w="992"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sz w:val="20"/>
                <w:szCs w:val="20"/>
              </w:rPr>
            </w:pPr>
            <w:r>
              <w:rPr>
                <w:color w:val="000000"/>
                <w:sz w:val="20"/>
                <w:szCs w:val="20"/>
              </w:rPr>
              <w:t>9,5%</w:t>
            </w:r>
          </w:p>
        </w:tc>
        <w:tc>
          <w:tcPr>
            <w:tcW w:w="992" w:type="dxa"/>
            <w:shd w:val="clear" w:color="auto" w:fill="FFFFCC"/>
            <w:vAlign w:val="bottom"/>
            <w:hideMark/>
          </w:tcPr>
          <w:p w:rsidR="004E417F" w:rsidRDefault="004E417F">
            <w:pPr>
              <w:jc w:val="right"/>
              <w:rPr>
                <w:sz w:val="20"/>
                <w:szCs w:val="20"/>
                <w:lang w:val="en-US"/>
              </w:rPr>
            </w:pPr>
            <w:r>
              <w:rPr>
                <w:sz w:val="20"/>
                <w:szCs w:val="20"/>
                <w:lang w:val="en-US"/>
              </w:rPr>
              <w:t>8</w:t>
            </w:r>
            <w:r>
              <w:rPr>
                <w:sz w:val="20"/>
                <w:szCs w:val="20"/>
              </w:rPr>
              <w:t> </w:t>
            </w:r>
            <w:r>
              <w:rPr>
                <w:sz w:val="20"/>
                <w:szCs w:val="20"/>
                <w:lang w:val="en-US"/>
              </w:rPr>
              <w:t>136</w:t>
            </w:r>
            <w:r>
              <w:rPr>
                <w:sz w:val="20"/>
                <w:szCs w:val="20"/>
              </w:rPr>
              <w:t>,</w:t>
            </w:r>
            <w:r>
              <w:rPr>
                <w:sz w:val="20"/>
                <w:szCs w:val="20"/>
                <w:lang w:val="en-US"/>
              </w:rPr>
              <w:t>0</w:t>
            </w:r>
          </w:p>
        </w:tc>
        <w:tc>
          <w:tcPr>
            <w:tcW w:w="851" w:type="dxa"/>
            <w:tcBorders>
              <w:top w:val="nil"/>
              <w:left w:val="single" w:sz="8" w:space="0" w:color="800000"/>
              <w:bottom w:val="nil"/>
              <w:right w:val="nil"/>
            </w:tcBorders>
            <w:shd w:val="clear" w:color="auto" w:fill="FFFFCC"/>
            <w:vAlign w:val="bottom"/>
            <w:hideMark/>
          </w:tcPr>
          <w:p w:rsidR="004E417F" w:rsidRDefault="004E417F">
            <w:pPr>
              <w:jc w:val="right"/>
              <w:rPr>
                <w:sz w:val="20"/>
                <w:szCs w:val="20"/>
              </w:rPr>
            </w:pPr>
            <w:r>
              <w:rPr>
                <w:sz w:val="20"/>
                <w:szCs w:val="20"/>
              </w:rPr>
              <w:t>9,</w:t>
            </w:r>
            <w:r>
              <w:rPr>
                <w:sz w:val="20"/>
                <w:szCs w:val="20"/>
                <w:lang w:val="en-US"/>
              </w:rPr>
              <w:t>7</w:t>
            </w:r>
            <w:r>
              <w:rPr>
                <w:sz w:val="20"/>
                <w:szCs w:val="20"/>
              </w:rPr>
              <w:t>%</w:t>
            </w:r>
          </w:p>
        </w:tc>
        <w:tc>
          <w:tcPr>
            <w:tcW w:w="927"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sz w:val="18"/>
                <w:szCs w:val="18"/>
              </w:rPr>
            </w:pPr>
            <w:r>
              <w:rPr>
                <w:sz w:val="18"/>
                <w:szCs w:val="18"/>
              </w:rPr>
              <w:t>8 432,6</w:t>
            </w:r>
          </w:p>
        </w:tc>
        <w:tc>
          <w:tcPr>
            <w:tcW w:w="774" w:type="dxa"/>
            <w:tcBorders>
              <w:top w:val="nil"/>
              <w:left w:val="nil"/>
              <w:bottom w:val="nil"/>
              <w:right w:val="double" w:sz="6" w:space="0" w:color="800000"/>
            </w:tcBorders>
            <w:shd w:val="clear" w:color="auto" w:fill="FFFFCC"/>
            <w:vAlign w:val="bottom"/>
            <w:hideMark/>
          </w:tcPr>
          <w:p w:rsidR="004E417F" w:rsidRPr="00380D66" w:rsidRDefault="004E417F">
            <w:pPr>
              <w:jc w:val="right"/>
              <w:rPr>
                <w:bCs/>
                <w:sz w:val="20"/>
                <w:szCs w:val="20"/>
              </w:rPr>
            </w:pPr>
            <w:r w:rsidRPr="00380D66">
              <w:rPr>
                <w:bCs/>
                <w:sz w:val="20"/>
                <w:szCs w:val="20"/>
              </w:rPr>
              <w:t>9,8%</w:t>
            </w:r>
          </w:p>
        </w:tc>
      </w:tr>
      <w:tr w:rsidR="004E417F" w:rsidTr="004E417F">
        <w:trPr>
          <w:trHeight w:val="255"/>
          <w:jc w:val="center"/>
        </w:trPr>
        <w:tc>
          <w:tcPr>
            <w:tcW w:w="3254" w:type="dxa"/>
            <w:tcBorders>
              <w:top w:val="nil"/>
              <w:left w:val="double" w:sz="6" w:space="0" w:color="800000"/>
              <w:bottom w:val="nil"/>
              <w:right w:val="nil"/>
            </w:tcBorders>
            <w:shd w:val="clear" w:color="auto" w:fill="FFFFCC"/>
            <w:hideMark/>
          </w:tcPr>
          <w:p w:rsidR="004E417F" w:rsidRDefault="004E417F">
            <w:pPr>
              <w:ind w:left="227" w:hanging="180"/>
              <w:rPr>
                <w:b/>
                <w:bCs/>
                <w:i/>
                <w:iCs/>
                <w:sz w:val="20"/>
                <w:szCs w:val="20"/>
              </w:rPr>
            </w:pPr>
            <w:r>
              <w:rPr>
                <w:b/>
                <w:bCs/>
                <w:i/>
                <w:iCs/>
                <w:sz w:val="20"/>
                <w:szCs w:val="20"/>
              </w:rPr>
              <w:t>Капиталови р-ди и  прираст на държ. резерв</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lang w:val="en-US"/>
              </w:rPr>
            </w:pPr>
            <w:r>
              <w:rPr>
                <w:b/>
                <w:bCs/>
                <w:sz w:val="20"/>
                <w:szCs w:val="20"/>
              </w:rPr>
              <w:t>3 681,1</w:t>
            </w:r>
          </w:p>
        </w:tc>
        <w:tc>
          <w:tcPr>
            <w:tcW w:w="897"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b/>
                <w:bCs/>
                <w:sz w:val="20"/>
                <w:szCs w:val="20"/>
              </w:rPr>
            </w:pPr>
            <w:r>
              <w:rPr>
                <w:b/>
                <w:bCs/>
                <w:color w:val="000000"/>
                <w:sz w:val="20"/>
                <w:szCs w:val="20"/>
              </w:rPr>
              <w:t>4,5%</w:t>
            </w:r>
          </w:p>
        </w:tc>
        <w:tc>
          <w:tcPr>
            <w:tcW w:w="992" w:type="dxa"/>
            <w:shd w:val="clear" w:color="auto" w:fill="FFFFCC"/>
            <w:vAlign w:val="bottom"/>
            <w:hideMark/>
          </w:tcPr>
          <w:p w:rsidR="004E417F" w:rsidRDefault="004E417F">
            <w:pPr>
              <w:jc w:val="right"/>
              <w:rPr>
                <w:b/>
                <w:bCs/>
                <w:sz w:val="20"/>
                <w:szCs w:val="20"/>
                <w:lang w:val="en-US"/>
              </w:rPr>
            </w:pPr>
            <w:r>
              <w:rPr>
                <w:b/>
                <w:bCs/>
                <w:sz w:val="20"/>
                <w:szCs w:val="20"/>
              </w:rPr>
              <w:t>4 11</w:t>
            </w:r>
            <w:r>
              <w:rPr>
                <w:b/>
                <w:bCs/>
                <w:sz w:val="20"/>
                <w:szCs w:val="20"/>
                <w:lang w:val="en-US"/>
              </w:rPr>
              <w:t>3</w:t>
            </w:r>
            <w:r>
              <w:rPr>
                <w:b/>
                <w:bCs/>
                <w:sz w:val="20"/>
                <w:szCs w:val="20"/>
              </w:rPr>
              <w:t>,</w:t>
            </w:r>
            <w:r>
              <w:rPr>
                <w:b/>
                <w:bCs/>
                <w:sz w:val="20"/>
                <w:szCs w:val="20"/>
                <w:lang w:val="en-US"/>
              </w:rPr>
              <w:t>1</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color w:val="000000"/>
                <w:sz w:val="20"/>
                <w:szCs w:val="20"/>
              </w:rPr>
              <w:t>5,0%</w:t>
            </w:r>
          </w:p>
        </w:tc>
        <w:tc>
          <w:tcPr>
            <w:tcW w:w="992"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b/>
                <w:bCs/>
                <w:sz w:val="20"/>
                <w:szCs w:val="20"/>
              </w:rPr>
            </w:pPr>
            <w:r>
              <w:rPr>
                <w:b/>
                <w:bCs/>
                <w:sz w:val="20"/>
                <w:szCs w:val="20"/>
              </w:rPr>
              <w:t xml:space="preserve">4 </w:t>
            </w:r>
            <w:r>
              <w:rPr>
                <w:b/>
                <w:bCs/>
                <w:sz w:val="20"/>
                <w:szCs w:val="20"/>
                <w:lang w:val="en-US"/>
              </w:rPr>
              <w:t>942</w:t>
            </w:r>
            <w:r>
              <w:rPr>
                <w:b/>
                <w:bCs/>
                <w:sz w:val="20"/>
                <w:szCs w:val="20"/>
              </w:rPr>
              <w:t>,0</w:t>
            </w:r>
          </w:p>
        </w:tc>
        <w:tc>
          <w:tcPr>
            <w:tcW w:w="851" w:type="dxa"/>
            <w:shd w:val="clear" w:color="auto" w:fill="FFFFCC"/>
            <w:vAlign w:val="bottom"/>
            <w:hideMark/>
          </w:tcPr>
          <w:p w:rsidR="004E417F" w:rsidRDefault="004E417F">
            <w:pPr>
              <w:jc w:val="right"/>
              <w:rPr>
                <w:b/>
                <w:bCs/>
                <w:sz w:val="20"/>
                <w:szCs w:val="20"/>
              </w:rPr>
            </w:pPr>
            <w:r>
              <w:rPr>
                <w:b/>
                <w:bCs/>
                <w:sz w:val="20"/>
                <w:szCs w:val="20"/>
                <w:lang w:val="en-US"/>
              </w:rPr>
              <w:t>5</w:t>
            </w:r>
            <w:r>
              <w:rPr>
                <w:b/>
                <w:bCs/>
                <w:sz w:val="20"/>
                <w:szCs w:val="20"/>
              </w:rPr>
              <w:t>,</w:t>
            </w:r>
            <w:r>
              <w:rPr>
                <w:b/>
                <w:bCs/>
                <w:sz w:val="20"/>
                <w:szCs w:val="20"/>
                <w:lang w:val="en-US"/>
              </w:rPr>
              <w:t>9</w:t>
            </w:r>
            <w:r>
              <w:rPr>
                <w:b/>
                <w:bCs/>
                <w:sz w:val="20"/>
                <w:szCs w:val="20"/>
              </w:rPr>
              <w:t>%</w:t>
            </w:r>
          </w:p>
        </w:tc>
        <w:tc>
          <w:tcPr>
            <w:tcW w:w="927" w:type="dxa"/>
            <w:tcBorders>
              <w:top w:val="nil"/>
              <w:left w:val="single" w:sz="8" w:space="0" w:color="800000"/>
              <w:bottom w:val="nil"/>
              <w:right w:val="nil"/>
            </w:tcBorders>
            <w:shd w:val="clear" w:color="auto" w:fill="FFFFCC"/>
            <w:vAlign w:val="bottom"/>
            <w:hideMark/>
          </w:tcPr>
          <w:p w:rsidR="004E417F" w:rsidRDefault="004E417F" w:rsidP="0076564D">
            <w:pPr>
              <w:jc w:val="right"/>
              <w:rPr>
                <w:b/>
                <w:bCs/>
                <w:sz w:val="20"/>
                <w:szCs w:val="20"/>
                <w:lang w:val="en-US"/>
              </w:rPr>
            </w:pPr>
            <w:r w:rsidRPr="00380D66">
              <w:rPr>
                <w:b/>
                <w:bCs/>
                <w:sz w:val="20"/>
                <w:szCs w:val="20"/>
                <w:lang w:val="en-US"/>
              </w:rPr>
              <w:t>6 899,</w:t>
            </w:r>
            <w:r w:rsidR="0076564D">
              <w:rPr>
                <w:b/>
                <w:bCs/>
                <w:sz w:val="20"/>
                <w:szCs w:val="20"/>
              </w:rPr>
              <w:t>7</w:t>
            </w:r>
          </w:p>
        </w:tc>
        <w:tc>
          <w:tcPr>
            <w:tcW w:w="774" w:type="dxa"/>
            <w:tcBorders>
              <w:top w:val="nil"/>
              <w:left w:val="single" w:sz="8" w:space="0" w:color="800000"/>
              <w:bottom w:val="nil"/>
              <w:right w:val="double" w:sz="6" w:space="0" w:color="800000"/>
            </w:tcBorders>
            <w:shd w:val="clear" w:color="auto" w:fill="FFFFCC"/>
            <w:vAlign w:val="bottom"/>
            <w:hideMark/>
          </w:tcPr>
          <w:p w:rsidR="004E417F" w:rsidRDefault="004E417F">
            <w:pPr>
              <w:jc w:val="right"/>
              <w:rPr>
                <w:b/>
                <w:bCs/>
                <w:sz w:val="20"/>
                <w:szCs w:val="20"/>
              </w:rPr>
            </w:pPr>
            <w:r>
              <w:rPr>
                <w:b/>
                <w:bCs/>
                <w:sz w:val="20"/>
                <w:szCs w:val="20"/>
                <w:lang w:val="en-US"/>
              </w:rPr>
              <w:t>8</w:t>
            </w:r>
            <w:r>
              <w:rPr>
                <w:b/>
                <w:bCs/>
                <w:sz w:val="20"/>
                <w:szCs w:val="20"/>
              </w:rPr>
              <w:t>,</w:t>
            </w:r>
            <w:r>
              <w:rPr>
                <w:b/>
                <w:bCs/>
                <w:sz w:val="20"/>
                <w:szCs w:val="20"/>
                <w:lang w:val="en-US"/>
              </w:rPr>
              <w:t>0</w:t>
            </w:r>
            <w:r>
              <w:rPr>
                <w:b/>
                <w:bCs/>
                <w:sz w:val="20"/>
                <w:szCs w:val="20"/>
              </w:rPr>
              <w:t>%</w:t>
            </w:r>
          </w:p>
        </w:tc>
      </w:tr>
      <w:tr w:rsidR="004E417F" w:rsidTr="004E417F">
        <w:trPr>
          <w:trHeight w:val="255"/>
          <w:jc w:val="center"/>
        </w:trPr>
        <w:tc>
          <w:tcPr>
            <w:tcW w:w="3254" w:type="dxa"/>
            <w:tcBorders>
              <w:top w:val="nil"/>
              <w:left w:val="double" w:sz="6" w:space="0" w:color="800000"/>
              <w:bottom w:val="nil"/>
              <w:right w:val="nil"/>
            </w:tcBorders>
            <w:shd w:val="clear" w:color="auto" w:fill="FFFFCC"/>
            <w:hideMark/>
          </w:tcPr>
          <w:p w:rsidR="004E417F" w:rsidRDefault="004E417F">
            <w:pPr>
              <w:rPr>
                <w:b/>
                <w:bCs/>
                <w:sz w:val="20"/>
                <w:szCs w:val="20"/>
              </w:rPr>
            </w:pPr>
            <w:r>
              <w:rPr>
                <w:b/>
                <w:bCs/>
                <w:sz w:val="20"/>
                <w:szCs w:val="20"/>
              </w:rPr>
              <w:t>Лихвени разходи</w:t>
            </w:r>
          </w:p>
        </w:tc>
        <w:tc>
          <w:tcPr>
            <w:tcW w:w="914" w:type="dxa"/>
            <w:tcBorders>
              <w:top w:val="nil"/>
              <w:left w:val="single" w:sz="8" w:space="0" w:color="800000"/>
              <w:bottom w:val="nil"/>
              <w:right w:val="nil"/>
            </w:tcBorders>
            <w:shd w:val="clear" w:color="auto" w:fill="FFFFCC"/>
            <w:vAlign w:val="bottom"/>
            <w:hideMark/>
          </w:tcPr>
          <w:p w:rsidR="004E417F" w:rsidRDefault="004E417F">
            <w:pPr>
              <w:jc w:val="right"/>
              <w:rPr>
                <w:b/>
                <w:bCs/>
                <w:sz w:val="18"/>
                <w:szCs w:val="18"/>
              </w:rPr>
            </w:pPr>
            <w:r>
              <w:rPr>
                <w:b/>
                <w:bCs/>
                <w:sz w:val="18"/>
                <w:szCs w:val="18"/>
              </w:rPr>
              <w:t>572,7</w:t>
            </w:r>
          </w:p>
        </w:tc>
        <w:tc>
          <w:tcPr>
            <w:tcW w:w="897"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b/>
                <w:bCs/>
                <w:sz w:val="20"/>
                <w:szCs w:val="20"/>
              </w:rPr>
            </w:pPr>
            <w:r>
              <w:rPr>
                <w:b/>
                <w:bCs/>
                <w:color w:val="000000"/>
                <w:sz w:val="20"/>
                <w:szCs w:val="20"/>
              </w:rPr>
              <w:t>0,7%</w:t>
            </w:r>
          </w:p>
        </w:tc>
        <w:tc>
          <w:tcPr>
            <w:tcW w:w="992" w:type="dxa"/>
            <w:shd w:val="clear" w:color="auto" w:fill="FFFFCC"/>
            <w:vAlign w:val="bottom"/>
            <w:hideMark/>
          </w:tcPr>
          <w:p w:rsidR="004E417F" w:rsidRDefault="004E417F">
            <w:pPr>
              <w:jc w:val="right"/>
              <w:rPr>
                <w:b/>
                <w:bCs/>
                <w:sz w:val="18"/>
                <w:szCs w:val="18"/>
              </w:rPr>
            </w:pPr>
            <w:r>
              <w:rPr>
                <w:b/>
                <w:bCs/>
                <w:sz w:val="18"/>
                <w:szCs w:val="18"/>
              </w:rPr>
              <w:t>688,8</w:t>
            </w:r>
          </w:p>
        </w:tc>
        <w:tc>
          <w:tcPr>
            <w:tcW w:w="992" w:type="dxa"/>
            <w:tcBorders>
              <w:top w:val="nil"/>
              <w:left w:val="single" w:sz="8" w:space="0" w:color="800000"/>
              <w:bottom w:val="nil"/>
              <w:right w:val="nil"/>
            </w:tcBorders>
            <w:shd w:val="clear" w:color="auto" w:fill="FFFFCC"/>
            <w:vAlign w:val="bottom"/>
            <w:hideMark/>
          </w:tcPr>
          <w:p w:rsidR="004E417F" w:rsidRDefault="004E417F">
            <w:pPr>
              <w:jc w:val="right"/>
              <w:rPr>
                <w:b/>
                <w:bCs/>
                <w:sz w:val="20"/>
                <w:szCs w:val="20"/>
              </w:rPr>
            </w:pPr>
            <w:r>
              <w:rPr>
                <w:b/>
                <w:bCs/>
                <w:color w:val="000000"/>
                <w:sz w:val="20"/>
                <w:szCs w:val="20"/>
              </w:rPr>
              <w:t>0,8%</w:t>
            </w:r>
          </w:p>
        </w:tc>
        <w:tc>
          <w:tcPr>
            <w:tcW w:w="992" w:type="dxa"/>
            <w:tcBorders>
              <w:top w:val="nil"/>
              <w:left w:val="single" w:sz="8" w:space="0" w:color="800000"/>
              <w:bottom w:val="nil"/>
              <w:right w:val="single" w:sz="8" w:space="0" w:color="800000"/>
            </w:tcBorders>
            <w:shd w:val="clear" w:color="auto" w:fill="FFFFCC"/>
            <w:vAlign w:val="bottom"/>
            <w:hideMark/>
          </w:tcPr>
          <w:p w:rsidR="004E417F" w:rsidRDefault="004E417F">
            <w:pPr>
              <w:jc w:val="right"/>
              <w:rPr>
                <w:b/>
                <w:bCs/>
                <w:sz w:val="18"/>
                <w:szCs w:val="18"/>
                <w:lang w:val="en-US"/>
              </w:rPr>
            </w:pPr>
            <w:r>
              <w:rPr>
                <w:b/>
                <w:bCs/>
                <w:sz w:val="18"/>
                <w:szCs w:val="18"/>
                <w:lang w:val="en-US"/>
              </w:rPr>
              <w:t>579</w:t>
            </w:r>
            <w:r>
              <w:rPr>
                <w:b/>
                <w:bCs/>
                <w:sz w:val="18"/>
                <w:szCs w:val="18"/>
              </w:rPr>
              <w:t>,</w:t>
            </w:r>
            <w:r>
              <w:rPr>
                <w:b/>
                <w:bCs/>
                <w:sz w:val="18"/>
                <w:szCs w:val="18"/>
                <w:lang w:val="en-US"/>
              </w:rPr>
              <w:t>9</w:t>
            </w:r>
          </w:p>
        </w:tc>
        <w:tc>
          <w:tcPr>
            <w:tcW w:w="851" w:type="dxa"/>
            <w:shd w:val="clear" w:color="auto" w:fill="FFFFCC"/>
            <w:vAlign w:val="bottom"/>
            <w:hideMark/>
          </w:tcPr>
          <w:p w:rsidR="004E417F" w:rsidRDefault="004E417F">
            <w:pPr>
              <w:jc w:val="right"/>
              <w:rPr>
                <w:b/>
                <w:bCs/>
                <w:sz w:val="20"/>
                <w:szCs w:val="20"/>
              </w:rPr>
            </w:pPr>
            <w:r>
              <w:rPr>
                <w:b/>
                <w:bCs/>
                <w:sz w:val="20"/>
                <w:szCs w:val="20"/>
              </w:rPr>
              <w:t>0,</w:t>
            </w:r>
            <w:r>
              <w:rPr>
                <w:b/>
                <w:bCs/>
                <w:sz w:val="20"/>
                <w:szCs w:val="20"/>
                <w:lang w:val="en-US"/>
              </w:rPr>
              <w:t>7</w:t>
            </w:r>
            <w:r>
              <w:rPr>
                <w:b/>
                <w:bCs/>
                <w:sz w:val="20"/>
                <w:szCs w:val="20"/>
              </w:rPr>
              <w:t>%</w:t>
            </w:r>
          </w:p>
        </w:tc>
        <w:tc>
          <w:tcPr>
            <w:tcW w:w="927" w:type="dxa"/>
            <w:tcBorders>
              <w:top w:val="nil"/>
              <w:left w:val="single" w:sz="8" w:space="0" w:color="800000"/>
              <w:bottom w:val="nil"/>
              <w:right w:val="nil"/>
            </w:tcBorders>
            <w:shd w:val="clear" w:color="auto" w:fill="FFFFCC"/>
            <w:vAlign w:val="bottom"/>
            <w:hideMark/>
          </w:tcPr>
          <w:p w:rsidR="004E417F" w:rsidRDefault="004E417F">
            <w:pPr>
              <w:jc w:val="right"/>
              <w:rPr>
                <w:b/>
                <w:bCs/>
                <w:sz w:val="18"/>
                <w:szCs w:val="18"/>
                <w:lang w:val="en-US"/>
              </w:rPr>
            </w:pPr>
            <w:r>
              <w:rPr>
                <w:b/>
                <w:bCs/>
                <w:sz w:val="18"/>
                <w:szCs w:val="18"/>
                <w:lang w:val="en-US"/>
              </w:rPr>
              <w:t>698</w:t>
            </w:r>
            <w:r>
              <w:rPr>
                <w:b/>
                <w:bCs/>
                <w:sz w:val="18"/>
                <w:szCs w:val="18"/>
              </w:rPr>
              <w:t>,</w:t>
            </w:r>
            <w:r>
              <w:rPr>
                <w:b/>
                <w:bCs/>
                <w:sz w:val="18"/>
                <w:szCs w:val="18"/>
                <w:lang w:val="en-US"/>
              </w:rPr>
              <w:t>3</w:t>
            </w:r>
          </w:p>
        </w:tc>
        <w:tc>
          <w:tcPr>
            <w:tcW w:w="774" w:type="dxa"/>
            <w:tcBorders>
              <w:top w:val="nil"/>
              <w:left w:val="single" w:sz="8" w:space="0" w:color="800000"/>
              <w:bottom w:val="nil"/>
              <w:right w:val="double" w:sz="6" w:space="0" w:color="800000"/>
            </w:tcBorders>
            <w:shd w:val="clear" w:color="auto" w:fill="FFFFCC"/>
            <w:vAlign w:val="bottom"/>
            <w:hideMark/>
          </w:tcPr>
          <w:p w:rsidR="004E417F" w:rsidRDefault="004E417F">
            <w:pPr>
              <w:jc w:val="right"/>
              <w:rPr>
                <w:b/>
                <w:bCs/>
                <w:sz w:val="20"/>
                <w:szCs w:val="20"/>
              </w:rPr>
            </w:pPr>
            <w:r>
              <w:rPr>
                <w:b/>
                <w:bCs/>
                <w:sz w:val="20"/>
                <w:szCs w:val="20"/>
              </w:rPr>
              <w:t>0,</w:t>
            </w:r>
            <w:r>
              <w:rPr>
                <w:b/>
                <w:bCs/>
                <w:sz w:val="20"/>
                <w:szCs w:val="20"/>
                <w:lang w:val="en-US"/>
              </w:rPr>
              <w:t>8</w:t>
            </w:r>
            <w:r>
              <w:rPr>
                <w:b/>
                <w:bCs/>
                <w:sz w:val="20"/>
                <w:szCs w:val="20"/>
              </w:rPr>
              <w:t>%</w:t>
            </w:r>
          </w:p>
        </w:tc>
      </w:tr>
      <w:tr w:rsidR="004E417F" w:rsidTr="004E417F">
        <w:trPr>
          <w:trHeight w:val="270"/>
          <w:jc w:val="center"/>
        </w:trPr>
        <w:tc>
          <w:tcPr>
            <w:tcW w:w="3254" w:type="dxa"/>
            <w:tcBorders>
              <w:top w:val="nil"/>
              <w:left w:val="double" w:sz="6" w:space="0" w:color="800000"/>
              <w:bottom w:val="double" w:sz="6" w:space="0" w:color="800000"/>
              <w:right w:val="nil"/>
            </w:tcBorders>
            <w:shd w:val="clear" w:color="auto" w:fill="FFFFCC"/>
            <w:hideMark/>
          </w:tcPr>
          <w:p w:rsidR="004E417F" w:rsidRDefault="004E417F">
            <w:pPr>
              <w:rPr>
                <w:b/>
                <w:bCs/>
                <w:sz w:val="20"/>
                <w:szCs w:val="20"/>
              </w:rPr>
            </w:pPr>
            <w:r>
              <w:rPr>
                <w:b/>
                <w:bCs/>
                <w:sz w:val="20"/>
                <w:szCs w:val="20"/>
              </w:rPr>
              <w:t>Вноска в общия бюджет на ЕС</w:t>
            </w:r>
          </w:p>
        </w:tc>
        <w:tc>
          <w:tcPr>
            <w:tcW w:w="914" w:type="dxa"/>
            <w:tcBorders>
              <w:top w:val="nil"/>
              <w:left w:val="single" w:sz="8" w:space="0" w:color="800000"/>
              <w:bottom w:val="double" w:sz="6" w:space="0" w:color="800000"/>
              <w:right w:val="nil"/>
            </w:tcBorders>
            <w:shd w:val="clear" w:color="auto" w:fill="FFFFCC"/>
            <w:vAlign w:val="bottom"/>
            <w:hideMark/>
          </w:tcPr>
          <w:p w:rsidR="004E417F" w:rsidRDefault="004E417F">
            <w:pPr>
              <w:jc w:val="right"/>
              <w:rPr>
                <w:b/>
                <w:bCs/>
                <w:sz w:val="18"/>
                <w:szCs w:val="18"/>
              </w:rPr>
            </w:pPr>
            <w:r>
              <w:rPr>
                <w:b/>
                <w:bCs/>
                <w:sz w:val="18"/>
                <w:szCs w:val="18"/>
              </w:rPr>
              <w:t>809,3</w:t>
            </w:r>
          </w:p>
        </w:tc>
        <w:tc>
          <w:tcPr>
            <w:tcW w:w="897" w:type="dxa"/>
            <w:tcBorders>
              <w:top w:val="nil"/>
              <w:left w:val="single" w:sz="8" w:space="0" w:color="800000"/>
              <w:bottom w:val="double" w:sz="6" w:space="0" w:color="800000"/>
              <w:right w:val="single" w:sz="8" w:space="0" w:color="800000"/>
            </w:tcBorders>
            <w:shd w:val="clear" w:color="auto" w:fill="FFFFCC"/>
            <w:vAlign w:val="bottom"/>
            <w:hideMark/>
          </w:tcPr>
          <w:p w:rsidR="004E417F" w:rsidRDefault="004E417F">
            <w:pPr>
              <w:jc w:val="right"/>
              <w:rPr>
                <w:b/>
                <w:bCs/>
                <w:sz w:val="18"/>
                <w:szCs w:val="18"/>
              </w:rPr>
            </w:pPr>
            <w:r>
              <w:rPr>
                <w:b/>
                <w:bCs/>
                <w:color w:val="000000"/>
                <w:sz w:val="20"/>
                <w:szCs w:val="20"/>
              </w:rPr>
              <w:t>1,0%</w:t>
            </w:r>
          </w:p>
        </w:tc>
        <w:tc>
          <w:tcPr>
            <w:tcW w:w="992" w:type="dxa"/>
            <w:tcBorders>
              <w:top w:val="nil"/>
              <w:left w:val="nil"/>
              <w:bottom w:val="double" w:sz="6" w:space="0" w:color="800000"/>
              <w:right w:val="nil"/>
            </w:tcBorders>
            <w:shd w:val="clear" w:color="auto" w:fill="FFFFCC"/>
            <w:vAlign w:val="bottom"/>
            <w:hideMark/>
          </w:tcPr>
          <w:p w:rsidR="004E417F" w:rsidRDefault="004E417F">
            <w:pPr>
              <w:jc w:val="right"/>
              <w:rPr>
                <w:b/>
                <w:bCs/>
                <w:sz w:val="18"/>
                <w:szCs w:val="18"/>
              </w:rPr>
            </w:pPr>
            <w:r>
              <w:rPr>
                <w:b/>
                <w:bCs/>
                <w:sz w:val="18"/>
                <w:szCs w:val="18"/>
              </w:rPr>
              <w:t>934,1</w:t>
            </w:r>
          </w:p>
        </w:tc>
        <w:tc>
          <w:tcPr>
            <w:tcW w:w="992" w:type="dxa"/>
            <w:tcBorders>
              <w:top w:val="nil"/>
              <w:left w:val="single" w:sz="8" w:space="0" w:color="800000"/>
              <w:bottom w:val="double" w:sz="6" w:space="0" w:color="800000"/>
              <w:right w:val="nil"/>
            </w:tcBorders>
            <w:shd w:val="clear" w:color="auto" w:fill="FFFFCC"/>
            <w:vAlign w:val="bottom"/>
            <w:hideMark/>
          </w:tcPr>
          <w:p w:rsidR="004E417F" w:rsidRDefault="004E417F">
            <w:pPr>
              <w:jc w:val="right"/>
              <w:rPr>
                <w:b/>
                <w:bCs/>
                <w:sz w:val="18"/>
                <w:szCs w:val="18"/>
              </w:rPr>
            </w:pPr>
            <w:r>
              <w:rPr>
                <w:b/>
                <w:bCs/>
                <w:color w:val="000000"/>
                <w:sz w:val="20"/>
                <w:szCs w:val="20"/>
              </w:rPr>
              <w:t>1,1%</w:t>
            </w:r>
          </w:p>
        </w:tc>
        <w:tc>
          <w:tcPr>
            <w:tcW w:w="992" w:type="dxa"/>
            <w:tcBorders>
              <w:top w:val="nil"/>
              <w:left w:val="single" w:sz="8" w:space="0" w:color="800000"/>
              <w:bottom w:val="double" w:sz="6" w:space="0" w:color="800000"/>
              <w:right w:val="nil"/>
            </w:tcBorders>
            <w:shd w:val="clear" w:color="auto" w:fill="FFFFCC"/>
            <w:vAlign w:val="bottom"/>
            <w:hideMark/>
          </w:tcPr>
          <w:p w:rsidR="004E417F" w:rsidRDefault="004E417F">
            <w:pPr>
              <w:jc w:val="right"/>
              <w:rPr>
                <w:b/>
                <w:bCs/>
                <w:sz w:val="18"/>
                <w:szCs w:val="18"/>
                <w:lang w:val="en-US"/>
              </w:rPr>
            </w:pPr>
            <w:r>
              <w:rPr>
                <w:b/>
                <w:bCs/>
                <w:sz w:val="18"/>
                <w:szCs w:val="18"/>
              </w:rPr>
              <w:t>9</w:t>
            </w:r>
            <w:r>
              <w:rPr>
                <w:b/>
                <w:bCs/>
                <w:sz w:val="18"/>
                <w:szCs w:val="18"/>
                <w:lang w:val="en-US"/>
              </w:rPr>
              <w:t>5</w:t>
            </w:r>
            <w:r>
              <w:rPr>
                <w:b/>
                <w:bCs/>
                <w:sz w:val="18"/>
                <w:szCs w:val="18"/>
              </w:rPr>
              <w:t>4,</w:t>
            </w:r>
            <w:r>
              <w:rPr>
                <w:b/>
                <w:bCs/>
                <w:sz w:val="18"/>
                <w:szCs w:val="18"/>
                <w:lang w:val="en-US"/>
              </w:rPr>
              <w:t>9</w:t>
            </w:r>
          </w:p>
        </w:tc>
        <w:tc>
          <w:tcPr>
            <w:tcW w:w="851" w:type="dxa"/>
            <w:tcBorders>
              <w:top w:val="nil"/>
              <w:left w:val="single" w:sz="8" w:space="0" w:color="800000"/>
              <w:bottom w:val="double" w:sz="6" w:space="0" w:color="800000"/>
              <w:right w:val="nil"/>
            </w:tcBorders>
            <w:shd w:val="clear" w:color="auto" w:fill="FFFFCC"/>
            <w:vAlign w:val="bottom"/>
            <w:hideMark/>
          </w:tcPr>
          <w:p w:rsidR="004E417F" w:rsidRDefault="004E417F">
            <w:pPr>
              <w:jc w:val="right"/>
              <w:rPr>
                <w:b/>
                <w:bCs/>
                <w:sz w:val="18"/>
                <w:szCs w:val="18"/>
              </w:rPr>
            </w:pPr>
            <w:r>
              <w:rPr>
                <w:b/>
                <w:bCs/>
                <w:sz w:val="18"/>
                <w:szCs w:val="18"/>
              </w:rPr>
              <w:t>1</w:t>
            </w:r>
            <w:r>
              <w:rPr>
                <w:b/>
                <w:bCs/>
                <w:sz w:val="20"/>
                <w:szCs w:val="20"/>
              </w:rPr>
              <w:t>,</w:t>
            </w:r>
            <w:r>
              <w:rPr>
                <w:b/>
                <w:bCs/>
                <w:sz w:val="20"/>
                <w:szCs w:val="20"/>
                <w:lang w:val="en-US"/>
              </w:rPr>
              <w:t>1</w:t>
            </w:r>
            <w:r>
              <w:rPr>
                <w:b/>
                <w:bCs/>
                <w:sz w:val="20"/>
                <w:szCs w:val="20"/>
              </w:rPr>
              <w:t>%</w:t>
            </w:r>
          </w:p>
        </w:tc>
        <w:tc>
          <w:tcPr>
            <w:tcW w:w="927" w:type="dxa"/>
            <w:tcBorders>
              <w:top w:val="nil"/>
              <w:left w:val="single" w:sz="8" w:space="0" w:color="800000"/>
              <w:bottom w:val="double" w:sz="6" w:space="0" w:color="800000"/>
              <w:right w:val="nil"/>
            </w:tcBorders>
            <w:shd w:val="clear" w:color="auto" w:fill="FFFFCC"/>
            <w:vAlign w:val="bottom"/>
            <w:hideMark/>
          </w:tcPr>
          <w:p w:rsidR="004E417F" w:rsidRDefault="004E417F">
            <w:pPr>
              <w:jc w:val="right"/>
              <w:rPr>
                <w:b/>
                <w:bCs/>
                <w:sz w:val="18"/>
                <w:szCs w:val="18"/>
                <w:lang w:val="en-US"/>
              </w:rPr>
            </w:pPr>
            <w:r>
              <w:rPr>
                <w:b/>
                <w:bCs/>
                <w:sz w:val="18"/>
                <w:szCs w:val="18"/>
              </w:rPr>
              <w:t>94</w:t>
            </w:r>
            <w:r>
              <w:rPr>
                <w:b/>
                <w:bCs/>
                <w:sz w:val="18"/>
                <w:szCs w:val="18"/>
                <w:lang w:val="en-US"/>
              </w:rPr>
              <w:t>6</w:t>
            </w:r>
            <w:r>
              <w:rPr>
                <w:b/>
                <w:bCs/>
                <w:sz w:val="18"/>
                <w:szCs w:val="18"/>
              </w:rPr>
              <w:t>,</w:t>
            </w:r>
            <w:r>
              <w:rPr>
                <w:b/>
                <w:bCs/>
                <w:sz w:val="18"/>
                <w:szCs w:val="18"/>
                <w:lang w:val="en-US"/>
              </w:rPr>
              <w:t>4</w:t>
            </w:r>
          </w:p>
        </w:tc>
        <w:tc>
          <w:tcPr>
            <w:tcW w:w="774" w:type="dxa"/>
            <w:tcBorders>
              <w:top w:val="nil"/>
              <w:left w:val="single" w:sz="8" w:space="0" w:color="800000"/>
              <w:bottom w:val="double" w:sz="6" w:space="0" w:color="800000"/>
              <w:right w:val="double" w:sz="6" w:space="0" w:color="800000"/>
            </w:tcBorders>
            <w:shd w:val="clear" w:color="auto" w:fill="FFFFCC"/>
            <w:vAlign w:val="bottom"/>
            <w:hideMark/>
          </w:tcPr>
          <w:p w:rsidR="004E417F" w:rsidRDefault="004E417F">
            <w:pPr>
              <w:jc w:val="right"/>
              <w:rPr>
                <w:b/>
                <w:bCs/>
                <w:sz w:val="18"/>
                <w:szCs w:val="18"/>
              </w:rPr>
            </w:pPr>
            <w:r>
              <w:rPr>
                <w:b/>
                <w:bCs/>
                <w:sz w:val="18"/>
                <w:szCs w:val="18"/>
              </w:rPr>
              <w:t>1</w:t>
            </w:r>
            <w:r>
              <w:rPr>
                <w:b/>
                <w:bCs/>
                <w:sz w:val="20"/>
                <w:szCs w:val="20"/>
              </w:rPr>
              <w:t>,</w:t>
            </w:r>
            <w:r>
              <w:rPr>
                <w:b/>
                <w:bCs/>
                <w:sz w:val="20"/>
                <w:szCs w:val="20"/>
                <w:lang w:val="en-US"/>
              </w:rPr>
              <w:t>1</w:t>
            </w:r>
            <w:r>
              <w:rPr>
                <w:b/>
                <w:bCs/>
                <w:sz w:val="20"/>
                <w:szCs w:val="20"/>
              </w:rPr>
              <w:t>%</w:t>
            </w:r>
          </w:p>
        </w:tc>
      </w:tr>
    </w:tbl>
    <w:p w:rsidR="00EC7A58" w:rsidRPr="001F6421" w:rsidRDefault="00EC7A58" w:rsidP="00EC7A58">
      <w:pPr>
        <w:tabs>
          <w:tab w:val="left" w:pos="9720"/>
          <w:tab w:val="left" w:pos="9900"/>
        </w:tabs>
        <w:ind w:right="72" w:firstLine="540"/>
        <w:jc w:val="both"/>
        <w:rPr>
          <w:b/>
          <w:i/>
          <w:iCs/>
          <w:color w:val="0070C0"/>
          <w:sz w:val="12"/>
          <w:szCs w:val="12"/>
        </w:rPr>
      </w:pPr>
    </w:p>
    <w:p w:rsidR="00EC7A58" w:rsidRPr="00DB3468" w:rsidRDefault="00EC7A58" w:rsidP="00EC7A58">
      <w:pPr>
        <w:autoSpaceDE w:val="0"/>
        <w:autoSpaceDN w:val="0"/>
        <w:adjustRightInd w:val="0"/>
        <w:jc w:val="both"/>
        <w:rPr>
          <w:sz w:val="18"/>
          <w:szCs w:val="18"/>
        </w:rPr>
      </w:pPr>
      <w:r w:rsidRPr="00DB3468">
        <w:rPr>
          <w:sz w:val="18"/>
          <w:szCs w:val="18"/>
        </w:rPr>
        <w:t>* вкл. разходите за други възнаграждения и плащания за персонала и разходите за членски внос и участия в нетърговски организации и дейности</w:t>
      </w:r>
    </w:p>
    <w:p w:rsidR="00EC7A58" w:rsidRPr="001F6421" w:rsidRDefault="00EC7A58" w:rsidP="00EC7A58">
      <w:pPr>
        <w:autoSpaceDE w:val="0"/>
        <w:autoSpaceDN w:val="0"/>
        <w:adjustRightInd w:val="0"/>
        <w:ind w:firstLine="720"/>
        <w:jc w:val="both"/>
        <w:rPr>
          <w:bCs/>
          <w:color w:val="0070C0"/>
          <w:highlight w:val="yellow"/>
        </w:rPr>
      </w:pPr>
    </w:p>
    <w:p w:rsidR="00DB3468" w:rsidRPr="002D752B" w:rsidRDefault="00DB3468" w:rsidP="00DB3468">
      <w:pPr>
        <w:tabs>
          <w:tab w:val="left" w:pos="6840"/>
          <w:tab w:val="left" w:pos="8280"/>
        </w:tabs>
        <w:ind w:firstLine="709"/>
        <w:jc w:val="both"/>
      </w:pPr>
      <w:bookmarkStart w:id="191" w:name="_Toc393728068"/>
      <w:bookmarkStart w:id="192" w:name="_Toc326315909"/>
      <w:bookmarkStart w:id="193" w:name="_Toc293657068"/>
      <w:bookmarkStart w:id="194" w:name="_Toc261276580"/>
      <w:bookmarkStart w:id="195" w:name="_Toc167181038"/>
      <w:bookmarkStart w:id="196" w:name="_Toc136601642"/>
      <w:bookmarkStart w:id="197" w:name="_Toc136597739"/>
      <w:bookmarkStart w:id="198" w:name="_Toc136519971"/>
      <w:r>
        <w:rPr>
          <w:bCs/>
        </w:rPr>
        <w:t>Разходите</w:t>
      </w:r>
      <w:r>
        <w:t xml:space="preserve"> (вкл. вноската в бюджета на ЕС) по КФП за 201</w:t>
      </w:r>
      <w:r>
        <w:rPr>
          <w:lang w:val="en-US"/>
        </w:rPr>
        <w:t>5</w:t>
      </w:r>
      <w:r>
        <w:t xml:space="preserve"> г. са в размер на </w:t>
      </w:r>
      <w:r>
        <w:rPr>
          <w:lang w:val="en-US"/>
        </w:rPr>
        <w:t>34</w:t>
      </w:r>
      <w:r>
        <w:t> </w:t>
      </w:r>
      <w:r>
        <w:rPr>
          <w:lang w:val="en-US"/>
        </w:rPr>
        <w:t>684</w:t>
      </w:r>
      <w:r>
        <w:t>,</w:t>
      </w:r>
      <w:r w:rsidR="0006763E">
        <w:t>8</w:t>
      </w:r>
      <w:r>
        <w:t xml:space="preserve"> млн. лв. или</w:t>
      </w:r>
      <w:r>
        <w:rPr>
          <w:color w:val="0070C0"/>
        </w:rPr>
        <w:t xml:space="preserve"> </w:t>
      </w:r>
      <w:r>
        <w:rPr>
          <w:lang w:val="en-US"/>
        </w:rPr>
        <w:t>100</w:t>
      </w:r>
      <w:r>
        <w:t>,</w:t>
      </w:r>
      <w:r>
        <w:rPr>
          <w:lang w:val="en-US"/>
        </w:rPr>
        <w:t>5</w:t>
      </w:r>
      <w:r>
        <w:t xml:space="preserve"> % от разчета за годината.</w:t>
      </w:r>
      <w:r>
        <w:rPr>
          <w:color w:val="0070C0"/>
        </w:rPr>
        <w:t xml:space="preserve"> </w:t>
      </w:r>
      <w:r>
        <w:t xml:space="preserve">Общите разходи, отнесени като процент от БВП представляват </w:t>
      </w:r>
      <w:r>
        <w:rPr>
          <w:lang w:val="en-US"/>
        </w:rPr>
        <w:t>40</w:t>
      </w:r>
      <w:r>
        <w:t>,</w:t>
      </w:r>
      <w:r>
        <w:rPr>
          <w:lang w:val="en-US"/>
        </w:rPr>
        <w:t>2</w:t>
      </w:r>
      <w:r>
        <w:t xml:space="preserve"> % от БВП при 3</w:t>
      </w:r>
      <w:r>
        <w:rPr>
          <w:lang w:val="en-US"/>
        </w:rPr>
        <w:t>8</w:t>
      </w:r>
      <w:r>
        <w:t>,</w:t>
      </w:r>
      <w:r>
        <w:rPr>
          <w:lang w:val="en-US"/>
        </w:rPr>
        <w:t>8</w:t>
      </w:r>
      <w:r>
        <w:t xml:space="preserve"> % от БВП за 201</w:t>
      </w:r>
      <w:r>
        <w:rPr>
          <w:lang w:val="en-US"/>
        </w:rPr>
        <w:t>4</w:t>
      </w:r>
      <w:r>
        <w:t xml:space="preserve"> г. В структурно</w:t>
      </w:r>
      <w:r>
        <w:rPr>
          <w:color w:val="0070C0"/>
        </w:rPr>
        <w:t xml:space="preserve"> </w:t>
      </w:r>
      <w:r w:rsidRPr="00AF5601">
        <w:t xml:space="preserve">отношение ръст се наблюдава основно при </w:t>
      </w:r>
      <w:r w:rsidR="00AF5601" w:rsidRPr="00AF5601">
        <w:t>капиталовите разходи</w:t>
      </w:r>
      <w:r w:rsidRPr="00AF5601">
        <w:t>.</w:t>
      </w:r>
      <w:r>
        <w:rPr>
          <w:color w:val="0070C0"/>
        </w:rPr>
        <w:t xml:space="preserve"> </w:t>
      </w:r>
      <w:r w:rsidRPr="00AF5601">
        <w:t xml:space="preserve">В резултат на извеждането на </w:t>
      </w:r>
      <w:r w:rsidR="00AF5601" w:rsidRPr="00AF5601">
        <w:t xml:space="preserve">усилията за успешно приключване на проектите по европейските програми и фондове </w:t>
      </w:r>
      <w:r w:rsidRPr="00AF5601">
        <w:t xml:space="preserve">сред </w:t>
      </w:r>
      <w:r w:rsidR="00AF5601" w:rsidRPr="00AF5601">
        <w:t xml:space="preserve">основните </w:t>
      </w:r>
      <w:r w:rsidRPr="00AF5601">
        <w:t xml:space="preserve">приоритети в програмата за </w:t>
      </w:r>
      <w:r w:rsidR="00AF5601" w:rsidRPr="00AF5601">
        <w:t xml:space="preserve">годината, капиталовите </w:t>
      </w:r>
      <w:r w:rsidR="00AF5601" w:rsidRPr="00AF5601">
        <w:lastRenderedPageBreak/>
        <w:t xml:space="preserve">разходи </w:t>
      </w:r>
      <w:r w:rsidRPr="00AF5601">
        <w:t>отчитат значителен ръст – от 5,</w:t>
      </w:r>
      <w:r w:rsidR="00AF5601" w:rsidRPr="00AF5601">
        <w:t>9</w:t>
      </w:r>
      <w:r w:rsidRPr="00AF5601">
        <w:t xml:space="preserve"> % от БВП за 201</w:t>
      </w:r>
      <w:r w:rsidR="00AF5601" w:rsidRPr="00AF5601">
        <w:t>4</w:t>
      </w:r>
      <w:r w:rsidRPr="00AF5601">
        <w:t xml:space="preserve"> г. на </w:t>
      </w:r>
      <w:r w:rsidR="00AF5601" w:rsidRPr="00AF5601">
        <w:t>8</w:t>
      </w:r>
      <w:r w:rsidRPr="00AF5601">
        <w:t>,0 % от БВП за 201</w:t>
      </w:r>
      <w:r w:rsidR="00AF5601" w:rsidRPr="00AF5601">
        <w:t>5</w:t>
      </w:r>
      <w:r w:rsidRPr="00AF5601">
        <w:t xml:space="preserve"> г.</w:t>
      </w:r>
      <w:r>
        <w:rPr>
          <w:color w:val="0070C0"/>
        </w:rPr>
        <w:t xml:space="preserve"> </w:t>
      </w:r>
      <w:r w:rsidR="002D752B" w:rsidRPr="002D752B">
        <w:t>Друг основен приоритет в програмата</w:t>
      </w:r>
      <w:r w:rsidR="002D752B">
        <w:t xml:space="preserve"> бе</w:t>
      </w:r>
      <w:r w:rsidR="002D752B" w:rsidRPr="002D752B">
        <w:t xml:space="preserve"> свързан </w:t>
      </w:r>
      <w:r w:rsidRPr="002D752B">
        <w:t>със за</w:t>
      </w:r>
      <w:r w:rsidR="00B179AE" w:rsidRPr="002D752B">
        <w:t>пазване</w:t>
      </w:r>
      <w:r w:rsidRPr="00741C98">
        <w:t xml:space="preserve"> на социалната ангажираност на държавата към най-уязвимите групи от населението, </w:t>
      </w:r>
      <w:r w:rsidRPr="002D752B">
        <w:t xml:space="preserve">както и </w:t>
      </w:r>
      <w:r w:rsidR="002D752B" w:rsidRPr="002D752B">
        <w:t>покриване недостига за финансиране в здравеопазването</w:t>
      </w:r>
      <w:r w:rsidR="00B179AE" w:rsidRPr="002D752B">
        <w:rPr>
          <w:bCs/>
        </w:rPr>
        <w:t>.</w:t>
      </w:r>
      <w:r w:rsidRPr="002D752B">
        <w:t xml:space="preserve">, </w:t>
      </w:r>
      <w:r w:rsidR="00741C98" w:rsidRPr="002D752B">
        <w:t xml:space="preserve">което обаче благодарение на </w:t>
      </w:r>
      <w:r w:rsidR="002D752B" w:rsidRPr="002D752B">
        <w:rPr>
          <w:bCs/>
        </w:rPr>
        <w:t>затегнатите</w:t>
      </w:r>
      <w:r w:rsidR="002D752B" w:rsidRPr="00272671">
        <w:rPr>
          <w:bCs/>
          <w:color w:val="000000"/>
        </w:rPr>
        <w:t xml:space="preserve"> контролни механизми при изразходването на обществените средства в системата на </w:t>
      </w:r>
      <w:r w:rsidR="002D752B" w:rsidRPr="002D752B">
        <w:rPr>
          <w:bCs/>
        </w:rPr>
        <w:t>здравеопазването</w:t>
      </w:r>
      <w:r w:rsidR="002D752B" w:rsidRPr="002D752B">
        <w:t xml:space="preserve"> не </w:t>
      </w:r>
      <w:r w:rsidRPr="002D752B">
        <w:t>доведе до ръст на социалните и здравноосигурителни плащания</w:t>
      </w:r>
      <w:r w:rsidR="002D752B" w:rsidRPr="002D752B">
        <w:t xml:space="preserve"> като процент от БВП</w:t>
      </w:r>
      <w:r w:rsidRPr="002D752B">
        <w:t xml:space="preserve">. </w:t>
      </w:r>
      <w:r w:rsidR="002D752B" w:rsidRPr="002D752B">
        <w:t>Отнесени като процент от БВП социалните и здравноосигурителни плащания</w:t>
      </w:r>
      <w:r w:rsidR="002D752B">
        <w:t xml:space="preserve"> представляват 16% от БВП при 16,2 % от БВП за 2014 г.</w:t>
      </w:r>
    </w:p>
    <w:p w:rsidR="00DB3468" w:rsidRDefault="00DB3468" w:rsidP="00DB3468">
      <w:pPr>
        <w:pStyle w:val="Heading3"/>
        <w:numPr>
          <w:ilvl w:val="2"/>
          <w:numId w:val="15"/>
        </w:numPr>
        <w:rPr>
          <w:rFonts w:ascii="Times New Roman" w:hAnsi="Times New Roman" w:cs="Times New Roman"/>
          <w:sz w:val="24"/>
          <w:szCs w:val="24"/>
          <w:lang w:val="bg-BG"/>
        </w:rPr>
      </w:pPr>
      <w:bookmarkStart w:id="199" w:name="_Toc430165278"/>
      <w:bookmarkStart w:id="200" w:name="_Toc393728067"/>
      <w:bookmarkStart w:id="201" w:name="_Toc462146116"/>
      <w:r>
        <w:rPr>
          <w:rFonts w:ascii="Times New Roman" w:hAnsi="Times New Roman" w:cs="Times New Roman"/>
          <w:sz w:val="24"/>
          <w:szCs w:val="24"/>
          <w:lang w:val="bg-BG"/>
        </w:rPr>
        <w:t>Текущи нелихвени разходи</w:t>
      </w:r>
      <w:bookmarkEnd w:id="199"/>
      <w:bookmarkEnd w:id="200"/>
      <w:bookmarkEnd w:id="201"/>
    </w:p>
    <w:p w:rsidR="00DB3468" w:rsidRDefault="00DB3468" w:rsidP="00DB3468">
      <w:pPr>
        <w:rPr>
          <w:color w:val="0070C0"/>
          <w:sz w:val="12"/>
          <w:szCs w:val="12"/>
        </w:rPr>
      </w:pPr>
    </w:p>
    <w:p w:rsidR="00DB3468" w:rsidRDefault="00DB3468" w:rsidP="00DB3468">
      <w:pPr>
        <w:ind w:firstLine="720"/>
        <w:jc w:val="both"/>
      </w:pPr>
      <w:r>
        <w:t>Отчетените текущи нелихвени разходи по консолидираната фискална програма за 201</w:t>
      </w:r>
      <w:r>
        <w:rPr>
          <w:lang w:val="en-US"/>
        </w:rPr>
        <w:t>5</w:t>
      </w:r>
      <w:r>
        <w:t xml:space="preserve"> г. са в размер на 2</w:t>
      </w:r>
      <w:r>
        <w:rPr>
          <w:lang w:val="en-US"/>
        </w:rPr>
        <w:t>6</w:t>
      </w:r>
      <w:r w:rsidR="00EB1F1E">
        <w:rPr>
          <w:lang w:val="en-US"/>
        </w:rPr>
        <w:t> </w:t>
      </w:r>
      <w:r>
        <w:rPr>
          <w:lang w:val="en-US"/>
        </w:rPr>
        <w:t>1</w:t>
      </w:r>
      <w:r w:rsidR="00EB1F1E">
        <w:t>40,</w:t>
      </w:r>
      <w:r w:rsidR="0006763E">
        <w:t>3</w:t>
      </w:r>
      <w:r>
        <w:rPr>
          <w:lang w:val="en-US"/>
        </w:rPr>
        <w:t xml:space="preserve"> </w:t>
      </w:r>
      <w:r>
        <w:t xml:space="preserve">млн. лв. или </w:t>
      </w:r>
      <w:r>
        <w:rPr>
          <w:lang w:val="ru-RU"/>
        </w:rPr>
        <w:t>3</w:t>
      </w:r>
      <w:r>
        <w:rPr>
          <w:lang w:val="en-US"/>
        </w:rPr>
        <w:t>0</w:t>
      </w:r>
      <w:r>
        <w:rPr>
          <w:lang w:val="ru-RU"/>
        </w:rPr>
        <w:t>,</w:t>
      </w:r>
      <w:r>
        <w:rPr>
          <w:lang w:val="en-US"/>
        </w:rPr>
        <w:t>3</w:t>
      </w:r>
      <w:r>
        <w:t xml:space="preserve"> % от БВП. </w:t>
      </w:r>
    </w:p>
    <w:p w:rsidR="00DB3468" w:rsidRDefault="00DB3468" w:rsidP="00DB3468">
      <w:pPr>
        <w:keepNext/>
        <w:spacing w:before="240" w:after="60"/>
        <w:ind w:firstLine="360"/>
        <w:outlineLvl w:val="3"/>
        <w:rPr>
          <w:b/>
          <w:bCs/>
          <w:i/>
        </w:rPr>
      </w:pPr>
      <w:r>
        <w:rPr>
          <w:b/>
          <w:bCs/>
          <w:i/>
        </w:rPr>
        <w:t xml:space="preserve">      Заплати и възнаграждения за персонала </w:t>
      </w:r>
    </w:p>
    <w:p w:rsidR="00DB3468" w:rsidRDefault="00DB3468" w:rsidP="00DB3468">
      <w:pPr>
        <w:autoSpaceDE w:val="0"/>
        <w:autoSpaceDN w:val="0"/>
        <w:adjustRightInd w:val="0"/>
        <w:rPr>
          <w:b/>
          <w:bCs/>
          <w:color w:val="0070C0"/>
          <w:sz w:val="8"/>
          <w:szCs w:val="8"/>
        </w:rPr>
      </w:pPr>
    </w:p>
    <w:p w:rsidR="00DB3468" w:rsidRDefault="00DB3468" w:rsidP="00DB3468">
      <w:pPr>
        <w:autoSpaceDE w:val="0"/>
        <w:autoSpaceDN w:val="0"/>
        <w:adjustRightInd w:val="0"/>
        <w:rPr>
          <w:b/>
          <w:bCs/>
          <w:color w:val="0070C0"/>
          <w:sz w:val="2"/>
          <w:szCs w:val="2"/>
        </w:rPr>
      </w:pPr>
    </w:p>
    <w:p w:rsidR="00DB3468" w:rsidRDefault="00DB3468" w:rsidP="00DB3468">
      <w:pPr>
        <w:autoSpaceDE w:val="0"/>
        <w:autoSpaceDN w:val="0"/>
        <w:adjustRightInd w:val="0"/>
        <w:ind w:firstLine="720"/>
        <w:jc w:val="both"/>
        <w:rPr>
          <w:color w:val="0070C0"/>
        </w:rPr>
      </w:pPr>
      <w:r>
        <w:t>През 201</w:t>
      </w:r>
      <w:r>
        <w:rPr>
          <w:lang w:val="en-US"/>
        </w:rPr>
        <w:t>5</w:t>
      </w:r>
      <w:r>
        <w:t xml:space="preserve"> г. за заплати и възнаграждения на персонала, нает по трудови и служебни правоотношения на консолидирано ниво, са изразходвани 4 </w:t>
      </w:r>
      <w:r>
        <w:rPr>
          <w:lang w:val="en-US"/>
        </w:rPr>
        <w:t>664</w:t>
      </w:r>
      <w:r>
        <w:t>,</w:t>
      </w:r>
      <w:r>
        <w:rPr>
          <w:lang w:val="en-US"/>
        </w:rPr>
        <w:t>1</w:t>
      </w:r>
      <w:r>
        <w:t xml:space="preserve"> млн. лв., което представлява 5,</w:t>
      </w:r>
      <w:r>
        <w:rPr>
          <w:lang w:val="en-US"/>
        </w:rPr>
        <w:t>4</w:t>
      </w:r>
      <w:r>
        <w:t xml:space="preserve"> % от БВП. </w:t>
      </w:r>
      <w:r w:rsidRPr="00B02F35">
        <w:rPr>
          <w:rFonts w:cs="Arial"/>
          <w:bCs/>
          <w:szCs w:val="26"/>
        </w:rPr>
        <w:t>Динамиката на заплатите в бюджетната сфера следваше общото икономическо развитие и не оказа натиск върху средните доходи в страната.</w:t>
      </w:r>
      <w:r>
        <w:rPr>
          <w:rFonts w:cs="Arial"/>
          <w:bCs/>
          <w:color w:val="0070C0"/>
          <w:szCs w:val="26"/>
        </w:rPr>
        <w:t xml:space="preserve"> </w:t>
      </w:r>
      <w:r w:rsidRPr="00B02F35">
        <w:rPr>
          <w:rFonts w:cs="Arial"/>
          <w:bCs/>
          <w:szCs w:val="26"/>
        </w:rPr>
        <w:t>През 201</w:t>
      </w:r>
      <w:r w:rsidR="00B02F35" w:rsidRPr="00B02F35">
        <w:rPr>
          <w:rFonts w:cs="Arial"/>
          <w:bCs/>
          <w:szCs w:val="26"/>
        </w:rPr>
        <w:t>5</w:t>
      </w:r>
      <w:r w:rsidRPr="00B02F35">
        <w:rPr>
          <w:rFonts w:cs="Arial"/>
          <w:bCs/>
          <w:szCs w:val="26"/>
        </w:rPr>
        <w:t xml:space="preserve"> г. номиналното годишно увеличение на общите разходи за заплати и възнаграждения на персонала възлиза на </w:t>
      </w:r>
      <w:r w:rsidR="00B02F35" w:rsidRPr="00B02F35">
        <w:rPr>
          <w:rFonts w:cs="Arial"/>
          <w:bCs/>
          <w:szCs w:val="26"/>
        </w:rPr>
        <w:t>1</w:t>
      </w:r>
      <w:r w:rsidRPr="00B02F35">
        <w:rPr>
          <w:rFonts w:cs="Arial"/>
          <w:bCs/>
          <w:szCs w:val="26"/>
        </w:rPr>
        <w:t>,</w:t>
      </w:r>
      <w:r w:rsidR="00B02F35" w:rsidRPr="00B02F35">
        <w:rPr>
          <w:rFonts w:cs="Arial"/>
          <w:bCs/>
          <w:szCs w:val="26"/>
        </w:rPr>
        <w:t>2</w:t>
      </w:r>
      <w:r w:rsidRPr="00B02F35">
        <w:rPr>
          <w:rFonts w:cs="Arial"/>
          <w:bCs/>
          <w:szCs w:val="26"/>
        </w:rPr>
        <w:t xml:space="preserve"> %,</w:t>
      </w:r>
      <w:r>
        <w:rPr>
          <w:rFonts w:cs="Arial"/>
          <w:bCs/>
          <w:color w:val="0070C0"/>
          <w:szCs w:val="26"/>
        </w:rPr>
        <w:t xml:space="preserve"> </w:t>
      </w:r>
      <w:r w:rsidRPr="00261DE9">
        <w:rPr>
          <w:rFonts w:cs="Arial"/>
          <w:bCs/>
          <w:szCs w:val="26"/>
        </w:rPr>
        <w:t xml:space="preserve">докато номиналният растеж на средната работна заплата в страната бе </w:t>
      </w:r>
      <w:r w:rsidR="00261DE9" w:rsidRPr="00261DE9">
        <w:rPr>
          <w:rFonts w:cs="Arial"/>
          <w:bCs/>
          <w:szCs w:val="26"/>
        </w:rPr>
        <w:t>8</w:t>
      </w:r>
      <w:r w:rsidRPr="00261DE9">
        <w:rPr>
          <w:rFonts w:cs="Arial"/>
          <w:bCs/>
          <w:szCs w:val="26"/>
        </w:rPr>
        <w:t>,</w:t>
      </w:r>
      <w:r w:rsidR="00BC35AB">
        <w:rPr>
          <w:rFonts w:cs="Arial"/>
          <w:bCs/>
          <w:szCs w:val="26"/>
        </w:rPr>
        <w:t>8</w:t>
      </w:r>
      <w:r w:rsidRPr="00261DE9">
        <w:rPr>
          <w:rFonts w:cs="Arial"/>
          <w:bCs/>
          <w:szCs w:val="26"/>
        </w:rPr>
        <w:t xml:space="preserve"> %. </w:t>
      </w:r>
      <w:r w:rsidRPr="00261DE9">
        <w:t>В</w:t>
      </w:r>
      <w:r w:rsidRPr="00B02F35">
        <w:t xml:space="preserve"> структурно отношение с най-голям относителен дял от съставните бюджети са разходите за заплати по държавния бюджет и по бюджетите на общините, свързано с обхвата и спецификата на делегираните им функции.</w:t>
      </w:r>
      <w:r>
        <w:rPr>
          <w:color w:val="0070C0"/>
        </w:rPr>
        <w:t xml:space="preserve"> </w:t>
      </w:r>
      <w:r w:rsidRPr="00261DE9">
        <w:t>Ръст в разходите за заплати спрямо 201</w:t>
      </w:r>
      <w:r w:rsidR="00261DE9" w:rsidRPr="00261DE9">
        <w:t>4</w:t>
      </w:r>
      <w:r w:rsidRPr="00261DE9">
        <w:t xml:space="preserve"> г. се отчита в общините</w:t>
      </w:r>
      <w:r w:rsidR="007A78D1">
        <w:t>, докато разходите за заплати по държавния бюджет намаляват</w:t>
      </w:r>
      <w:r w:rsidRPr="00261DE9">
        <w:t>.</w:t>
      </w:r>
      <w:r>
        <w:rPr>
          <w:color w:val="0070C0"/>
        </w:rPr>
        <w:t xml:space="preserve"> </w:t>
      </w:r>
    </w:p>
    <w:p w:rsidR="00DB3468" w:rsidRDefault="00DB3468" w:rsidP="00DB3468">
      <w:pPr>
        <w:keepNext/>
        <w:spacing w:before="240" w:after="60"/>
        <w:ind w:firstLine="540"/>
        <w:outlineLvl w:val="3"/>
        <w:rPr>
          <w:b/>
          <w:bCs/>
          <w:i/>
        </w:rPr>
      </w:pPr>
      <w:r>
        <w:rPr>
          <w:b/>
          <w:bCs/>
          <w:i/>
        </w:rPr>
        <w:t xml:space="preserve">   Осигурителни вноски </w:t>
      </w:r>
    </w:p>
    <w:p w:rsidR="00DB3468" w:rsidRDefault="00DB3468" w:rsidP="00DB3468">
      <w:pPr>
        <w:autoSpaceDE w:val="0"/>
        <w:autoSpaceDN w:val="0"/>
        <w:adjustRightInd w:val="0"/>
        <w:jc w:val="both"/>
        <w:rPr>
          <w:color w:val="0070C0"/>
          <w:sz w:val="2"/>
          <w:szCs w:val="2"/>
        </w:rPr>
      </w:pPr>
    </w:p>
    <w:p w:rsidR="00DB3468" w:rsidRDefault="00DB3468" w:rsidP="00DB3468">
      <w:pPr>
        <w:ind w:firstLine="540"/>
        <w:jc w:val="both"/>
        <w:rPr>
          <w:color w:val="0070C0"/>
          <w:sz w:val="12"/>
          <w:szCs w:val="12"/>
        </w:rPr>
      </w:pPr>
    </w:p>
    <w:p w:rsidR="00DB3468" w:rsidRDefault="00DB3468" w:rsidP="00DB3468">
      <w:pPr>
        <w:ind w:firstLine="720"/>
        <w:jc w:val="both"/>
      </w:pPr>
      <w:r>
        <w:t>Разходите за пенсионни и здравноосигурителни вноски на заетите в бюджетния сектор за 201</w:t>
      </w:r>
      <w:r>
        <w:rPr>
          <w:lang w:val="en-US"/>
        </w:rPr>
        <w:t>5</w:t>
      </w:r>
      <w:r>
        <w:t xml:space="preserve"> г. са в размер на 1 41</w:t>
      </w:r>
      <w:r>
        <w:rPr>
          <w:lang w:val="en-US"/>
        </w:rPr>
        <w:t>9</w:t>
      </w:r>
      <w:r>
        <w:t>,0 млн. лв. или 10</w:t>
      </w:r>
      <w:r>
        <w:rPr>
          <w:lang w:val="en-US"/>
        </w:rPr>
        <w:t>2</w:t>
      </w:r>
      <w:r>
        <w:t>,</w:t>
      </w:r>
      <w:r>
        <w:rPr>
          <w:lang w:val="en-US"/>
        </w:rPr>
        <w:t>4</w:t>
      </w:r>
      <w:r>
        <w:t xml:space="preserve"> % спрямо разчета за годината. Като относителен дял от БВП тези разходи представляват 1,6 % от БВП. </w:t>
      </w:r>
    </w:p>
    <w:p w:rsidR="00DB3468" w:rsidRDefault="00DB3468" w:rsidP="00DB3468">
      <w:pPr>
        <w:keepNext/>
        <w:spacing w:before="240" w:after="60"/>
        <w:ind w:firstLine="720"/>
        <w:outlineLvl w:val="3"/>
        <w:rPr>
          <w:b/>
          <w:bCs/>
          <w:i/>
        </w:rPr>
      </w:pPr>
      <w:r>
        <w:rPr>
          <w:b/>
          <w:bCs/>
          <w:i/>
        </w:rPr>
        <w:t xml:space="preserve">    Издръжка</w:t>
      </w:r>
    </w:p>
    <w:p w:rsidR="00DB3468" w:rsidRDefault="00DB3468" w:rsidP="00DB3468">
      <w:pPr>
        <w:autoSpaceDE w:val="0"/>
        <w:autoSpaceDN w:val="0"/>
        <w:adjustRightInd w:val="0"/>
        <w:ind w:firstLine="720"/>
        <w:rPr>
          <w:b/>
          <w:bCs/>
          <w:color w:val="0070C0"/>
          <w:sz w:val="8"/>
          <w:szCs w:val="8"/>
        </w:rPr>
      </w:pPr>
    </w:p>
    <w:p w:rsidR="00DB3468" w:rsidRPr="00122960" w:rsidRDefault="00DB3468" w:rsidP="00DB3468">
      <w:pPr>
        <w:ind w:firstLine="720"/>
        <w:jc w:val="both"/>
        <w:rPr>
          <w:bCs/>
          <w:sz w:val="8"/>
          <w:szCs w:val="8"/>
        </w:rPr>
      </w:pPr>
      <w:r w:rsidRPr="00EC33FC">
        <w:t>Разходите за издръжка по КФП за 20</w:t>
      </w:r>
      <w:r w:rsidRPr="00122960">
        <w:t>15</w:t>
      </w:r>
      <w:r w:rsidRPr="00EC33FC">
        <w:t xml:space="preserve"> г. са в размер на 4 465,</w:t>
      </w:r>
      <w:r w:rsidR="00312BC9">
        <w:t>6</w:t>
      </w:r>
      <w:r w:rsidRPr="00EC33FC">
        <w:t xml:space="preserve"> млн. лв., което представлява</w:t>
      </w:r>
      <w:r w:rsidRPr="00EC33FC">
        <w:rPr>
          <w:color w:val="0070C0"/>
        </w:rPr>
        <w:t xml:space="preserve"> </w:t>
      </w:r>
      <w:r w:rsidRPr="00EC33FC">
        <w:rPr>
          <w:lang w:val="en-US"/>
        </w:rPr>
        <w:t>88</w:t>
      </w:r>
      <w:r w:rsidRPr="00EC33FC">
        <w:t>,</w:t>
      </w:r>
      <w:r w:rsidRPr="00EC33FC">
        <w:rPr>
          <w:lang w:val="en-US"/>
        </w:rPr>
        <w:t>8</w:t>
      </w:r>
      <w:r w:rsidRPr="00EC33FC">
        <w:t xml:space="preserve"> % спрямо годишните разчети.</w:t>
      </w:r>
      <w:r w:rsidRPr="00EC33FC">
        <w:rPr>
          <w:color w:val="0070C0"/>
        </w:rPr>
        <w:t xml:space="preserve"> </w:t>
      </w:r>
      <w:r w:rsidRPr="00122960">
        <w:t>К</w:t>
      </w:r>
      <w:r w:rsidRPr="00EC33FC">
        <w:t xml:space="preserve">ато </w:t>
      </w:r>
      <w:r w:rsidRPr="00122960">
        <w:t xml:space="preserve">относителен дял </w:t>
      </w:r>
      <w:r w:rsidRPr="00EC33FC">
        <w:t xml:space="preserve">от БВП </w:t>
      </w:r>
      <w:r w:rsidRPr="00122960">
        <w:t>р</w:t>
      </w:r>
      <w:r w:rsidRPr="00EC33FC">
        <w:t>азходите за издръжка представляват 5</w:t>
      </w:r>
      <w:r w:rsidRPr="00122960">
        <w:t xml:space="preserve">,2 </w:t>
      </w:r>
      <w:r w:rsidRPr="00EC33FC">
        <w:t>%</w:t>
      </w:r>
      <w:r w:rsidRPr="00122960">
        <w:t xml:space="preserve"> от БВП</w:t>
      </w:r>
      <w:r w:rsidRPr="00EC33FC">
        <w:t>.</w:t>
      </w:r>
    </w:p>
    <w:p w:rsidR="00DB3468" w:rsidRPr="00122960" w:rsidRDefault="00DB3468" w:rsidP="00DB3468">
      <w:pPr>
        <w:autoSpaceDE w:val="0"/>
        <w:autoSpaceDN w:val="0"/>
        <w:adjustRightInd w:val="0"/>
        <w:ind w:firstLine="720"/>
        <w:jc w:val="both"/>
        <w:rPr>
          <w:color w:val="0070C0"/>
          <w:sz w:val="12"/>
          <w:szCs w:val="12"/>
        </w:rPr>
      </w:pPr>
    </w:p>
    <w:p w:rsidR="00DB3468" w:rsidRDefault="00DB3468" w:rsidP="00DB3468">
      <w:pPr>
        <w:autoSpaceDE w:val="0"/>
        <w:autoSpaceDN w:val="0"/>
        <w:adjustRightInd w:val="0"/>
        <w:ind w:firstLine="720"/>
        <w:jc w:val="both"/>
      </w:pPr>
      <w:r w:rsidRPr="00EC33FC">
        <w:t xml:space="preserve">В разходите за издръжка се включват </w:t>
      </w:r>
      <w:r w:rsidRPr="00122960">
        <w:t xml:space="preserve">текущата издръжка, </w:t>
      </w:r>
      <w:r w:rsidRPr="00EC33FC">
        <w:t xml:space="preserve">други възнаграждения и плащания за </w:t>
      </w:r>
      <w:r w:rsidRPr="00122960">
        <w:t>персонал, разходите за членски внос и участие в нетърговски организации и дейности и платените от първостепенните разпоредители с бюджет данъци, такси и</w:t>
      </w:r>
      <w:r>
        <w:t xml:space="preserve"> </w:t>
      </w:r>
      <w:r w:rsidRPr="00122960">
        <w:t>административни санкции. Разходите за текуща издръжка</w:t>
      </w:r>
      <w:r w:rsidRPr="00EC33FC">
        <w:t xml:space="preserve"> обхващат разходите за храна, медикаменти, научно-изследователски разходи и книги, горива и енергия, външни услуги, текущ ремонт и други разходи.</w:t>
      </w:r>
      <w:r w:rsidRPr="00EC33FC">
        <w:rPr>
          <w:color w:val="0070C0"/>
        </w:rPr>
        <w:t xml:space="preserve"> </w:t>
      </w:r>
      <w:r w:rsidRPr="00EC33FC">
        <w:t xml:space="preserve">В структурно отношение разходите за издръжка са с висок относителен дял в </w:t>
      </w:r>
      <w:r w:rsidRPr="00122960">
        <w:t>общите разходи по КФП (12,9 %) и се нареждат на четвърто място</w:t>
      </w:r>
      <w:r w:rsidRPr="00EC33FC">
        <w:t xml:space="preserve"> след </w:t>
      </w:r>
      <w:r w:rsidRPr="00122960">
        <w:t>социалните и капиталовите разходи и</w:t>
      </w:r>
      <w:r w:rsidRPr="00EC33FC">
        <w:t xml:space="preserve"> разходите за заплати.</w:t>
      </w:r>
      <w:r w:rsidRPr="00122960">
        <w:t xml:space="preserve"> </w:t>
      </w:r>
      <w:r w:rsidR="00EF3683" w:rsidRPr="00122960">
        <w:t>При</w:t>
      </w:r>
      <w:r w:rsidRPr="00122960">
        <w:t xml:space="preserve"> разходите за текуща издръжка и през 2015 г. се запазва тенденцията с най-висок относителен дял (42,6 %) да са разходите за външни услуги (за ползване на външни услуги, разходи за консултантски и транспортни</w:t>
      </w:r>
      <w:r>
        <w:t xml:space="preserve"> услуги, за поддръжка и ремонт на хардуер и софтуер и др.), следвани от разходите за материали, вода, горива и енергия – 25,1 % и разходите за текущ ремонт – 12,6 %, и т.н. </w:t>
      </w:r>
    </w:p>
    <w:p w:rsidR="00DB3468" w:rsidRDefault="00DB3468" w:rsidP="00DB3468">
      <w:pPr>
        <w:tabs>
          <w:tab w:val="left" w:pos="720"/>
        </w:tabs>
        <w:jc w:val="both"/>
        <w:rPr>
          <w:color w:val="0070C0"/>
          <w:sz w:val="8"/>
          <w:szCs w:val="8"/>
        </w:rPr>
      </w:pPr>
    </w:p>
    <w:p w:rsidR="00DB3468" w:rsidRDefault="00DB3468" w:rsidP="00DB3468">
      <w:pPr>
        <w:ind w:firstLine="709"/>
        <w:jc w:val="both"/>
        <w:rPr>
          <w:noProof/>
          <w:color w:val="0070C0"/>
        </w:rPr>
      </w:pPr>
      <w:r>
        <w:rPr>
          <w:bCs/>
        </w:rPr>
        <w:lastRenderedPageBreak/>
        <w:t>Средствата за компенсиране на безплатния превоз на деца и ученици до 16-годишна възраст, съгласно чл. 26, ал. 3 и 4 от Закона за народната просвета</w:t>
      </w:r>
      <w:r w:rsidR="00FE0678">
        <w:rPr>
          <w:bCs/>
        </w:rPr>
        <w:t>,</w:t>
      </w:r>
      <w:r>
        <w:rPr>
          <w:bCs/>
        </w:rPr>
        <w:t xml:space="preserve"> и на безплатните и по намалени цени превози на определени категории пътници, ползващи обществен автомобилен и железопътен транспорт, се отчитат като разходи за външни услуги в частта на издръжката.</w:t>
      </w:r>
      <w:r>
        <w:rPr>
          <w:color w:val="0070C0"/>
        </w:rPr>
        <w:t xml:space="preserve"> </w:t>
      </w:r>
      <w:r>
        <w:rPr>
          <w:noProof/>
        </w:rPr>
        <w:t>За 2015 г. утвърдените средства за компенсиране на стойността на безплатните и по намалени цени превози на някои категории пътници, определени с нормативни с нормативни актове, са в размер на 101</w:t>
      </w:r>
      <w:r w:rsidR="00312BC9">
        <w:rPr>
          <w:noProof/>
        </w:rPr>
        <w:t>,</w:t>
      </w:r>
      <w:r>
        <w:rPr>
          <w:noProof/>
        </w:rPr>
        <w:t>0 млн.лв.</w:t>
      </w:r>
      <w:r>
        <w:t>, от които за</w:t>
      </w:r>
      <w:r>
        <w:rPr>
          <w:bCs/>
        </w:rPr>
        <w:t xml:space="preserve"> пътнически превози по автомобилния транспорт</w:t>
      </w:r>
      <w:r>
        <w:t xml:space="preserve"> – </w:t>
      </w:r>
      <w:r>
        <w:rPr>
          <w:noProof/>
          <w:szCs w:val="20"/>
          <w:lang w:val="en-AU" w:eastAsia="en-US"/>
        </w:rPr>
        <w:t>79</w:t>
      </w:r>
      <w:r>
        <w:rPr>
          <w:noProof/>
          <w:szCs w:val="20"/>
          <w:lang w:eastAsia="en-US"/>
        </w:rPr>
        <w:t>,</w:t>
      </w:r>
      <w:r>
        <w:rPr>
          <w:noProof/>
          <w:szCs w:val="20"/>
          <w:lang w:val="en-AU" w:eastAsia="en-US"/>
        </w:rPr>
        <w:t>0 млн. лв., а за превозите по железопътния транспорт – 22</w:t>
      </w:r>
      <w:r>
        <w:rPr>
          <w:noProof/>
          <w:szCs w:val="20"/>
          <w:lang w:eastAsia="en-US"/>
        </w:rPr>
        <w:t>,</w:t>
      </w:r>
      <w:r>
        <w:rPr>
          <w:noProof/>
          <w:szCs w:val="20"/>
          <w:lang w:val="en-AU" w:eastAsia="en-US"/>
        </w:rPr>
        <w:t xml:space="preserve">0 млн. лв. </w:t>
      </w:r>
      <w:r>
        <w:rPr>
          <w:noProof/>
        </w:rPr>
        <w:t>В края на 2015 г. с ПМС № 355/2015 г. се предоставиха допълнителни средства за сметка на преструктуриране на разходите по централния бюджет за 2015 г. в размер 3,5 млн. лв. и 0,5 млн. лв. от намаление на утвърдените разходи по "Политика в областта на всеобхватно, достъпно и качествено образование и обучение в предучилищното възпитание и подготовка и училищното образование. Учене през целия живот", бюджетна програма "Улесняване на достъпа до образование. Приобщаващо образование" по бюджета на Министерството на образованието и науката за 2015 г., с цел покриване на разходите за безплатен превоз на деца и ученици до 16-годишна възраст, като с това средствата за компенсации за пътнически превози по автомобилния транспорт за 2015 г. нарастват на 83,0 млн. лв.</w:t>
      </w:r>
      <w:r>
        <w:rPr>
          <w:noProof/>
          <w:color w:val="0070C0"/>
        </w:rPr>
        <w:t xml:space="preserve"> </w:t>
      </w:r>
      <w:r>
        <w:rPr>
          <w:noProof/>
        </w:rPr>
        <w:t xml:space="preserve">Общо предоставените средства за компенсации за годината за автомобилния и железопътния транспорт са 98,1 млн. лв., от които </w:t>
      </w:r>
      <w:r>
        <w:t xml:space="preserve">компенсации за превози по железопътния транспорт – 15,7 млн. лв. и </w:t>
      </w:r>
      <w:r>
        <w:rPr>
          <w:noProof/>
        </w:rPr>
        <w:t>компенсации за превози по обществения вътрешноградски и междуселищен автомобилен транспорт в страната – 82,4 млн. лв.</w:t>
      </w:r>
    </w:p>
    <w:p w:rsidR="00DB3468" w:rsidRDefault="00DB3468" w:rsidP="00DB3468">
      <w:pPr>
        <w:spacing w:after="120"/>
        <w:ind w:firstLine="720"/>
        <w:jc w:val="both"/>
        <w:rPr>
          <w:bCs/>
          <w:noProof/>
          <w:lang w:eastAsia="en-US"/>
        </w:rPr>
      </w:pPr>
      <w:r>
        <w:rPr>
          <w:noProof/>
          <w:lang w:eastAsia="en-US"/>
        </w:rPr>
        <w:t xml:space="preserve">През 2015 г. са предоставени компенсации за безплатни и по намалени цени превози по железопътния транспорт на „БДЖ – Пътнически превози“ ЕООД в размер на 15,7 млн. лв. Изпълнението спрямо годишния план е 71,6 %, което е резултат от обема на предоставените услуги, съответно размера на направените намаления, подлежащи на компенсиране.   </w:t>
      </w:r>
    </w:p>
    <w:p w:rsidR="00DB3468" w:rsidRDefault="00DB3468" w:rsidP="00DB3468">
      <w:pPr>
        <w:spacing w:after="120"/>
        <w:ind w:firstLine="720"/>
        <w:jc w:val="both"/>
        <w:rPr>
          <w:noProof/>
          <w:lang w:eastAsia="en-US"/>
        </w:rPr>
      </w:pPr>
      <w:r>
        <w:rPr>
          <w:noProof/>
          <w:lang w:eastAsia="en-US"/>
        </w:rPr>
        <w:t>Предоставените на общините средства за компенсиране на стойността на безплатните и по намалени цени превози по автомобилния транспорт, диференцирани по групи правоимащи и обхват на преференциите в автомобилния транспорт, в размер на 82,4 млн. лв. за 2015 г., се разпределят както следва:</w:t>
      </w:r>
    </w:p>
    <w:p w:rsidR="00DB3468" w:rsidRDefault="00DB3468" w:rsidP="00DB3468">
      <w:pPr>
        <w:spacing w:after="120"/>
        <w:ind w:firstLine="720"/>
        <w:jc w:val="both"/>
        <w:rPr>
          <w:lang w:eastAsia="en-US"/>
        </w:rPr>
      </w:pPr>
      <w:r>
        <w:rPr>
          <w:lang w:eastAsia="en-US"/>
        </w:rPr>
        <w:t xml:space="preserve">- 29,5 млн. лв. за компенсиране на безплатния превоз на деца и ученици до 16-годишна възраст в съответствие с чл. 26, ал. 3 и 4 от Закона за народната просвета. Изпълнението спрямо уточнения годишен план е 100%. </w:t>
      </w:r>
    </w:p>
    <w:p w:rsidR="00DB3468" w:rsidRDefault="00DB3468" w:rsidP="00DB3468">
      <w:pPr>
        <w:spacing w:after="120"/>
        <w:ind w:firstLine="720"/>
        <w:jc w:val="both"/>
        <w:rPr>
          <w:lang w:eastAsia="en-US"/>
        </w:rPr>
      </w:pPr>
      <w:r>
        <w:rPr>
          <w:lang w:eastAsia="en-US"/>
        </w:rPr>
        <w:t>- 52,9 млн. лв. за компенсиране на стойността на безплатните и по намалени цени превози на определени категории пътници по общини. Следва да се има в предвид, че по пътя на изпълнението тези разходи се отчитат като текущи трансфери, обезщетения и помощи за домакинствата. Изпълнението спрямо годишния план е 99,0 %, в т.ч.:</w:t>
      </w:r>
    </w:p>
    <w:p w:rsidR="00DB3468" w:rsidRDefault="00DB3468" w:rsidP="00DB3468">
      <w:pPr>
        <w:spacing w:after="120"/>
        <w:ind w:firstLine="720"/>
        <w:jc w:val="both"/>
        <w:rPr>
          <w:lang w:eastAsia="en-US"/>
        </w:rPr>
      </w:pPr>
      <w:r>
        <w:rPr>
          <w:lang w:eastAsia="en-US"/>
        </w:rPr>
        <w:t xml:space="preserve">- 37,2 млн. лв. за безплатни превози на ветерани от войните, военноинвалиди и военнопострадали, както и превози с ценови отстъпки на деца, учащи се и лица, получаващи пенсия, по вътрешноградския и междуселищен транспорт в страната, което представлява </w:t>
      </w:r>
      <w:r w:rsidR="00D43B43">
        <w:rPr>
          <w:lang w:eastAsia="en-US"/>
        </w:rPr>
        <w:t>98,5</w:t>
      </w:r>
      <w:r>
        <w:rPr>
          <w:lang w:eastAsia="en-US"/>
        </w:rPr>
        <w:t xml:space="preserve"> % от годишния план. </w:t>
      </w:r>
    </w:p>
    <w:p w:rsidR="00DB3468" w:rsidRDefault="00DB3468" w:rsidP="00DB3468">
      <w:pPr>
        <w:spacing w:after="120"/>
        <w:ind w:firstLine="709"/>
        <w:jc w:val="both"/>
        <w:rPr>
          <w:color w:val="0070C0"/>
        </w:rPr>
      </w:pPr>
      <w:r>
        <w:rPr>
          <w:lang w:eastAsia="en-US"/>
        </w:rPr>
        <w:t xml:space="preserve">- </w:t>
      </w:r>
      <w:r>
        <w:rPr>
          <w:noProof/>
          <w:lang w:eastAsia="en-US"/>
        </w:rPr>
        <w:t>15,7 млн. лв. предоставени средства за 2015 г. за безплатни превози на служители от Министерство на вътрешните работи, Държавна агенция „Национална сигурност“, Държавна агенция „Технически операции“ и специализирани звена към Министерство на правосъдието. Изпълнението е 100 % от годишния план.</w:t>
      </w:r>
    </w:p>
    <w:p w:rsidR="00DB3468" w:rsidRDefault="00DB3468" w:rsidP="00DB3468">
      <w:pPr>
        <w:keepNext/>
        <w:spacing w:before="240" w:after="60"/>
        <w:ind w:firstLine="720"/>
        <w:outlineLvl w:val="3"/>
        <w:rPr>
          <w:b/>
          <w:bCs/>
          <w:i/>
        </w:rPr>
      </w:pPr>
      <w:r>
        <w:rPr>
          <w:b/>
          <w:bCs/>
          <w:i/>
          <w:color w:val="0070C0"/>
        </w:rPr>
        <w:t xml:space="preserve">  </w:t>
      </w:r>
      <w:r>
        <w:rPr>
          <w:b/>
          <w:bCs/>
          <w:i/>
        </w:rPr>
        <w:t>Субсидии</w:t>
      </w:r>
    </w:p>
    <w:p w:rsidR="00DB3468" w:rsidRDefault="00DB3468" w:rsidP="00DB3468">
      <w:pPr>
        <w:autoSpaceDE w:val="0"/>
        <w:autoSpaceDN w:val="0"/>
        <w:adjustRightInd w:val="0"/>
        <w:rPr>
          <w:b/>
          <w:bCs/>
          <w:color w:val="0070C0"/>
          <w:sz w:val="12"/>
          <w:szCs w:val="12"/>
        </w:rPr>
      </w:pPr>
    </w:p>
    <w:p w:rsidR="00DB3468" w:rsidRDefault="00DB3468" w:rsidP="00DB3468">
      <w:pPr>
        <w:autoSpaceDE w:val="0"/>
        <w:autoSpaceDN w:val="0"/>
        <w:adjustRightInd w:val="0"/>
        <w:ind w:firstLine="720"/>
        <w:jc w:val="both"/>
      </w:pPr>
      <w:r>
        <w:rPr>
          <w:bCs/>
        </w:rPr>
        <w:lastRenderedPageBreak/>
        <w:t xml:space="preserve">Общата сума на средствата, предоставени за субсидии за системата на здравеопазването, за предприятията от реалния сектор (вкл. организациите с нестопанска цел), както и предоставените помощи за чужбина на консолидирана база през 2015 г. е </w:t>
      </w:r>
      <w:r>
        <w:rPr>
          <w:bCs/>
          <w:lang w:val="en-US"/>
        </w:rPr>
        <w:t xml:space="preserve">     </w:t>
      </w:r>
      <w:r>
        <w:rPr>
          <w:bCs/>
        </w:rPr>
        <w:t>1 6</w:t>
      </w:r>
      <w:r w:rsidR="005809EC">
        <w:rPr>
          <w:bCs/>
        </w:rPr>
        <w:t>50</w:t>
      </w:r>
      <w:r>
        <w:rPr>
          <w:bCs/>
        </w:rPr>
        <w:t>,</w:t>
      </w:r>
      <w:r w:rsidR="005809EC">
        <w:rPr>
          <w:bCs/>
        </w:rPr>
        <w:t>3</w:t>
      </w:r>
      <w:r>
        <w:rPr>
          <w:bCs/>
        </w:rPr>
        <w:t xml:space="preserve"> млн. лв., което представлява 1,9 % от БВП. Съпоставено с планираните средства за субсидии в разчетите по ЗДБРБ за 2015 г. изпълнението е 10</w:t>
      </w:r>
      <w:r w:rsidR="005809EC">
        <w:rPr>
          <w:bCs/>
        </w:rPr>
        <w:t>9</w:t>
      </w:r>
      <w:r>
        <w:rPr>
          <w:bCs/>
        </w:rPr>
        <w:t>,</w:t>
      </w:r>
      <w:r w:rsidR="005809EC">
        <w:rPr>
          <w:bCs/>
        </w:rPr>
        <w:t>9</w:t>
      </w:r>
      <w:r>
        <w:rPr>
          <w:bCs/>
          <w:lang w:val="en-US"/>
        </w:rPr>
        <w:t xml:space="preserve"> </w:t>
      </w:r>
      <w:r>
        <w:rPr>
          <w:bCs/>
        </w:rPr>
        <w:t xml:space="preserve">%. </w:t>
      </w:r>
    </w:p>
    <w:p w:rsidR="00DB3468" w:rsidRDefault="00DB3468" w:rsidP="00DB3468">
      <w:pPr>
        <w:autoSpaceDE w:val="0"/>
        <w:autoSpaceDN w:val="0"/>
        <w:adjustRightInd w:val="0"/>
        <w:ind w:firstLine="540"/>
        <w:jc w:val="both"/>
        <w:rPr>
          <w:bCs/>
          <w:color w:val="0070C0"/>
          <w:sz w:val="8"/>
          <w:szCs w:val="8"/>
        </w:rPr>
      </w:pPr>
    </w:p>
    <w:p w:rsidR="00DB3468" w:rsidRDefault="00DB3468" w:rsidP="00DB3468">
      <w:pPr>
        <w:numPr>
          <w:ilvl w:val="0"/>
          <w:numId w:val="78"/>
        </w:numPr>
        <w:tabs>
          <w:tab w:val="num" w:pos="1620"/>
        </w:tabs>
        <w:autoSpaceDE w:val="0"/>
        <w:autoSpaceDN w:val="0"/>
        <w:adjustRightInd w:val="0"/>
        <w:ind w:firstLine="192"/>
        <w:rPr>
          <w:b/>
          <w:i/>
          <w:u w:val="single"/>
        </w:rPr>
      </w:pPr>
      <w:r>
        <w:rPr>
          <w:b/>
          <w:bCs/>
          <w:i/>
          <w:u w:val="single"/>
        </w:rPr>
        <w:t>Субсидии за реалния сектор и организациите с нестопанска цел</w:t>
      </w:r>
    </w:p>
    <w:p w:rsidR="00DB3468" w:rsidRDefault="00DB3468" w:rsidP="00DB3468">
      <w:pPr>
        <w:autoSpaceDE w:val="0"/>
        <w:autoSpaceDN w:val="0"/>
        <w:adjustRightInd w:val="0"/>
        <w:ind w:hanging="168"/>
        <w:jc w:val="both"/>
        <w:rPr>
          <w:color w:val="0070C0"/>
          <w:sz w:val="8"/>
          <w:szCs w:val="8"/>
          <w:u w:val="single"/>
        </w:rPr>
      </w:pPr>
    </w:p>
    <w:p w:rsidR="00DB3468" w:rsidRDefault="00DB3468" w:rsidP="00DB3468">
      <w:pPr>
        <w:ind w:firstLine="540"/>
        <w:jc w:val="both"/>
        <w:rPr>
          <w:color w:val="0070C0"/>
          <w:sz w:val="8"/>
          <w:szCs w:val="8"/>
        </w:rPr>
      </w:pPr>
    </w:p>
    <w:p w:rsidR="00DB3468" w:rsidRDefault="00DB3468" w:rsidP="00DB3468">
      <w:pPr>
        <w:ind w:firstLine="720"/>
        <w:jc w:val="both"/>
        <w:rPr>
          <w:bCs/>
        </w:rPr>
      </w:pPr>
      <w:r>
        <w:t>През 2015 г. държавата продължи да оказва финансова подкрепа на нефинансовите предприятия от реалния сектор в съответствие с ангажиментите и участието на правителството, свързани с интегриране на националната икономика към европейските структури и пазари.</w:t>
      </w:r>
    </w:p>
    <w:p w:rsidR="00DB3468" w:rsidRDefault="00DB3468" w:rsidP="00DB3468">
      <w:pPr>
        <w:ind w:right="72" w:firstLine="720"/>
        <w:jc w:val="both"/>
        <w:rPr>
          <w:color w:val="0070C0"/>
          <w:sz w:val="12"/>
          <w:szCs w:val="12"/>
        </w:rPr>
      </w:pPr>
    </w:p>
    <w:p w:rsidR="00DB3468" w:rsidRDefault="00DB3468" w:rsidP="00DB3468">
      <w:pPr>
        <w:ind w:right="72" w:firstLine="720"/>
        <w:jc w:val="both"/>
      </w:pPr>
      <w:r>
        <w:t xml:space="preserve">Общата сума на средствата, изразходвани за субсидии за реалния сектор и организации с нестопанска цел, на консолидирано равнище е 1 531,9 млн. лв. или 108,7 % от предвидените за 2015 г. актуализирани разчети. Основните приоритетни направления на държавното финансово подпомагане през годината бяха насочени към предоставяне на средства под формата на субсидии за текуща дейност, компенсации за безплатни и по намалени цени пътувания. </w:t>
      </w:r>
    </w:p>
    <w:p w:rsidR="00DB3468" w:rsidRDefault="00DB3468" w:rsidP="00DB3468">
      <w:pPr>
        <w:ind w:firstLine="539"/>
        <w:jc w:val="both"/>
        <w:rPr>
          <w:color w:val="0070C0"/>
          <w:lang w:eastAsia="en-US"/>
        </w:rPr>
      </w:pPr>
    </w:p>
    <w:p w:rsidR="00DB3468" w:rsidRDefault="00DB3468" w:rsidP="00DB3468">
      <w:pPr>
        <w:numPr>
          <w:ilvl w:val="1"/>
          <w:numId w:val="78"/>
        </w:numPr>
        <w:tabs>
          <w:tab w:val="num" w:pos="1620"/>
        </w:tabs>
        <w:ind w:left="0" w:firstLine="1440"/>
        <w:rPr>
          <w:b/>
          <w:i/>
        </w:rPr>
      </w:pPr>
      <w:r>
        <w:rPr>
          <w:b/>
          <w:i/>
        </w:rPr>
        <w:t xml:space="preserve">Транспорт </w:t>
      </w:r>
    </w:p>
    <w:p w:rsidR="00DB3468" w:rsidRDefault="00DB3468" w:rsidP="00DB3468">
      <w:pPr>
        <w:tabs>
          <w:tab w:val="left" w:pos="720"/>
          <w:tab w:val="center" w:pos="4153"/>
          <w:tab w:val="right" w:pos="8306"/>
        </w:tabs>
        <w:ind w:right="7" w:firstLine="540"/>
        <w:jc w:val="both"/>
        <w:rPr>
          <w:color w:val="0070C0"/>
          <w:sz w:val="8"/>
          <w:szCs w:val="8"/>
        </w:rPr>
      </w:pPr>
    </w:p>
    <w:p w:rsidR="00DB3468" w:rsidRDefault="00DB3468" w:rsidP="00DB3468">
      <w:pPr>
        <w:spacing w:after="120"/>
        <w:ind w:firstLine="709"/>
        <w:jc w:val="both"/>
        <w:rPr>
          <w:noProof/>
          <w:lang w:eastAsia="en-US"/>
        </w:rPr>
      </w:pPr>
      <w:r>
        <w:rPr>
          <w:i/>
        </w:rPr>
        <w:t>Железопътен транспорт</w:t>
      </w:r>
      <w:r>
        <w:rPr>
          <w:b/>
          <w:color w:val="0070C0"/>
        </w:rPr>
        <w:t xml:space="preserve"> </w:t>
      </w:r>
      <w:r>
        <w:rPr>
          <w:color w:val="0070C0"/>
        </w:rPr>
        <w:t xml:space="preserve">– </w:t>
      </w:r>
      <w:r>
        <w:rPr>
          <w:noProof/>
        </w:rPr>
        <w:t xml:space="preserve">В съответствие с чл. 54 от Закона за железопътния транспорт, ежегодно със Закона за държавния бюджет на Република България се разчитат средства за субсидии за покриване на загуби от текуща пътническа превозна дейност на </w:t>
      </w:r>
      <w:r>
        <w:rPr>
          <w:bCs/>
          <w:noProof/>
        </w:rPr>
        <w:t>„БДЖ - Пътнически превози” ЕООД,</w:t>
      </w:r>
      <w:r>
        <w:t xml:space="preserve"> формирани от поддържането на тарифа за пътнически превози под нивото на разходите за дейността</w:t>
      </w:r>
      <w:r>
        <w:rPr>
          <w:bCs/>
          <w:noProof/>
        </w:rPr>
        <w:t xml:space="preserve"> в резултат на изпълнението на задължението му за извършване на обществени превозни услуги по сключен договор с държавата.</w:t>
      </w:r>
      <w:r>
        <w:t xml:space="preserve"> Субсидията се ползва за обезщетяване по отношение на финансовите тежести, произтичащи за предприятието поради прилагането към пътническия транспорт на транспортни тарифи и условия, наложени в интерес на потребителите</w:t>
      </w:r>
      <w:r>
        <w:rPr>
          <w:bCs/>
          <w:noProof/>
          <w:szCs w:val="20"/>
          <w:lang w:eastAsia="en-US"/>
        </w:rPr>
        <w:t>.</w:t>
      </w:r>
      <w:r>
        <w:rPr>
          <w:szCs w:val="20"/>
          <w:lang w:val="en-US" w:eastAsia="en-US"/>
        </w:rPr>
        <w:t xml:space="preserve"> </w:t>
      </w:r>
      <w:r>
        <w:rPr>
          <w:lang w:eastAsia="en-US"/>
        </w:rPr>
        <w:t xml:space="preserve">Държавното финансово подпомагане е съгласувано и прието от Европейската комисия като държавна помощ, която е </w:t>
      </w:r>
      <w:r>
        <w:rPr>
          <w:szCs w:val="20"/>
          <w:lang w:eastAsia="en-US"/>
        </w:rPr>
        <w:t>съвместима с вътрешния пазар</w:t>
      </w:r>
      <w:r>
        <w:rPr>
          <w:lang w:eastAsia="en-US"/>
        </w:rPr>
        <w:t xml:space="preserve">. </w:t>
      </w:r>
      <w:r>
        <w:rPr>
          <w:color w:val="0070C0"/>
          <w:lang w:eastAsia="en-US"/>
        </w:rPr>
        <w:t xml:space="preserve"> </w:t>
      </w:r>
      <w:r>
        <w:rPr>
          <w:noProof/>
          <w:lang w:eastAsia="en-US"/>
        </w:rPr>
        <w:t>Средствата за субсидии за „БДЖ – Пътнически превози“ ЕООД се предоставят и отчитат чрез бюджета на Министерство на транспорта, информационните технологии и съобщенията. Дружеството осъществява своята дейност през 2015 г. основно със средства от държавния бюджет под формата на субсидии и компенсации – около 71 на сто. Собственото финансиране е около 29 на сто.</w:t>
      </w:r>
      <w:r>
        <w:rPr>
          <w:noProof/>
          <w:color w:val="0070C0"/>
          <w:lang w:eastAsia="en-US"/>
        </w:rPr>
        <w:t xml:space="preserve"> </w:t>
      </w:r>
      <w:r>
        <w:rPr>
          <w:noProof/>
          <w:lang w:eastAsia="en-US"/>
        </w:rPr>
        <w:t xml:space="preserve">През 2015 г. са предоставени субсидии от държавния бюджет в размер на 179,8 млн. лв., което е  с 8,5 млн. лв. повече в сравнение с предходната година. </w:t>
      </w:r>
    </w:p>
    <w:p w:rsidR="00DB3468" w:rsidRDefault="00DB3468" w:rsidP="00DB3468">
      <w:pPr>
        <w:spacing w:after="120"/>
        <w:ind w:firstLine="709"/>
        <w:jc w:val="both"/>
        <w:rPr>
          <w:color w:val="0070C0"/>
        </w:rPr>
      </w:pPr>
      <w:r w:rsidRPr="00454259">
        <w:rPr>
          <w:noProof/>
          <w:lang w:eastAsia="en-US"/>
        </w:rPr>
        <w:t>През 2015 г. в сравнение с 2014 г. резултатите, характеризиращи икономическата ефективност от дейността пътнически превози, обект на ЗОУ</w:t>
      </w:r>
      <w:r w:rsidR="00454259" w:rsidRPr="00454259">
        <w:rPr>
          <w:noProof/>
          <w:lang w:eastAsia="en-US"/>
        </w:rPr>
        <w:t xml:space="preserve"> </w:t>
      </w:r>
      <w:r w:rsidR="00454259" w:rsidRPr="00454259">
        <w:rPr>
          <w:noProof/>
          <w:lang w:val="en-US" w:eastAsia="en-US"/>
        </w:rPr>
        <w:t>(задължение за обществени услуги)</w:t>
      </w:r>
      <w:r w:rsidRPr="00454259">
        <w:rPr>
          <w:noProof/>
          <w:lang w:eastAsia="en-US"/>
        </w:rPr>
        <w:t xml:space="preserve">, показват намаление на нетните приходи с 3,5 млн. лв. и намаление </w:t>
      </w:r>
      <w:r w:rsidR="00D43B43" w:rsidRPr="00454259">
        <w:rPr>
          <w:noProof/>
          <w:lang w:eastAsia="en-US"/>
        </w:rPr>
        <w:t>на</w:t>
      </w:r>
      <w:r w:rsidRPr="00454259">
        <w:rPr>
          <w:noProof/>
          <w:lang w:eastAsia="en-US"/>
        </w:rPr>
        <w:t xml:space="preserve">  разходите</w:t>
      </w:r>
      <w:r>
        <w:rPr>
          <w:noProof/>
          <w:lang w:eastAsia="en-US"/>
        </w:rPr>
        <w:t xml:space="preserve"> за дейността с 6,0 млн. лв.</w:t>
      </w:r>
      <w:r>
        <w:rPr>
          <w:noProof/>
          <w:color w:val="0070C0"/>
          <w:lang w:eastAsia="en-US"/>
        </w:rPr>
        <w:t xml:space="preserve"> </w:t>
      </w:r>
      <w:r>
        <w:t>През отчетния период, в сравнение с 2014 г. се отчита намаление и на броя превозени пътници и на реализираните пътниккилометри с 12 на сто. Отчетните данни показват, че в действителност не се подобрява услугата, а средствата се използват за покриване на текущи разходи, без да се предприемат действия за ефективното функциониране на дружеството. В този смисъл п</w:t>
      </w:r>
      <w:r>
        <w:rPr>
          <w:lang w:eastAsia="en-US"/>
        </w:rPr>
        <w:t>редоставянето на средствата от държавния бюджет не създава стимул за подобряване на дейността на дружеството.</w:t>
      </w:r>
      <w:r>
        <w:t xml:space="preserve"> Налага се извода, че завишаването на размера на предоставените субсидии не би довело до подобряване на технико-икономическите показатели на предприятието, характеризиращи ефективността от превозната дейност</w:t>
      </w:r>
      <w:r>
        <w:rPr>
          <w:color w:val="0070C0"/>
          <w:lang w:eastAsia="en-US"/>
        </w:rPr>
        <w:t>.</w:t>
      </w:r>
    </w:p>
    <w:p w:rsidR="00DB3468" w:rsidRDefault="00DB3468" w:rsidP="00DB3468">
      <w:pPr>
        <w:spacing w:after="120"/>
        <w:ind w:firstLine="709"/>
        <w:jc w:val="both"/>
        <w:rPr>
          <w:lang w:eastAsia="en-US"/>
        </w:rPr>
      </w:pPr>
      <w:r>
        <w:lastRenderedPageBreak/>
        <w:t xml:space="preserve">Съгласно действащото законодателство, Национална компания </w:t>
      </w:r>
      <w:r w:rsidR="00994FF4">
        <w:t>„</w:t>
      </w:r>
      <w:r>
        <w:t xml:space="preserve">Железопътна инфраструктура” е единствен управител на железопътната инфраструктура, който стопанисва и управлява предоставено й имущество – публична и частна държавна собственост и на когото е възложено изграждането, поддържането, развитието и експлоатацията на железопътната инфраструктура. </w:t>
      </w:r>
      <w:r>
        <w:rPr>
          <w:lang w:eastAsia="en-US"/>
        </w:rPr>
        <w:t>В изпълнение на чл. 25 от Закона за</w:t>
      </w:r>
      <w:r>
        <w:rPr>
          <w:color w:val="0070C0"/>
          <w:lang w:eastAsia="en-US"/>
        </w:rPr>
        <w:t xml:space="preserve"> </w:t>
      </w:r>
      <w:r>
        <w:rPr>
          <w:lang w:eastAsia="en-US"/>
        </w:rPr>
        <w:t>железопътния транспорт, държавата участва във финансирането на дейностите по изграждането, поддържането, развитието и експлоатацията на железопътната инфраструктура. По силата на тази разпоредба, размерът на финансирането се определя в рамките на дългосрочен договор между държавата, представлявана от министъра на финансите и министъра на транспорта, информационните технологии и съобщенията, и Национална компания „Железопътна инфраструктура”.</w:t>
      </w:r>
      <w:r>
        <w:rPr>
          <w:color w:val="0070C0"/>
          <w:lang w:eastAsia="en-US"/>
        </w:rPr>
        <w:t xml:space="preserve"> </w:t>
      </w:r>
      <w:r>
        <w:t>В края на 2015 г. беше сключен нов петгодишен договор между Държавата и предприятието. В него ясно се разписаха правата и отговорностите на инфраструктурния управител в изпълнение на дейностите по изграждането, поддържането, развитието и експлоатацията на железопътната инфраструктура</w:t>
      </w:r>
      <w:r>
        <w:rPr>
          <w:lang w:eastAsia="en-US"/>
        </w:rPr>
        <w:t>.</w:t>
      </w:r>
    </w:p>
    <w:p w:rsidR="00DB3468" w:rsidRDefault="00DB3468" w:rsidP="00DB3468">
      <w:pPr>
        <w:spacing w:after="120"/>
        <w:ind w:firstLine="720"/>
        <w:jc w:val="both"/>
        <w:rPr>
          <w:szCs w:val="20"/>
          <w:lang w:eastAsia="en-US"/>
        </w:rPr>
      </w:pPr>
      <w:r>
        <w:rPr>
          <w:szCs w:val="20"/>
          <w:lang w:eastAsia="en-US"/>
        </w:rPr>
        <w:t xml:space="preserve">Неразделна част от действащия през 2015 г. договор е годишната програма на </w:t>
      </w:r>
      <w:r>
        <w:rPr>
          <w:lang w:eastAsia="en-US"/>
        </w:rPr>
        <w:t>Национална компания „Железопътна инфраструктура”, в която</w:t>
      </w:r>
      <w:r>
        <w:rPr>
          <w:szCs w:val="20"/>
          <w:lang w:eastAsia="en-US"/>
        </w:rPr>
        <w:t xml:space="preserve"> подробно са описани мерките, предвидени за реализация. От особено значение са мерките по отношение на преструктуриране на дейностите и постигане на значително по-висока производителност и ефективност.</w:t>
      </w:r>
    </w:p>
    <w:p w:rsidR="00DB3468" w:rsidRDefault="00DB3468" w:rsidP="00DB3468">
      <w:pPr>
        <w:spacing w:after="120"/>
        <w:ind w:firstLine="720"/>
        <w:jc w:val="both"/>
        <w:rPr>
          <w:szCs w:val="20"/>
          <w:lang w:eastAsia="en-US"/>
        </w:rPr>
      </w:pPr>
      <w:r>
        <w:rPr>
          <w:szCs w:val="20"/>
          <w:lang w:eastAsia="en-US"/>
        </w:rPr>
        <w:t>В договора, освен показателите за повишаване скоростта на движение по ж.п. мрежата в ремонтираните участъци, повишаване безопасността на превозите и повишаване качеството на ж.п. инфраструктурата са предвидени и задължения за Национална компания „Железопътна инфраструктура” да оптимизира разходите за дейността си и да отчита напредъка чрез показателя „оперативни разходи на един зает”. Също така е предвидено да се оптимизира персоналът на един километър железен път, както и да не се допуска размерът на задълженията към доставчици и персонал за текущата година да надхвърля размера от предходната година. Тези показатели и задължения за Национална компания „Железопътна инфраструктура” се заложиха като инструменти за постигане на финансова стабилност на инфраструктурния управител, постигане на по-висока производителност на труда и съответно по-добра ефективност при изразходването на финансов ресурс от държавния бюджет.</w:t>
      </w:r>
    </w:p>
    <w:p w:rsidR="00DB3468" w:rsidRDefault="00DB3468" w:rsidP="00DB3468">
      <w:pPr>
        <w:spacing w:after="120"/>
        <w:ind w:firstLine="720"/>
        <w:jc w:val="both"/>
        <w:rPr>
          <w:color w:val="0070C0"/>
          <w:lang w:eastAsia="en-US"/>
        </w:rPr>
      </w:pPr>
      <w:r>
        <w:t>През 2015 г. се отчита изпълнение на горепосочените показатели, което не води до налагане на санкции на предприятието. П</w:t>
      </w:r>
      <w:r>
        <w:rPr>
          <w:szCs w:val="20"/>
          <w:lang w:eastAsia="en-US"/>
        </w:rPr>
        <w:t>о отношение на показателя „оперативни разходи на един зает“ се отчита увеличение на влаккилометровата работа, намаление на средносписъчния брой на персонала, в резултат на което се подобрява производителността на труда на един зает с 4,35 на сто.</w:t>
      </w:r>
      <w:r>
        <w:rPr>
          <w:color w:val="0070C0"/>
          <w:szCs w:val="20"/>
          <w:lang w:eastAsia="en-US"/>
        </w:rPr>
        <w:t xml:space="preserve"> </w:t>
      </w:r>
      <w:r>
        <w:rPr>
          <w:szCs w:val="20"/>
          <w:lang w:eastAsia="en-US"/>
        </w:rPr>
        <w:t xml:space="preserve">Независимо от това обаче, оперативните разходи на един зает нарастват с 3,58 на сто. </w:t>
      </w:r>
      <w:r>
        <w:t xml:space="preserve">Отчетеното изменение на  показателя „оперативни разходи на един зает“ се приема за обосновано, тъй като увеличението на производителността на труда на едно лице от персонала е по-голямо от увеличението на оперативните разходи на един зает с 0,77 на сто за 2015 г. спрямо 2014 г. </w:t>
      </w:r>
      <w:r>
        <w:rPr>
          <w:lang w:eastAsia="en-US"/>
        </w:rPr>
        <w:t>Отчита се незначително подобрение на показателя „брой на персонал на един километър железен път“ с 0,03 на сто за 2015 г. в сравнение с 2014 г. З</w:t>
      </w:r>
      <w:r>
        <w:t>адълженията към доставчици и персонал намаляват с 0,3 млн. лв. или с 38,2 на сто за 2015 г. спрямо 2014 г.</w:t>
      </w:r>
      <w:r>
        <w:rPr>
          <w:color w:val="0070C0"/>
          <w:lang w:eastAsia="en-US"/>
        </w:rPr>
        <w:t xml:space="preserve"> </w:t>
      </w:r>
    </w:p>
    <w:p w:rsidR="00DB3468" w:rsidRDefault="00DB3468" w:rsidP="00DB3468">
      <w:pPr>
        <w:spacing w:after="120"/>
        <w:ind w:firstLine="720"/>
        <w:jc w:val="both"/>
        <w:rPr>
          <w:lang w:eastAsia="en-US"/>
        </w:rPr>
      </w:pPr>
      <w:r>
        <w:rPr>
          <w:lang w:eastAsia="en-US"/>
        </w:rPr>
        <w:t xml:space="preserve">Със Закона за държавния бюджет на Република България за 2015 г. са предвидени средства за субсидии за текуща дейност в размер на 135,0 млн. лв. Усвоени са 134,8 млн. лв. или 99,99 на сто от годишния план. Средствата са предоставяни в съответствие с утвърдения от министъра на транспорта, информационните технологии и съобщенията График за превеждане на субсидиите, който е съобразен с необходимостта от средства за </w:t>
      </w:r>
      <w:r>
        <w:rPr>
          <w:lang w:eastAsia="en-US"/>
        </w:rPr>
        <w:lastRenderedPageBreak/>
        <w:t xml:space="preserve">финансиране на текущите дейности на компанията. През 2015 г. от Министерство на транспорта, информационните технологии и съобщенията е наложена санкция на дружеството, във връзка с неизпълнение на показателите </w:t>
      </w:r>
      <w:r>
        <w:rPr>
          <w:bCs/>
          <w:szCs w:val="20"/>
          <w:lang w:eastAsia="en-US"/>
        </w:rPr>
        <w:t xml:space="preserve">по чл. 6, ал. 1, т. 9 и 10 от Договора между Държавата </w:t>
      </w:r>
      <w:r>
        <w:rPr>
          <w:lang w:eastAsia="en-US"/>
        </w:rPr>
        <w:t xml:space="preserve">и ДП „Национална компания Железопътна инфраструктура“ за 2014 г. В тази връзка от </w:t>
      </w:r>
      <w:r>
        <w:rPr>
          <w:bCs/>
          <w:szCs w:val="20"/>
          <w:lang w:eastAsia="en-US"/>
        </w:rPr>
        <w:t xml:space="preserve">субсидията за текуща дейност за 2015 г. е приспадната сума в </w:t>
      </w:r>
      <w:r>
        <w:rPr>
          <w:lang w:eastAsia="en-US"/>
        </w:rPr>
        <w:t>размер на 0,2</w:t>
      </w:r>
      <w:r>
        <w:rPr>
          <w:bCs/>
          <w:szCs w:val="20"/>
          <w:lang w:eastAsia="en-US"/>
        </w:rPr>
        <w:t xml:space="preserve"> млн. лева. </w:t>
      </w:r>
    </w:p>
    <w:p w:rsidR="00DB3468" w:rsidRDefault="00DB3468" w:rsidP="00DB3468">
      <w:pPr>
        <w:spacing w:after="120"/>
        <w:ind w:firstLine="720"/>
        <w:jc w:val="both"/>
        <w:rPr>
          <w:lang w:eastAsia="en-US"/>
        </w:rPr>
      </w:pPr>
      <w:r>
        <w:rPr>
          <w:lang w:eastAsia="en-US"/>
        </w:rPr>
        <w:t>Държавното финансово подпомагане е съгласувано с Европейската комисия.</w:t>
      </w:r>
    </w:p>
    <w:p w:rsidR="00DB3468" w:rsidRDefault="00DB3468" w:rsidP="00DB3468">
      <w:pPr>
        <w:ind w:firstLine="720"/>
        <w:jc w:val="both"/>
      </w:pPr>
      <w:r>
        <w:rPr>
          <w:lang w:eastAsia="en-US"/>
        </w:rPr>
        <w:t>Предоставените средства под формата на субсидии позволиха през 2015 г. компанията да изпълнява успешно дейностите по поддържането, ремонта и експлоатацията на железопътната инфраструктура</w:t>
      </w:r>
      <w:r>
        <w:t>.</w:t>
      </w:r>
    </w:p>
    <w:p w:rsidR="00DB3468" w:rsidRDefault="00DB3468" w:rsidP="00DB3468">
      <w:pPr>
        <w:ind w:firstLine="720"/>
        <w:jc w:val="both"/>
        <w:rPr>
          <w:i/>
          <w:color w:val="0070C0"/>
          <w:sz w:val="12"/>
          <w:szCs w:val="12"/>
        </w:rPr>
      </w:pPr>
    </w:p>
    <w:p w:rsidR="00DB3468" w:rsidRDefault="00DB3468" w:rsidP="00DB3468">
      <w:pPr>
        <w:spacing w:after="120"/>
        <w:ind w:firstLine="709"/>
        <w:jc w:val="both"/>
        <w:rPr>
          <w:noProof/>
          <w:lang w:eastAsia="en-US"/>
        </w:rPr>
      </w:pPr>
      <w:r>
        <w:rPr>
          <w:i/>
        </w:rPr>
        <w:t xml:space="preserve">Вътрешноградски и междуселищни пътнически превози по автомобилния транспорт - </w:t>
      </w:r>
      <w:r>
        <w:rPr>
          <w:lang w:eastAsia="en-US"/>
        </w:rPr>
        <w:t>В съответствие с § 4, ал. 1, т. 1 от заключителните разпоредби към Закона за автомобилните превози, ежегодно в държавния бюджет се предвиждат средства за субсидиране на превоза на пътниците по нерентабилни линии във вътрешноградския транспорт и транспорта в планински и други райони.</w:t>
      </w:r>
      <w:r>
        <w:rPr>
          <w:color w:val="0070C0"/>
          <w:lang w:eastAsia="en-US"/>
        </w:rPr>
        <w:t xml:space="preserve"> </w:t>
      </w:r>
      <w:r>
        <w:rPr>
          <w:lang w:eastAsia="en-US"/>
        </w:rPr>
        <w:t xml:space="preserve">Администрирането на предоставените средства се осъществява чрез общините, които разпределят средствата между превозвачите на база сключени договори с общините и при съблюдаване изискванията на Наредбата за условията и реда за предоставяне на средства за компенсиране на намалените приходи от прилагането на цени за обществени пътнически превози по автомобилния транспорт, предвидени в нормативните актове за определени категории пътници, за субсидиране на обществени пътнически превози по нерентабилни автобусни линии във вътрешноградския транспорт и транспорта в планински и други райони и за издаване на превозни документи за извършване на превозите, приета с ПМС № 163 от 2015 година. </w:t>
      </w:r>
      <w:r>
        <w:t xml:space="preserve">Средствата се предоставят на транспортните дружества въз основа на фактически извършени превози, при отчитане на нетния финансов ефект на операторите. По този начин се осигурява изразходване на средствата по предназначение. </w:t>
      </w:r>
      <w:r>
        <w:rPr>
          <w:lang w:eastAsia="en-US"/>
        </w:rPr>
        <w:t xml:space="preserve">Държавното финансово подпомагане е съгласувано с Европейската комисия. </w:t>
      </w:r>
    </w:p>
    <w:p w:rsidR="00DB3468" w:rsidRDefault="00DB3468" w:rsidP="00DB3468">
      <w:pPr>
        <w:spacing w:after="120"/>
        <w:ind w:firstLine="720"/>
        <w:jc w:val="both"/>
        <w:rPr>
          <w:sz w:val="12"/>
          <w:szCs w:val="12"/>
        </w:rPr>
      </w:pPr>
      <w:r>
        <w:rPr>
          <w:noProof/>
          <w:lang w:val="en-AU" w:eastAsia="en-US"/>
        </w:rPr>
        <w:t>За 201</w:t>
      </w:r>
      <w:r>
        <w:rPr>
          <w:noProof/>
          <w:lang w:eastAsia="en-US"/>
        </w:rPr>
        <w:t>5</w:t>
      </w:r>
      <w:r>
        <w:rPr>
          <w:noProof/>
          <w:lang w:val="en-AU" w:eastAsia="en-US"/>
        </w:rPr>
        <w:t xml:space="preserve"> г. предоставените средства под формата на субсидии за покриване на загубите от извършването на вътрешноградските и междуселищните превози в страната са в размер на 2</w:t>
      </w:r>
      <w:r>
        <w:rPr>
          <w:noProof/>
          <w:lang w:val="ru-RU" w:eastAsia="en-US"/>
        </w:rPr>
        <w:t>3,</w:t>
      </w:r>
      <w:r>
        <w:rPr>
          <w:noProof/>
          <w:lang w:val="en-AU" w:eastAsia="en-US"/>
        </w:rPr>
        <w:t>0 млн. лв., в това число 8</w:t>
      </w:r>
      <w:r>
        <w:rPr>
          <w:noProof/>
          <w:lang w:eastAsia="en-US"/>
        </w:rPr>
        <w:t>,</w:t>
      </w:r>
      <w:r>
        <w:rPr>
          <w:noProof/>
          <w:lang w:val="ru-RU" w:eastAsia="en-US"/>
        </w:rPr>
        <w:t>5</w:t>
      </w:r>
      <w:r>
        <w:rPr>
          <w:noProof/>
          <w:lang w:val="en-AU" w:eastAsia="en-US"/>
        </w:rPr>
        <w:t xml:space="preserve"> млн. лв. за Столична община. Изпълнението спрямо утвърдения  годишен план е </w:t>
      </w:r>
      <w:r>
        <w:rPr>
          <w:noProof/>
          <w:lang w:eastAsia="en-US"/>
        </w:rPr>
        <w:t>99,9 </w:t>
      </w:r>
      <w:r>
        <w:rPr>
          <w:noProof/>
          <w:lang w:val="en-AU" w:eastAsia="en-US"/>
        </w:rPr>
        <w:t>%</w:t>
      </w:r>
      <w:r>
        <w:rPr>
          <w:noProof/>
          <w:lang w:eastAsia="en-US"/>
        </w:rPr>
        <w:t>.</w:t>
      </w:r>
    </w:p>
    <w:p w:rsidR="00DB3468" w:rsidRDefault="00DB3468" w:rsidP="0016149D">
      <w:pPr>
        <w:numPr>
          <w:ilvl w:val="2"/>
          <w:numId w:val="78"/>
        </w:numPr>
        <w:tabs>
          <w:tab w:val="clear" w:pos="2508"/>
        </w:tabs>
        <w:spacing w:after="120"/>
        <w:ind w:left="1800" w:hanging="180"/>
        <w:jc w:val="both"/>
        <w:rPr>
          <w:b/>
          <w:i/>
          <w:lang w:eastAsia="en-US"/>
        </w:rPr>
      </w:pPr>
      <w:r>
        <w:rPr>
          <w:b/>
          <w:i/>
          <w:lang w:eastAsia="en-US"/>
        </w:rPr>
        <w:t>Пощенски услуги</w:t>
      </w:r>
    </w:p>
    <w:p w:rsidR="00DB3468" w:rsidRDefault="00DB3468" w:rsidP="00DB3468">
      <w:pPr>
        <w:spacing w:after="120"/>
        <w:ind w:firstLine="1003"/>
        <w:jc w:val="both"/>
        <w:rPr>
          <w:noProof/>
          <w:lang w:val="en-GB" w:eastAsia="en-US"/>
        </w:rPr>
      </w:pPr>
      <w:r>
        <w:rPr>
          <w:noProof/>
          <w:lang w:val="en-GB" w:eastAsia="en-US"/>
        </w:rPr>
        <w:t>В съответствие с ч</w:t>
      </w:r>
      <w:r>
        <w:rPr>
          <w:bCs/>
          <w:noProof/>
          <w:lang w:val="en-GB" w:eastAsia="en-US"/>
        </w:rPr>
        <w:t>л. 29 от Закона за пощенските услуги,</w:t>
      </w:r>
      <w:r>
        <w:rPr>
          <w:noProof/>
          <w:lang w:val="en-GB" w:eastAsia="en-US"/>
        </w:rPr>
        <w:t xml:space="preserve"> „Български пощи“ ЕАД, като пощенски оператор със задължение за извършване на универсалната пощенска услуга, получава компенсация от държавния бюджет, когато задължението за извършване на универсалната пощенска услуга води до нетни разходи и представлява несправедлива финансова тежест за него.</w:t>
      </w:r>
    </w:p>
    <w:p w:rsidR="00DB3468" w:rsidRDefault="00DB3468" w:rsidP="00DB3468">
      <w:pPr>
        <w:spacing w:after="120"/>
        <w:ind w:firstLine="1003"/>
        <w:jc w:val="both"/>
        <w:rPr>
          <w:noProof/>
          <w:lang w:val="en-GB" w:eastAsia="en-US"/>
        </w:rPr>
      </w:pPr>
      <w:r>
        <w:rPr>
          <w:noProof/>
          <w:lang w:val="en-GB" w:eastAsia="en-US"/>
        </w:rPr>
        <w:t xml:space="preserve">За </w:t>
      </w:r>
      <w:r w:rsidR="006347E8">
        <w:rPr>
          <w:noProof/>
          <w:lang w:val="en-GB" w:eastAsia="en-US"/>
        </w:rPr>
        <w:t xml:space="preserve">2015 </w:t>
      </w:r>
      <w:r>
        <w:rPr>
          <w:noProof/>
          <w:lang w:val="en-GB" w:eastAsia="en-US"/>
        </w:rPr>
        <w:t>г. са предоставени на „Български пощи“ ЕАД средства за субсидии в размер на 1</w:t>
      </w:r>
      <w:r>
        <w:rPr>
          <w:noProof/>
          <w:lang w:eastAsia="en-US"/>
        </w:rPr>
        <w:t>2,5</w:t>
      </w:r>
      <w:r>
        <w:rPr>
          <w:noProof/>
          <w:lang w:val="en-GB" w:eastAsia="en-US"/>
        </w:rPr>
        <w:t xml:space="preserve"> млн. лв. Средствата за субсидии за „Български пощи“ ЕАД се предоставят и отчитат чрез бюджета на Министерство на транспорта, информационните технологии и съобщенията. </w:t>
      </w:r>
    </w:p>
    <w:p w:rsidR="00DB3468" w:rsidRDefault="00DB3468" w:rsidP="0016149D">
      <w:pPr>
        <w:numPr>
          <w:ilvl w:val="2"/>
          <w:numId w:val="78"/>
        </w:numPr>
        <w:tabs>
          <w:tab w:val="clear" w:pos="2508"/>
          <w:tab w:val="left" w:pos="1843"/>
        </w:tabs>
        <w:spacing w:after="120"/>
        <w:ind w:left="426" w:firstLine="1134"/>
        <w:jc w:val="both"/>
        <w:rPr>
          <w:b/>
          <w:i/>
          <w:lang w:eastAsia="en-US"/>
        </w:rPr>
      </w:pPr>
      <w:r>
        <w:rPr>
          <w:b/>
          <w:i/>
          <w:lang w:eastAsia="en-US"/>
        </w:rPr>
        <w:t>Средства за покриване на транспортни разходи за доставка на хляб, хлебни изделия и основни хранителни стоки в планинските и малките селища до 500 жители (без курортите)</w:t>
      </w:r>
    </w:p>
    <w:p w:rsidR="00DB3468" w:rsidRDefault="00DB3468" w:rsidP="00DB3468">
      <w:pPr>
        <w:spacing w:after="120"/>
        <w:ind w:firstLine="720"/>
        <w:jc w:val="both"/>
        <w:rPr>
          <w:color w:val="0070C0"/>
          <w:lang w:eastAsia="en-US"/>
        </w:rPr>
      </w:pPr>
      <w:r>
        <w:t>В изпълнение на социалните функции на държавата, ежегодно от държавния бюджет се предоставят</w:t>
      </w:r>
      <w:r>
        <w:rPr>
          <w:lang w:eastAsia="en-US"/>
        </w:rPr>
        <w:t xml:space="preserve"> средства за покриване на транспортните разходи по снабдяването на населението в планинските и малки селища с население до 500 жители с хляб, хлебни </w:t>
      </w:r>
      <w:r>
        <w:rPr>
          <w:lang w:eastAsia="en-US"/>
        </w:rPr>
        <w:lastRenderedPageBreak/>
        <w:t>изделия и основни хранителни стоки. Предвидените за тази цел средства от бюджета за 2015 г. са в размер на 3,6 млн. лв.</w:t>
      </w:r>
      <w:r>
        <w:t xml:space="preserve"> Към 31.12.2015 г. няма избран изпълнител на услугата, поради което не са предоставяни такива средства.</w:t>
      </w:r>
      <w:r w:rsidR="00357838">
        <w:t xml:space="preserve"> През 2015 г. са възстановени средства </w:t>
      </w:r>
      <w:r w:rsidR="00C707A3">
        <w:t xml:space="preserve">за изминал период </w:t>
      </w:r>
      <w:r w:rsidR="00357838">
        <w:t>в размер на 4,5 хил. л</w:t>
      </w:r>
      <w:r w:rsidR="00C707A3">
        <w:t>е</w:t>
      </w:r>
      <w:r w:rsidR="00357838">
        <w:t>в</w:t>
      </w:r>
      <w:r w:rsidR="00C707A3">
        <w:t>а</w:t>
      </w:r>
      <w:r w:rsidR="00357838">
        <w:t xml:space="preserve">. </w:t>
      </w:r>
    </w:p>
    <w:p w:rsidR="00DB3468" w:rsidRDefault="00DB3468" w:rsidP="00DB3468">
      <w:pPr>
        <w:spacing w:after="120"/>
        <w:jc w:val="both"/>
        <w:rPr>
          <w:color w:val="0070C0"/>
          <w:lang w:eastAsia="en-US"/>
        </w:rPr>
      </w:pPr>
      <w:r>
        <w:rPr>
          <w:noProof/>
          <w:color w:val="0070C0"/>
          <w:lang w:eastAsia="en-US"/>
        </w:rPr>
        <w:t xml:space="preserve">      </w:t>
      </w:r>
      <w:r>
        <w:rPr>
          <w:noProof/>
          <w:color w:val="0070C0"/>
          <w:lang w:val="en-GB" w:eastAsia="en-US"/>
        </w:rPr>
        <w:t xml:space="preserve"> </w:t>
      </w:r>
    </w:p>
    <w:p w:rsidR="00DB3468" w:rsidRDefault="00DB3468" w:rsidP="00DB3468">
      <w:pPr>
        <w:numPr>
          <w:ilvl w:val="2"/>
          <w:numId w:val="78"/>
        </w:numPr>
        <w:spacing w:after="120"/>
        <w:ind w:left="1800" w:hanging="180"/>
        <w:jc w:val="both"/>
        <w:rPr>
          <w:b/>
          <w:i/>
          <w:lang w:eastAsia="en-US"/>
        </w:rPr>
      </w:pPr>
      <w:r>
        <w:rPr>
          <w:b/>
          <w:i/>
          <w:lang w:eastAsia="en-US"/>
        </w:rPr>
        <w:t>Земеделие</w:t>
      </w:r>
    </w:p>
    <w:p w:rsidR="00DB3468" w:rsidRDefault="00DB3468" w:rsidP="00DB3468">
      <w:pPr>
        <w:ind w:firstLine="540"/>
        <w:jc w:val="both"/>
        <w:rPr>
          <w:color w:val="0070C0"/>
          <w:sz w:val="8"/>
          <w:szCs w:val="8"/>
        </w:rPr>
      </w:pPr>
    </w:p>
    <w:p w:rsidR="00DB3468" w:rsidRDefault="00DB3468" w:rsidP="00DB3468">
      <w:pPr>
        <w:ind w:firstLine="720"/>
        <w:jc w:val="both"/>
        <w:rPr>
          <w:bCs/>
          <w:noProof/>
        </w:rPr>
      </w:pPr>
      <w:r>
        <w:rPr>
          <w:bCs/>
          <w:noProof/>
        </w:rPr>
        <w:t xml:space="preserve">За 2015 г. чрез бюджета на Държавен фонд „Земеделие” (ДФЗ) и </w:t>
      </w:r>
      <w:r>
        <w:t xml:space="preserve">сметката за средства от Европейския съюз на ДФ „Земеделие” </w:t>
      </w:r>
      <w:r>
        <w:rPr>
          <w:bCs/>
          <w:noProof/>
        </w:rPr>
        <w:t xml:space="preserve">са изплатени субсидии за </w:t>
      </w:r>
      <w:r>
        <w:rPr>
          <w:bCs/>
          <w:i/>
          <w:noProof/>
        </w:rPr>
        <w:t>нефинансови предприятия</w:t>
      </w:r>
      <w:r>
        <w:rPr>
          <w:bCs/>
          <w:noProof/>
        </w:rPr>
        <w:t xml:space="preserve"> в размер на 390,4 млн. лв., в това число:</w:t>
      </w:r>
      <w:r>
        <w:rPr>
          <w:bCs/>
          <w:noProof/>
          <w:color w:val="0070C0"/>
        </w:rPr>
        <w:t xml:space="preserve"> </w:t>
      </w:r>
      <w:r>
        <w:rPr>
          <w:bCs/>
          <w:noProof/>
        </w:rPr>
        <w:t>средства по Програмата за развитие на селските райони в размер на 70,5 млн. лв. (в т.ч. и национално съфинансиране за директни плащания, прехвърлени към ЕЗФРСР), по Европейския фонд за гарантиране в земеделието (ЕФГЗ) за пазарни мерки – 11,7 млн. лв., средства за финансиране на проекти по Оперативна програма за развитие на сектор „Рибарство“ – 0,3 млн. лв. и възстановен разход от Национален Гаранционен Фонд в размер на 3,0 млн. лв.,</w:t>
      </w:r>
      <w:r>
        <w:rPr>
          <w:bCs/>
          <w:noProof/>
          <w:color w:val="0070C0"/>
        </w:rPr>
        <w:t xml:space="preserve"> </w:t>
      </w:r>
      <w:r>
        <w:rPr>
          <w:bCs/>
          <w:noProof/>
        </w:rPr>
        <w:t>държавна помощ-субсидия в размер на 108,2 млн. лв., средства за покриване на разходите за ДДС за пазарни мерки – 1,8 млн. лв.,</w:t>
      </w:r>
      <w:r>
        <w:rPr>
          <w:bCs/>
          <w:noProof/>
          <w:color w:val="0070C0"/>
        </w:rPr>
        <w:t xml:space="preserve"> </w:t>
      </w:r>
      <w:r>
        <w:rPr>
          <w:bCs/>
          <w:noProof/>
        </w:rPr>
        <w:t>национални доплащания за животни – 93,1 млн. лв., национални доплащания за тютюн – 107,4 млн. лв.</w:t>
      </w:r>
      <w:r>
        <w:rPr>
          <w:bCs/>
          <w:noProof/>
          <w:color w:val="0070C0"/>
        </w:rPr>
        <w:t xml:space="preserve"> </w:t>
      </w:r>
      <w:r>
        <w:rPr>
          <w:bCs/>
          <w:noProof/>
        </w:rPr>
        <w:t xml:space="preserve">Изплатените субсидии  през 2015 г. на </w:t>
      </w:r>
      <w:r>
        <w:rPr>
          <w:bCs/>
          <w:i/>
          <w:noProof/>
        </w:rPr>
        <w:t>организации с нестопанска цел</w:t>
      </w:r>
      <w:r>
        <w:rPr>
          <w:bCs/>
          <w:noProof/>
        </w:rPr>
        <w:t xml:space="preserve"> са в размер на 17,8 млн. лева.</w:t>
      </w:r>
    </w:p>
    <w:p w:rsidR="00DB3468" w:rsidRDefault="00DB3468" w:rsidP="00DB3468">
      <w:pPr>
        <w:tabs>
          <w:tab w:val="num" w:pos="0"/>
        </w:tabs>
        <w:ind w:firstLine="540"/>
        <w:rPr>
          <w:color w:val="0070C0"/>
          <w:sz w:val="16"/>
          <w:szCs w:val="16"/>
        </w:rPr>
      </w:pPr>
    </w:p>
    <w:p w:rsidR="00DB3468" w:rsidRDefault="00DB3468" w:rsidP="00DB3468">
      <w:pPr>
        <w:numPr>
          <w:ilvl w:val="2"/>
          <w:numId w:val="78"/>
        </w:numPr>
        <w:spacing w:after="120"/>
        <w:ind w:left="1800" w:hanging="180"/>
        <w:jc w:val="both"/>
        <w:rPr>
          <w:b/>
          <w:i/>
          <w:lang w:eastAsia="en-US"/>
        </w:rPr>
      </w:pPr>
      <w:r>
        <w:rPr>
          <w:b/>
          <w:i/>
          <w:lang w:eastAsia="en-US"/>
        </w:rPr>
        <w:t>Програми за заетост</w:t>
      </w:r>
    </w:p>
    <w:p w:rsidR="00DB3468" w:rsidRDefault="00DB3468" w:rsidP="00DB3468">
      <w:pPr>
        <w:ind w:firstLine="540"/>
        <w:jc w:val="both"/>
        <w:rPr>
          <w:color w:val="0070C0"/>
          <w:sz w:val="8"/>
          <w:szCs w:val="8"/>
        </w:rPr>
      </w:pPr>
    </w:p>
    <w:p w:rsidR="00DB3468" w:rsidRDefault="00DB3468" w:rsidP="00DB3468">
      <w:pPr>
        <w:ind w:firstLine="720"/>
        <w:jc w:val="both"/>
      </w:pPr>
      <w:r>
        <w:t>Предоставените субсидии на нефинансови предприятия и организации с нестопанска цел от бюджета на МТСП за 2015 г. са в размер на</w:t>
      </w:r>
      <w:r>
        <w:rPr>
          <w:color w:val="0070C0"/>
        </w:rPr>
        <w:t xml:space="preserve"> </w:t>
      </w:r>
      <w:r w:rsidR="00AA6A9F">
        <w:t xml:space="preserve">9,1 </w:t>
      </w:r>
      <w:r w:rsidRPr="008566F4">
        <w:t>млн. лв. за</w:t>
      </w:r>
      <w:r>
        <w:t xml:space="preserve"> програми и мерки за заетост. </w:t>
      </w:r>
    </w:p>
    <w:p w:rsidR="00DB3468" w:rsidRDefault="00DB3468" w:rsidP="00DB3468">
      <w:pPr>
        <w:ind w:firstLine="540"/>
        <w:jc w:val="both"/>
        <w:rPr>
          <w:color w:val="0070C0"/>
          <w:sz w:val="12"/>
          <w:szCs w:val="12"/>
        </w:rPr>
      </w:pPr>
    </w:p>
    <w:p w:rsidR="00DB3468" w:rsidRDefault="00DB3468" w:rsidP="00DB3468">
      <w:pPr>
        <w:rPr>
          <w:color w:val="0070C0"/>
          <w:sz w:val="8"/>
          <w:szCs w:val="8"/>
        </w:rPr>
      </w:pPr>
    </w:p>
    <w:p w:rsidR="00DB3468" w:rsidRDefault="00DB3468" w:rsidP="00DB3468">
      <w:pPr>
        <w:numPr>
          <w:ilvl w:val="0"/>
          <w:numId w:val="78"/>
        </w:numPr>
        <w:tabs>
          <w:tab w:val="num" w:pos="900"/>
          <w:tab w:val="num" w:pos="1620"/>
        </w:tabs>
        <w:autoSpaceDE w:val="0"/>
        <w:autoSpaceDN w:val="0"/>
        <w:adjustRightInd w:val="0"/>
        <w:spacing w:after="120"/>
        <w:ind w:firstLine="192"/>
        <w:jc w:val="both"/>
        <w:rPr>
          <w:b/>
          <w:bCs/>
          <w:i/>
          <w:u w:val="single"/>
        </w:rPr>
      </w:pPr>
      <w:r>
        <w:rPr>
          <w:b/>
          <w:bCs/>
          <w:i/>
          <w:u w:val="single"/>
        </w:rPr>
        <w:t>Субсидии за системата на здравеопазването</w:t>
      </w:r>
    </w:p>
    <w:p w:rsidR="00DB3468" w:rsidRDefault="00DB3468" w:rsidP="00DB3468">
      <w:pPr>
        <w:spacing w:after="120"/>
        <w:ind w:firstLine="567"/>
        <w:jc w:val="both"/>
      </w:pPr>
      <w:r>
        <w:t xml:space="preserve">Субсидиите за лечебни заведения за болнична помощ през 2015 г. са в размер на </w:t>
      </w:r>
      <w:r w:rsidR="002F29A3">
        <w:t>96,6</w:t>
      </w:r>
      <w:r>
        <w:t xml:space="preserve"> млн. лв., предоставени основно чрез бюджета на Министерство на здравеопазването</w:t>
      </w:r>
      <w:r w:rsidR="002F29A3">
        <w:t xml:space="preserve"> </w:t>
      </w:r>
      <w:r w:rsidR="002F29A3">
        <w:rPr>
          <w:lang w:val="en-US"/>
        </w:rPr>
        <w:t>(80</w:t>
      </w:r>
      <w:r w:rsidR="002F29A3">
        <w:t>,</w:t>
      </w:r>
      <w:r w:rsidR="002F29A3">
        <w:rPr>
          <w:lang w:val="en-US"/>
        </w:rPr>
        <w:t>9</w:t>
      </w:r>
      <w:r w:rsidR="002F29A3">
        <w:t xml:space="preserve"> млн. лв.</w:t>
      </w:r>
      <w:r w:rsidR="002F29A3">
        <w:rPr>
          <w:lang w:val="en-US"/>
        </w:rPr>
        <w:t>)</w:t>
      </w:r>
      <w:r>
        <w:t xml:space="preserve"> и са за финансиране на медицински дейности, изплащани по реда на утвърдена от министъра на здравеопазването Методика, които обхващат: оказване на спешна медицинска помощ за пациенти със спешни състояния; интензивно лечение и амбулаторно проследяване /диспансеризация/ и стационарно лечение на пациенти с кожно-венерически заболявания; за амбулаторно проследяване и стационарно лечение на пациенти с психични заболявания; амбулаторно проследяване /диспансеризация/ и активно лечение на пациенти с активна туберкулоза; продължаващо лечение и рехабилитация на пациенти с туберкулоза и неспецифични белодробни заболявания; лечение на пациенти с инфекциозни заболявания; високотехнологични дейности с национално значение; отдих и лечение на ветераните от войните; отдих, профилактика и рехабилитация но военноинвалиди и военнопострадали, медицинска експертиза, осъществявана от ТЕЛК; дейността на Националния раков регистър, дневни психорехабилитационни програми за лечебните заведения, определени субституиращи и поддържащи програми с метадон; лечебни заведени в труднодостъпни и/или отдалечени райони.  </w:t>
      </w:r>
    </w:p>
    <w:p w:rsidR="00DB3468" w:rsidRDefault="00DB3468" w:rsidP="00DB3468">
      <w:pPr>
        <w:spacing w:before="120" w:after="120"/>
        <w:ind w:firstLine="709"/>
        <w:jc w:val="both"/>
      </w:pPr>
      <w:r>
        <w:t xml:space="preserve">В рамките на този ресурс на болниците е предоставена изравнителна субсидия за дейностите, изпълнени по договорите до края на 2014 г. </w:t>
      </w:r>
    </w:p>
    <w:p w:rsidR="00DB3468" w:rsidRDefault="00DB3468" w:rsidP="00DB3468">
      <w:pPr>
        <w:numPr>
          <w:ilvl w:val="0"/>
          <w:numId w:val="78"/>
        </w:numPr>
        <w:tabs>
          <w:tab w:val="num" w:pos="900"/>
          <w:tab w:val="num" w:pos="1620"/>
        </w:tabs>
        <w:autoSpaceDE w:val="0"/>
        <w:autoSpaceDN w:val="0"/>
        <w:adjustRightInd w:val="0"/>
        <w:spacing w:after="120"/>
        <w:ind w:firstLine="192"/>
        <w:jc w:val="both"/>
        <w:rPr>
          <w:b/>
          <w:bCs/>
          <w:i/>
          <w:u w:val="single"/>
        </w:rPr>
      </w:pPr>
      <w:r>
        <w:rPr>
          <w:b/>
          <w:bCs/>
          <w:i/>
          <w:u w:val="single"/>
        </w:rPr>
        <w:t>Предоставени текущи трансфери за чужбина</w:t>
      </w:r>
    </w:p>
    <w:p w:rsidR="00DB3468" w:rsidRDefault="00DB3468" w:rsidP="00DB3468">
      <w:pPr>
        <w:tabs>
          <w:tab w:val="num" w:pos="1620"/>
        </w:tabs>
        <w:autoSpaceDE w:val="0"/>
        <w:autoSpaceDN w:val="0"/>
        <w:adjustRightInd w:val="0"/>
        <w:spacing w:before="120" w:after="120"/>
        <w:ind w:firstLine="718"/>
        <w:jc w:val="both"/>
      </w:pPr>
      <w:r>
        <w:t xml:space="preserve">Предоставените </w:t>
      </w:r>
      <w:r>
        <w:rPr>
          <w:bCs/>
        </w:rPr>
        <w:t>текущи трансфери</w:t>
      </w:r>
      <w:r>
        <w:t xml:space="preserve"> за чужбина за 201</w:t>
      </w:r>
      <w:r>
        <w:rPr>
          <w:lang w:val="en-US"/>
        </w:rPr>
        <w:t>5</w:t>
      </w:r>
      <w:r>
        <w:t xml:space="preserve"> г. са в размер на </w:t>
      </w:r>
      <w:r>
        <w:rPr>
          <w:lang w:val="en-US"/>
        </w:rPr>
        <w:t>21</w:t>
      </w:r>
      <w:r>
        <w:t>,</w:t>
      </w:r>
      <w:r>
        <w:rPr>
          <w:lang w:val="en-US"/>
        </w:rPr>
        <w:t>8</w:t>
      </w:r>
      <w:r>
        <w:t xml:space="preserve"> млн. лв., от които </w:t>
      </w:r>
      <w:r>
        <w:rPr>
          <w:lang w:val="en-US"/>
        </w:rPr>
        <w:t>1</w:t>
      </w:r>
      <w:r>
        <w:t>2,</w:t>
      </w:r>
      <w:r w:rsidR="00093338">
        <w:t xml:space="preserve">2 </w:t>
      </w:r>
      <w:r>
        <w:t xml:space="preserve">млн. лв. са предоставени чрез сметките за средства от Европейския съюз </w:t>
      </w:r>
      <w:r>
        <w:lastRenderedPageBreak/>
        <w:t>и други международни програми и 9,</w:t>
      </w:r>
      <w:r w:rsidR="00093338">
        <w:t xml:space="preserve">6 </w:t>
      </w:r>
      <w:r>
        <w:t>млн. лв. са предоставени главно чрез бюджетите на министерствата</w:t>
      </w:r>
      <w:r w:rsidR="00EB3378">
        <w:t>,</w:t>
      </w:r>
      <w:r>
        <w:t xml:space="preserve"> ведомствата</w:t>
      </w:r>
      <w:r w:rsidR="00EB3378">
        <w:t xml:space="preserve"> и общините</w:t>
      </w:r>
      <w:r>
        <w:t xml:space="preserve">. </w:t>
      </w:r>
    </w:p>
    <w:p w:rsidR="00DB3468" w:rsidRDefault="00DB3468" w:rsidP="00DB3468">
      <w:pPr>
        <w:keepNext/>
        <w:tabs>
          <w:tab w:val="left" w:pos="1080"/>
        </w:tabs>
        <w:spacing w:before="120" w:after="120"/>
        <w:ind w:firstLine="709"/>
        <w:outlineLvl w:val="3"/>
        <w:rPr>
          <w:b/>
          <w:bCs/>
          <w:i/>
        </w:rPr>
      </w:pPr>
      <w:r>
        <w:rPr>
          <w:b/>
          <w:bCs/>
          <w:i/>
        </w:rPr>
        <w:t>Социално и здравноосигурителни разходи</w:t>
      </w:r>
    </w:p>
    <w:p w:rsidR="00DB3468" w:rsidRDefault="00DB3468" w:rsidP="00DB3468">
      <w:pPr>
        <w:tabs>
          <w:tab w:val="left" w:pos="6840"/>
          <w:tab w:val="left" w:pos="8280"/>
        </w:tabs>
        <w:ind w:firstLine="709"/>
        <w:jc w:val="both"/>
        <w:rPr>
          <w:color w:val="0070C0"/>
        </w:rPr>
      </w:pPr>
      <w:r>
        <w:t>Социално</w:t>
      </w:r>
      <w:r>
        <w:rPr>
          <w:lang w:val="en-US"/>
        </w:rPr>
        <w:t>-</w:t>
      </w:r>
      <w:r>
        <w:t>осигурителните разходи на консолидирана база за 2015 г. възлизат на 1</w:t>
      </w:r>
      <w:r>
        <w:rPr>
          <w:lang w:val="en-US"/>
        </w:rPr>
        <w:t>3</w:t>
      </w:r>
      <w:r>
        <w:t> </w:t>
      </w:r>
      <w:r>
        <w:rPr>
          <w:lang w:val="en-US"/>
        </w:rPr>
        <w:t>8</w:t>
      </w:r>
      <w:r>
        <w:t>45,0 млн. лв., което представлява</w:t>
      </w:r>
      <w:r>
        <w:rPr>
          <w:color w:val="0070C0"/>
        </w:rPr>
        <w:t xml:space="preserve"> </w:t>
      </w:r>
      <w:r>
        <w:t xml:space="preserve">16,0 % от БВП. Социалните разходи и здравноосигурителните плащания продължиха да бъдат основен приоритет сред </w:t>
      </w:r>
      <w:r w:rsidR="009624DD">
        <w:t xml:space="preserve">разходните </w:t>
      </w:r>
      <w:r>
        <w:t>политик</w:t>
      </w:r>
      <w:r w:rsidR="009624DD">
        <w:t>и</w:t>
      </w:r>
      <w:r>
        <w:t>. В структурно отношение те са с най-висок относителен дял (39,9 %) в общите разходи (вкл. вноската в бюджета на ЕС) по КФП, което се обуславя от провежданата социална политика в условията на неблагоприятна демографска среда. Социалните и здравноосигурителните разходи нарастват нетно с 261</w:t>
      </w:r>
      <w:r w:rsidR="00AD387A">
        <w:t>,4</w:t>
      </w:r>
      <w:r>
        <w:t xml:space="preserve"> млн. лв.</w:t>
      </w:r>
      <w:r>
        <w:rPr>
          <w:color w:val="0070C0"/>
        </w:rPr>
        <w:t xml:space="preserve"> </w:t>
      </w:r>
      <w:r>
        <w:t xml:space="preserve">(1,9 %) спрямо предходната година, като основен принос за това има нарастването на разходите за пенсии, социални помощи и обезщетения с 367,3 млн. лв., докато разходите за здравноосигурителни плащания намаляват със 105,9 млн. лв. </w:t>
      </w:r>
      <w:r>
        <w:rPr>
          <w:color w:val="0070C0"/>
        </w:rPr>
        <w:t xml:space="preserve"> </w:t>
      </w:r>
    </w:p>
    <w:p w:rsidR="00DB3468" w:rsidRDefault="00DB3468" w:rsidP="00DB3468">
      <w:pPr>
        <w:numPr>
          <w:ilvl w:val="0"/>
          <w:numId w:val="78"/>
        </w:numPr>
        <w:tabs>
          <w:tab w:val="num" w:pos="900"/>
        </w:tabs>
        <w:autoSpaceDE w:val="0"/>
        <w:autoSpaceDN w:val="0"/>
        <w:adjustRightInd w:val="0"/>
        <w:ind w:hanging="168"/>
        <w:jc w:val="both"/>
        <w:rPr>
          <w:b/>
          <w:bCs/>
          <w:i/>
          <w:color w:val="0070C0"/>
          <w:sz w:val="8"/>
          <w:szCs w:val="8"/>
        </w:rPr>
      </w:pPr>
    </w:p>
    <w:p w:rsidR="00DB3468" w:rsidRDefault="00DB3468" w:rsidP="00DB3468">
      <w:pPr>
        <w:ind w:firstLine="720"/>
        <w:jc w:val="both"/>
        <w:rPr>
          <w:bCs/>
          <w:color w:val="0070C0"/>
        </w:rPr>
      </w:pPr>
      <w:r>
        <w:rPr>
          <w:i/>
        </w:rPr>
        <w:t>Разходите за пенсии</w:t>
      </w:r>
      <w:r>
        <w:t xml:space="preserve"> за 2015 г. възлизат на 8 432,6 млн. лв. или 9,8 % от БВП и 100,7 % спрямо предвидените разчети за 2015 г.</w:t>
      </w:r>
      <w:r>
        <w:rPr>
          <w:color w:val="0070C0"/>
        </w:rPr>
        <w:t xml:space="preserve"> </w:t>
      </w:r>
      <w:r>
        <w:t>В тази сума са включени разходите за пенсии от ДОО и УПФ, включително добавките към пенсиите на участниците във войните.</w:t>
      </w:r>
      <w:r>
        <w:rPr>
          <w:color w:val="0070C0"/>
        </w:rPr>
        <w:t xml:space="preserve"> </w:t>
      </w:r>
      <w:r>
        <w:rPr>
          <w:bCs/>
          <w:lang w:eastAsia="en-US"/>
        </w:rPr>
        <w:t xml:space="preserve">Спрямо същия период на миналата година отчетените разходи за пенсии са с 296,5 млн. лв. повече. Нарастването на разходите се дължи основно на: целогодишното отражение на увеличението на пенсиите през 2014 г., в т.ч. на осъвременяването от 1 юли 2014 г. с 2,7 на сто, на увеличението на максималния размер на пенсиите от 770 на 840 лв. от 1 юли 2014 г., на осъвременяването на пенсиите от 1 юли 2015 г. с 1,9 на сто, на увеличението на максималния размер на пенсиите от 840  на 910 лв. от 1 юли 2015 г., на увеличението в резултат на по-високите размери на новоотпуснатите спрямо прекратените пенсии. </w:t>
      </w:r>
    </w:p>
    <w:p w:rsidR="00DB3468" w:rsidRDefault="00DB3468" w:rsidP="00DB3468">
      <w:pPr>
        <w:tabs>
          <w:tab w:val="left" w:pos="1080"/>
        </w:tabs>
        <w:ind w:firstLine="709"/>
        <w:jc w:val="both"/>
        <w:rPr>
          <w:bCs/>
        </w:rPr>
      </w:pPr>
      <w:r>
        <w:rPr>
          <w:bCs/>
        </w:rPr>
        <w:t xml:space="preserve">Средният месечен размер на пенсията за един пенсионер за </w:t>
      </w:r>
      <w:r w:rsidR="00A0638F">
        <w:rPr>
          <w:bCs/>
        </w:rPr>
        <w:t xml:space="preserve">2015 </w:t>
      </w:r>
      <w:r>
        <w:rPr>
          <w:bCs/>
        </w:rPr>
        <w:t xml:space="preserve">г. е </w:t>
      </w:r>
      <w:r>
        <w:t xml:space="preserve">321,78 лв. (вкл. великденска и коледна добавка за </w:t>
      </w:r>
      <w:r w:rsidR="00A0638F">
        <w:t xml:space="preserve">2015 </w:t>
      </w:r>
      <w:r>
        <w:t xml:space="preserve">г.), като номиналното нарастване спрямо </w:t>
      </w:r>
      <w:r w:rsidRPr="0072548B">
        <w:t>2014 г. е 3,8 на сто, а реалното нарастване е 5,0 на сто,  при средногодишна хармонизирана</w:t>
      </w:r>
      <w:r>
        <w:t xml:space="preserve"> инфлация (-1,1) на сто за 2015 г.</w:t>
      </w:r>
      <w:r>
        <w:rPr>
          <w:color w:val="0070C0"/>
        </w:rPr>
        <w:t xml:space="preserve"> </w:t>
      </w:r>
      <w:r>
        <w:t xml:space="preserve">Средният месечен размер на пенсията на един пенсионер за 2015 г. без изплатените през годината великденска и коледна добавка е </w:t>
      </w:r>
      <w:r w:rsidR="006347E8">
        <w:rPr>
          <w:lang w:val="en-US"/>
        </w:rPr>
        <w:t>317</w:t>
      </w:r>
      <w:r w:rsidR="006347E8">
        <w:t>,96</w:t>
      </w:r>
      <w:r>
        <w:t xml:space="preserve"> лв.</w:t>
      </w:r>
    </w:p>
    <w:p w:rsidR="00DB3468" w:rsidRDefault="00DB3468" w:rsidP="00DB3468">
      <w:pPr>
        <w:tabs>
          <w:tab w:val="left" w:pos="1080"/>
        </w:tabs>
        <w:jc w:val="both"/>
        <w:rPr>
          <w:bCs/>
          <w:color w:val="0070C0"/>
          <w:sz w:val="12"/>
          <w:szCs w:val="12"/>
        </w:rPr>
      </w:pPr>
    </w:p>
    <w:p w:rsidR="00DB3468" w:rsidRPr="00773754" w:rsidRDefault="00DB3468" w:rsidP="00DB3468">
      <w:pPr>
        <w:spacing w:after="120"/>
        <w:ind w:firstLine="720"/>
        <w:jc w:val="both"/>
        <w:rPr>
          <w:lang w:eastAsia="en-US"/>
        </w:rPr>
      </w:pPr>
      <w:r>
        <w:rPr>
          <w:lang w:eastAsia="en-US"/>
        </w:rPr>
        <w:t xml:space="preserve">На консолидирана основа през 2015 г. са извършени разходи за </w:t>
      </w:r>
      <w:r>
        <w:rPr>
          <w:i/>
          <w:lang w:eastAsia="en-US"/>
        </w:rPr>
        <w:t>социални помощи и обезщетения</w:t>
      </w:r>
      <w:r>
        <w:rPr>
          <w:lang w:eastAsia="en-US"/>
        </w:rPr>
        <w:t xml:space="preserve"> в размер на</w:t>
      </w:r>
      <w:r>
        <w:rPr>
          <w:color w:val="0070C0"/>
          <w:lang w:eastAsia="en-US"/>
        </w:rPr>
        <w:t xml:space="preserve"> </w:t>
      </w:r>
      <w:r>
        <w:rPr>
          <w:lang w:eastAsia="en-US"/>
        </w:rPr>
        <w:t>2 423,</w:t>
      </w:r>
      <w:r w:rsidR="00892756">
        <w:rPr>
          <w:lang w:eastAsia="en-US"/>
        </w:rPr>
        <w:t>6</w:t>
      </w:r>
      <w:r>
        <w:rPr>
          <w:lang w:eastAsia="en-US"/>
        </w:rPr>
        <w:t xml:space="preserve"> млн. лв., което представлява 2,8 % от БВП. В структурно отношение това са разходи, които се извършват по държавния бюджет (главно по бюджета на МТСП), бюджетите на ДОО и общините. Размерът на усвоените </w:t>
      </w:r>
      <w:r>
        <w:rPr>
          <w:i/>
          <w:lang w:eastAsia="en-US"/>
        </w:rPr>
        <w:t>разходи за социални помощи и обезщетения</w:t>
      </w:r>
      <w:r>
        <w:rPr>
          <w:lang w:eastAsia="en-US"/>
        </w:rPr>
        <w:t xml:space="preserve"> по държавния бюджет е</w:t>
      </w:r>
      <w:r>
        <w:rPr>
          <w:color w:val="0070C0"/>
          <w:lang w:eastAsia="en-US"/>
        </w:rPr>
        <w:t xml:space="preserve"> </w:t>
      </w:r>
      <w:r>
        <w:rPr>
          <w:lang w:eastAsia="en-US"/>
        </w:rPr>
        <w:t>972,0 млн. лв., по бюджета на ДОО за социални помощи и обезщетения по КСО - 1 251,0 млн. лв. и 157,7 млн. лв. по общинските бюджети, от които 22,4 млн. лв. представляват предоставени средства за социални помощи и обезщетения по решение на общинските съвети,</w:t>
      </w:r>
      <w:r>
        <w:rPr>
          <w:color w:val="0070C0"/>
          <w:lang w:eastAsia="en-US"/>
        </w:rPr>
        <w:t xml:space="preserve"> </w:t>
      </w:r>
      <w:r w:rsidRPr="00773754">
        <w:rPr>
          <w:lang w:eastAsia="en-US"/>
        </w:rPr>
        <w:t>37,</w:t>
      </w:r>
      <w:r w:rsidR="00773754" w:rsidRPr="00773754">
        <w:rPr>
          <w:lang w:eastAsia="en-US"/>
        </w:rPr>
        <w:t>2</w:t>
      </w:r>
      <w:r w:rsidRPr="00773754">
        <w:rPr>
          <w:lang w:eastAsia="en-US"/>
        </w:rPr>
        <w:t xml:space="preserve"> млн. лв.</w:t>
      </w:r>
      <w:r w:rsidRPr="00773754">
        <w:rPr>
          <w:lang w:val="en-US" w:eastAsia="en-US"/>
        </w:rPr>
        <w:t xml:space="preserve"> (</w:t>
      </w:r>
      <w:r w:rsidR="00773754" w:rsidRPr="00773754">
        <w:rPr>
          <w:lang w:eastAsia="en-US"/>
        </w:rPr>
        <w:t>98,5</w:t>
      </w:r>
      <w:r w:rsidRPr="00773754">
        <w:rPr>
          <w:lang w:eastAsia="en-US"/>
        </w:rPr>
        <w:t> % от годишния план</w:t>
      </w:r>
      <w:r w:rsidRPr="00773754">
        <w:rPr>
          <w:lang w:val="en-US" w:eastAsia="en-US"/>
        </w:rPr>
        <w:t>)</w:t>
      </w:r>
      <w:r w:rsidRPr="00773754">
        <w:rPr>
          <w:lang w:eastAsia="en-US"/>
        </w:rPr>
        <w:t xml:space="preserve"> за безплатни пътувания на ветерани от войните и военноинвалиди, както и пътувания с ценови отстъпки на деца, учащи се и възрастни граждани по вътрешноградския и междуселищен транспорт в страната, 15,7 млн. лв. </w:t>
      </w:r>
      <w:r w:rsidRPr="00773754">
        <w:rPr>
          <w:lang w:val="en-US" w:eastAsia="en-US"/>
        </w:rPr>
        <w:t>(</w:t>
      </w:r>
      <w:r w:rsidRPr="00773754">
        <w:rPr>
          <w:lang w:eastAsia="en-US"/>
        </w:rPr>
        <w:t>100 % от годишния план</w:t>
      </w:r>
      <w:r w:rsidRPr="00773754">
        <w:rPr>
          <w:lang w:val="en-US" w:eastAsia="en-US"/>
        </w:rPr>
        <w:t>)</w:t>
      </w:r>
      <w:r w:rsidRPr="00773754">
        <w:rPr>
          <w:lang w:eastAsia="en-US"/>
        </w:rPr>
        <w:t xml:space="preserve"> за безплатни пътувания на държавни служители от МВР, ДАНС</w:t>
      </w:r>
      <w:r w:rsidR="00A7136D">
        <w:rPr>
          <w:lang w:eastAsia="en-US"/>
        </w:rPr>
        <w:t>, ДАТО</w:t>
      </w:r>
      <w:r w:rsidRPr="00773754">
        <w:rPr>
          <w:lang w:eastAsia="en-US"/>
        </w:rPr>
        <w:t xml:space="preserve"> и специализирани звена към МП. </w:t>
      </w:r>
    </w:p>
    <w:p w:rsidR="00DB3468" w:rsidRDefault="00DB3468" w:rsidP="00DB3468">
      <w:pPr>
        <w:autoSpaceDE w:val="0"/>
        <w:autoSpaceDN w:val="0"/>
        <w:adjustRightInd w:val="0"/>
        <w:spacing w:after="120"/>
        <w:ind w:firstLine="720"/>
        <w:jc w:val="both"/>
      </w:pPr>
      <w:r>
        <w:t xml:space="preserve">В разходите по КСО са включени основно разходите за обезщетения при временна неработоспособност; разходите за бременност, раждане и отглеждане на малко дете; разходите за обезщетения при безработица и др. </w:t>
      </w:r>
    </w:p>
    <w:p w:rsidR="00DB3468" w:rsidRDefault="00DB3468" w:rsidP="00DB3468">
      <w:pPr>
        <w:tabs>
          <w:tab w:val="left" w:pos="720"/>
        </w:tabs>
        <w:spacing w:after="120"/>
        <w:ind w:firstLine="709"/>
        <w:jc w:val="both"/>
        <w:rPr>
          <w:color w:val="0070C0"/>
        </w:rPr>
      </w:pPr>
      <w:r>
        <w:t xml:space="preserve">Общият размер на </w:t>
      </w:r>
      <w:r>
        <w:rPr>
          <w:i/>
        </w:rPr>
        <w:t>здравноосигурителните плащания</w:t>
      </w:r>
      <w:r>
        <w:t xml:space="preserve"> за 2015 г. е</w:t>
      </w:r>
      <w:r>
        <w:rPr>
          <w:color w:val="0070C0"/>
        </w:rPr>
        <w:t xml:space="preserve"> </w:t>
      </w:r>
      <w:r>
        <w:t>2 988,9 млн. лв., което представлява 97,9 % от общите разходи на НЗОК за 2015 година.</w:t>
      </w:r>
      <w:r>
        <w:rPr>
          <w:color w:val="0070C0"/>
        </w:rPr>
        <w:t xml:space="preserve"> </w:t>
      </w:r>
      <w:r>
        <w:t xml:space="preserve">Здравноосигурителните плащания предвидени със Закона за бюджета на НЗОК (ЗБНЗОК) </w:t>
      </w:r>
      <w:r>
        <w:lastRenderedPageBreak/>
        <w:t>за 2015 г. са увеличени с  резерва по бюджета на НЗОК в размер на 301,9 млн. лв., със средства от  вътрешно компенсирани промени, както и с 50,4 млн. лв. за сметка на преизпълнение на приходите от здравноосигурителни вноски, в съответствие с §1 от преходните и заключителни разпоредби на ЗБНЗОК. С осигурения финансов ресурс бе изплатена дейността на лечебните заведения за болнична помощ  за</w:t>
      </w:r>
      <w:r>
        <w:rPr>
          <w:color w:val="0070C0"/>
        </w:rPr>
        <w:t xml:space="preserve"> </w:t>
      </w:r>
      <w:r>
        <w:t xml:space="preserve">извършената дейност от декември 2014 г. до ноември 2015 г. </w:t>
      </w:r>
    </w:p>
    <w:p w:rsidR="00EC7A58" w:rsidRPr="00DB3468" w:rsidRDefault="00EC7A58" w:rsidP="00781B85">
      <w:pPr>
        <w:pStyle w:val="Heading3"/>
        <w:numPr>
          <w:ilvl w:val="2"/>
          <w:numId w:val="15"/>
        </w:numPr>
        <w:rPr>
          <w:rFonts w:ascii="Times New Roman" w:hAnsi="Times New Roman" w:cs="Times New Roman"/>
          <w:sz w:val="24"/>
          <w:szCs w:val="24"/>
          <w:lang w:val="bg-BG"/>
        </w:rPr>
      </w:pPr>
      <w:bookmarkStart w:id="202" w:name="_Toc462146117"/>
      <w:r w:rsidRPr="00DB3468">
        <w:rPr>
          <w:rFonts w:ascii="Times New Roman" w:hAnsi="Times New Roman" w:cs="Times New Roman"/>
          <w:sz w:val="24"/>
          <w:szCs w:val="24"/>
          <w:lang w:val="bg-BG"/>
        </w:rPr>
        <w:t>Капиталови разходи</w:t>
      </w:r>
      <w:bookmarkEnd w:id="191"/>
      <w:bookmarkEnd w:id="192"/>
      <w:bookmarkEnd w:id="193"/>
      <w:bookmarkEnd w:id="194"/>
      <w:bookmarkEnd w:id="195"/>
      <w:bookmarkEnd w:id="196"/>
      <w:bookmarkEnd w:id="197"/>
      <w:bookmarkEnd w:id="198"/>
      <w:bookmarkEnd w:id="202"/>
    </w:p>
    <w:p w:rsidR="00EC7A58" w:rsidRPr="001F6421" w:rsidRDefault="00EC7A58" w:rsidP="00EC7A58">
      <w:pPr>
        <w:ind w:firstLine="540"/>
        <w:jc w:val="both"/>
        <w:rPr>
          <w:color w:val="0070C0"/>
          <w:sz w:val="12"/>
          <w:szCs w:val="12"/>
        </w:rPr>
      </w:pPr>
    </w:p>
    <w:p w:rsidR="001868F3" w:rsidRPr="00DC1D78" w:rsidRDefault="001868F3" w:rsidP="001868F3">
      <w:pPr>
        <w:ind w:firstLine="720"/>
        <w:jc w:val="both"/>
      </w:pPr>
      <w:r w:rsidRPr="008D7272">
        <w:t>Структурата на капиталовите разходи за 2015 г. по икономически елементи отразява икономическия характер на публичните средства, усвоени в процеса на създаване на обществени блага.</w:t>
      </w:r>
      <w:r w:rsidRPr="001F6421">
        <w:rPr>
          <w:color w:val="0070C0"/>
        </w:rPr>
        <w:t xml:space="preserve"> </w:t>
      </w:r>
      <w:r w:rsidRPr="00DC1D78">
        <w:t>И през 2015 г. в отчетените консолидирани капиталови разходи най-висок относителен дял – 54,</w:t>
      </w:r>
      <w:r w:rsidR="007E79E7">
        <w:t>0</w:t>
      </w:r>
      <w:r w:rsidRPr="00DC1D78">
        <w:t xml:space="preserve"> % заемат разходите за придобиване на ДМА, в структурата на които преобладават разходите, свързани с изграждането и реконструкцията на базисната инфраструктура – пътна, железопътна, техническа, социална, както и закупуване на оборудване, машини и съоръжения, компютърна техника, финансиране на политики в областта на превенцията и защитата при бедствия и аварии, закупуване на медицинско оборудване, оборудване в сферата на образованието и науката. Съществени по размер са разходите за основен ремонт на дълготрайни активи – 23,</w:t>
      </w:r>
      <w:r w:rsidR="003D25CC">
        <w:t>6</w:t>
      </w:r>
      <w:r w:rsidR="00A0638F" w:rsidRPr="00DC1D78">
        <w:t xml:space="preserve"> </w:t>
      </w:r>
      <w:r w:rsidRPr="00DC1D78">
        <w:t xml:space="preserve">% от общата сума на отчетените капиталови разходи, като тяхната насоченост приоритетно е за финансиране изпълнението на цитираните вече области и политики. </w:t>
      </w:r>
    </w:p>
    <w:p w:rsidR="001868F3" w:rsidRPr="001F6421" w:rsidRDefault="001868F3" w:rsidP="001868F3">
      <w:pPr>
        <w:ind w:firstLine="720"/>
        <w:jc w:val="both"/>
        <w:rPr>
          <w:color w:val="0070C0"/>
          <w:sz w:val="12"/>
          <w:szCs w:val="12"/>
        </w:rPr>
      </w:pPr>
    </w:p>
    <w:p w:rsidR="001868F3" w:rsidRPr="000D62B9" w:rsidRDefault="001868F3" w:rsidP="001868F3">
      <w:pPr>
        <w:ind w:firstLine="720"/>
        <w:jc w:val="both"/>
      </w:pPr>
      <w:r w:rsidRPr="000D62B9">
        <w:t>На следващата графика е представен икономическият характер на капиталовите разходи по консолидираната фискална програма за 2015 година:</w:t>
      </w:r>
    </w:p>
    <w:p w:rsidR="00EC7A58" w:rsidRPr="001F6421" w:rsidRDefault="00EC7A58" w:rsidP="00EC7A58">
      <w:pPr>
        <w:ind w:firstLine="720"/>
        <w:jc w:val="both"/>
        <w:rPr>
          <w:color w:val="0070C0"/>
        </w:rPr>
      </w:pPr>
    </w:p>
    <w:p w:rsidR="00EC7A58" w:rsidRPr="001F6421" w:rsidRDefault="00D37B0F" w:rsidP="00EC7A58">
      <w:pPr>
        <w:tabs>
          <w:tab w:val="left" w:pos="3240"/>
        </w:tabs>
        <w:jc w:val="center"/>
        <w:rPr>
          <w:noProof/>
          <w:color w:val="0070C0"/>
        </w:rPr>
      </w:pPr>
      <w:bookmarkStart w:id="203" w:name="_MON_1503905246"/>
      <w:bookmarkStart w:id="204" w:name="_MON_1463915114"/>
      <w:bookmarkEnd w:id="203"/>
      <w:bookmarkEnd w:id="204"/>
      <w:r>
        <w:rPr>
          <w:noProof/>
        </w:rPr>
        <w:drawing>
          <wp:inline distT="0" distB="0" distL="0" distR="0" wp14:anchorId="50B4EA5A" wp14:editId="478F5384">
            <wp:extent cx="4517390" cy="2541905"/>
            <wp:effectExtent l="0" t="0" r="16510" b="10795"/>
            <wp:docPr id="20" name="Picture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C7A58" w:rsidRPr="001F6421" w:rsidRDefault="00EC7A58" w:rsidP="00EC7A58">
      <w:pPr>
        <w:jc w:val="both"/>
        <w:rPr>
          <w:color w:val="0070C0"/>
        </w:rPr>
      </w:pPr>
    </w:p>
    <w:p w:rsidR="001868F3" w:rsidRPr="00AD0986" w:rsidRDefault="00EC7A58" w:rsidP="001868F3">
      <w:pPr>
        <w:ind w:firstLine="709"/>
        <w:jc w:val="both"/>
      </w:pPr>
      <w:r w:rsidRPr="001F6421">
        <w:rPr>
          <w:color w:val="0070C0"/>
        </w:rPr>
        <w:tab/>
      </w:r>
      <w:bookmarkStart w:id="205" w:name="_Toc326315912"/>
      <w:bookmarkStart w:id="206" w:name="_Toc393728071"/>
      <w:r w:rsidR="001868F3" w:rsidRPr="00E91B91">
        <w:rPr>
          <w:noProof/>
          <w:lang w:val="en-AU" w:eastAsia="en-US"/>
        </w:rPr>
        <w:t>Финансовото подпомагане от страна на държавата под формата на капиталови трансфери е насочено към изграждане и развитие на железопътната инфраструктура, с оглед повишаване на качеството и нивото на безопасност на транспортните услуги, ускоряване реализацията на проекти, свързани с европейските транспортни оси и коридори на територията на страната, ремонт и рехабилитация на железопътната мрежа</w:t>
      </w:r>
      <w:r w:rsidR="001868F3" w:rsidRPr="00E91B91">
        <w:rPr>
          <w:noProof/>
          <w:lang w:eastAsia="en-US"/>
        </w:rPr>
        <w:t>.</w:t>
      </w:r>
      <w:r w:rsidR="001868F3">
        <w:rPr>
          <w:noProof/>
          <w:lang w:eastAsia="en-US"/>
        </w:rPr>
        <w:t xml:space="preserve"> </w:t>
      </w:r>
      <w:r w:rsidR="001868F3" w:rsidRPr="00E91B91">
        <w:rPr>
          <w:noProof/>
          <w:lang w:eastAsia="en-US"/>
        </w:rPr>
        <w:t>За 2015 г. от държавния бюджет</w:t>
      </w:r>
      <w:r w:rsidR="001868F3" w:rsidRPr="001F6421">
        <w:rPr>
          <w:noProof/>
          <w:color w:val="0070C0"/>
          <w:lang w:eastAsia="en-US"/>
        </w:rPr>
        <w:t xml:space="preserve"> </w:t>
      </w:r>
      <w:r w:rsidR="001868F3" w:rsidRPr="00AD0986">
        <w:rPr>
          <w:noProof/>
          <w:lang w:eastAsia="en-US"/>
        </w:rPr>
        <w:t>на Национална компания „Железопътна инфраструктура“ е предоставен капиталов трансфер в размер на 105,0 млн. лв. Средствата са усвоени изцяло, като за основен ремонт на дълготрайни материални активи са разходвани 63,8 млн. лв., а за придобиване на дълготрайни материални активи – 41,2 млн. лева.</w:t>
      </w:r>
    </w:p>
    <w:p w:rsidR="001868F3" w:rsidRPr="001F6421" w:rsidRDefault="001868F3" w:rsidP="001868F3">
      <w:pPr>
        <w:tabs>
          <w:tab w:val="left" w:pos="708"/>
          <w:tab w:val="center" w:pos="4153"/>
          <w:tab w:val="right" w:pos="8306"/>
        </w:tabs>
        <w:ind w:right="72"/>
        <w:jc w:val="both"/>
        <w:rPr>
          <w:color w:val="0070C0"/>
          <w:sz w:val="12"/>
          <w:szCs w:val="12"/>
        </w:rPr>
      </w:pPr>
      <w:r w:rsidRPr="001F6421">
        <w:rPr>
          <w:color w:val="0070C0"/>
        </w:rPr>
        <w:tab/>
      </w:r>
    </w:p>
    <w:p w:rsidR="001868F3" w:rsidRPr="005D6B01" w:rsidRDefault="001868F3" w:rsidP="001868F3">
      <w:pPr>
        <w:jc w:val="both"/>
      </w:pPr>
      <w:r w:rsidRPr="001F6421">
        <w:rPr>
          <w:color w:val="0070C0"/>
        </w:rPr>
        <w:lastRenderedPageBreak/>
        <w:tab/>
      </w:r>
      <w:r w:rsidRPr="008F40BB">
        <w:rPr>
          <w:lang w:eastAsia="en-US"/>
        </w:rPr>
        <w:t xml:space="preserve">Със Закона за държавния бюджет на Република България за 2015 г. са предвидени средства </w:t>
      </w:r>
      <w:r w:rsidRPr="008F40BB">
        <w:rPr>
          <w:noProof/>
          <w:lang w:eastAsia="en-US"/>
        </w:rPr>
        <w:t>за капиталови</w:t>
      </w:r>
      <w:r w:rsidRPr="008F40BB">
        <w:rPr>
          <w:lang w:eastAsia="en-US"/>
        </w:rPr>
        <w:t xml:space="preserve"> трансфери на „БДЖ - Пътнически превози” ЕООД в размер на </w:t>
      </w:r>
      <w:r w:rsidRPr="005D6B01">
        <w:rPr>
          <w:lang w:eastAsia="en-US"/>
        </w:rPr>
        <w:t>30,0 млн. лева.</w:t>
      </w:r>
      <w:r w:rsidRPr="001F6421">
        <w:rPr>
          <w:color w:val="0070C0"/>
          <w:lang w:eastAsia="en-US"/>
        </w:rPr>
        <w:t xml:space="preserve"> </w:t>
      </w:r>
      <w:r w:rsidRPr="005D6B01">
        <w:rPr>
          <w:lang w:eastAsia="en-US"/>
        </w:rPr>
        <w:t>Средствата са усвоени изцяло за погасяване на неотложни задължения към финансови институции по кредити за доставка на подвижен състав</w:t>
      </w:r>
      <w:r w:rsidRPr="005D6B01">
        <w:t xml:space="preserve">. </w:t>
      </w:r>
    </w:p>
    <w:p w:rsidR="001868F3" w:rsidRPr="00511056" w:rsidRDefault="001868F3" w:rsidP="001868F3">
      <w:pPr>
        <w:jc w:val="both"/>
      </w:pPr>
      <w:r w:rsidRPr="001F6421">
        <w:rPr>
          <w:color w:val="0070C0"/>
        </w:rPr>
        <w:tab/>
      </w:r>
      <w:r w:rsidRPr="008F40BB">
        <w:rPr>
          <w:noProof/>
          <w:lang w:eastAsia="en-US"/>
        </w:rPr>
        <w:t>Инвестиционната програма на ДП „Пристанищна инфраструктура“ , която включва  изграждане и капиталов ремонт на пристанищна инфраструктура на пристанищата с национално значение, се изпълнява с участие на бюджета -  капиталов  трансф</w:t>
      </w:r>
      <w:r>
        <w:rPr>
          <w:noProof/>
          <w:lang w:eastAsia="en-US"/>
        </w:rPr>
        <w:t>ер. Планираните средства за 2015</w:t>
      </w:r>
      <w:r w:rsidRPr="008F40BB">
        <w:rPr>
          <w:noProof/>
          <w:lang w:eastAsia="en-US"/>
        </w:rPr>
        <w:t xml:space="preserve"> г</w:t>
      </w:r>
      <w:r w:rsidRPr="005D6B01">
        <w:rPr>
          <w:noProof/>
          <w:lang w:eastAsia="en-US"/>
        </w:rPr>
        <w:t>. са в размер на 11,0 млн. лв., като са усвоени 9,9 млн. лв.</w:t>
      </w:r>
      <w:r w:rsidRPr="001F6421">
        <w:rPr>
          <w:noProof/>
          <w:color w:val="0070C0"/>
          <w:lang w:eastAsia="en-US"/>
        </w:rPr>
        <w:t xml:space="preserve"> </w:t>
      </w:r>
      <w:r w:rsidRPr="005D6B01">
        <w:rPr>
          <w:noProof/>
          <w:lang w:eastAsia="en-US"/>
        </w:rPr>
        <w:t xml:space="preserve">за основен ремонт </w:t>
      </w:r>
      <w:r w:rsidRPr="005D6B01">
        <w:rPr>
          <w:lang w:eastAsia="en-US"/>
        </w:rPr>
        <w:t>и рехабилитация на пристанища за обществено ползване с национално значение.</w:t>
      </w:r>
      <w:r w:rsidRPr="001F6421">
        <w:rPr>
          <w:color w:val="0070C0"/>
          <w:lang w:eastAsia="en-US"/>
        </w:rPr>
        <w:t xml:space="preserve"> </w:t>
      </w:r>
      <w:r w:rsidRPr="005D6B01">
        <w:rPr>
          <w:lang w:eastAsia="en-US"/>
        </w:rPr>
        <w:t xml:space="preserve">Непълното усвояване на средствата основно се дължи на някои забавени процедури за избор на изпълнител по обектите, включени в инвестиционната програма на </w:t>
      </w:r>
      <w:r w:rsidR="00994FF4" w:rsidRPr="00511056">
        <w:rPr>
          <w:lang w:eastAsia="en-US"/>
        </w:rPr>
        <w:t>предприятието</w:t>
      </w:r>
      <w:r w:rsidRPr="00511056">
        <w:t>.</w:t>
      </w:r>
      <w:r w:rsidR="0078192B" w:rsidRPr="00511056">
        <w:t xml:space="preserve"> </w:t>
      </w:r>
      <w:r w:rsidR="0078192B" w:rsidRPr="00511056">
        <w:rPr>
          <w:lang w:eastAsia="en-US"/>
        </w:rPr>
        <w:t>През 2015 г. са възстановени средства, неусвоени през 2014 г. за капиталови разходи, в размер на 0,7 млн. лева.</w:t>
      </w:r>
    </w:p>
    <w:p w:rsidR="001868F3" w:rsidRPr="00633B15" w:rsidRDefault="001868F3" w:rsidP="001868F3">
      <w:pPr>
        <w:ind w:firstLine="720"/>
        <w:jc w:val="both"/>
      </w:pPr>
      <w:r w:rsidRPr="008F40BB">
        <w:rPr>
          <w:noProof/>
          <w:lang w:eastAsia="en-US"/>
        </w:rPr>
        <w:t>За изпълнение на програмите за отстраняване на екологични щети, настъпили от минали действия или бездействия до приватизацията, за 2015 г. разчетените средства по централния бюджет са в размер на</w:t>
      </w:r>
      <w:r w:rsidRPr="001F6421">
        <w:rPr>
          <w:noProof/>
          <w:color w:val="0070C0"/>
          <w:lang w:eastAsia="en-US"/>
        </w:rPr>
        <w:t xml:space="preserve"> </w:t>
      </w:r>
      <w:r w:rsidRPr="001728ED">
        <w:rPr>
          <w:noProof/>
          <w:lang w:eastAsia="en-US"/>
        </w:rPr>
        <w:t>10,0 млн. лева.</w:t>
      </w:r>
      <w:r w:rsidRPr="001F6421">
        <w:rPr>
          <w:noProof/>
          <w:color w:val="0070C0"/>
          <w:lang w:eastAsia="en-US"/>
        </w:rPr>
        <w:t xml:space="preserve"> </w:t>
      </w:r>
      <w:r w:rsidRPr="00633B15">
        <w:rPr>
          <w:noProof/>
          <w:lang w:eastAsia="en-US"/>
        </w:rPr>
        <w:t>Усвоените средства през 2015 г. са в размер на 2,8 млн. лв. - основно за изпълнение на програмите за отстраняване на минали екологични щети на „Лукойл Нефтохим Бургас” АД и „Горубсо - Мадан“ АД.</w:t>
      </w:r>
      <w:r w:rsidRPr="001F6421">
        <w:rPr>
          <w:noProof/>
          <w:color w:val="0070C0"/>
          <w:lang w:eastAsia="en-US"/>
        </w:rPr>
        <w:t xml:space="preserve"> </w:t>
      </w:r>
      <w:r w:rsidRPr="00633B15">
        <w:rPr>
          <w:lang w:eastAsia="en-US"/>
        </w:rPr>
        <w:t>Чрез изпълнението на програмите за отстраняване на минали екологични щети на приватизирани предприятия, причинени от минали действия или бездействия, до приватизацията им, се постига преди всичко екологичен ефект, като се изпълняват дейности и проекти, за които отговорност носи държавата</w:t>
      </w:r>
      <w:r w:rsidRPr="00633B15">
        <w:rPr>
          <w:noProof/>
        </w:rPr>
        <w:t>.</w:t>
      </w:r>
    </w:p>
    <w:p w:rsidR="001868F3" w:rsidRPr="00DA33CE" w:rsidRDefault="001868F3" w:rsidP="001868F3">
      <w:pPr>
        <w:tabs>
          <w:tab w:val="center" w:pos="4153"/>
          <w:tab w:val="right" w:pos="8306"/>
        </w:tabs>
        <w:ind w:firstLine="720"/>
        <w:jc w:val="both"/>
        <w:rPr>
          <w:noProof/>
        </w:rPr>
      </w:pPr>
      <w:r w:rsidRPr="008F40BB">
        <w:rPr>
          <w:noProof/>
        </w:rPr>
        <w:t xml:space="preserve">От заложения ресурс през 2015 </w:t>
      </w:r>
      <w:r w:rsidRPr="00DA33CE">
        <w:rPr>
          <w:noProof/>
        </w:rPr>
        <w:t xml:space="preserve">г. за капиталови трансфери от сметката за средства от ЕС на </w:t>
      </w:r>
      <w:r w:rsidRPr="00DA33CE">
        <w:t xml:space="preserve">ДФ „Земеделие” </w:t>
      </w:r>
      <w:r w:rsidRPr="00DA33CE">
        <w:rPr>
          <w:noProof/>
        </w:rPr>
        <w:t xml:space="preserve">в размер на 672,3 млн. лв. са предоставени </w:t>
      </w:r>
      <w:r>
        <w:rPr>
          <w:noProof/>
        </w:rPr>
        <w:t>641</w:t>
      </w:r>
      <w:r w:rsidRPr="00DA33CE">
        <w:rPr>
          <w:noProof/>
        </w:rPr>
        <w:t>,</w:t>
      </w:r>
      <w:r>
        <w:rPr>
          <w:noProof/>
        </w:rPr>
        <w:t>1</w:t>
      </w:r>
      <w:r w:rsidRPr="00DA33CE">
        <w:rPr>
          <w:noProof/>
        </w:rPr>
        <w:t xml:space="preserve"> млн. лева.</w:t>
      </w:r>
      <w:r w:rsidRPr="001F6421">
        <w:rPr>
          <w:noProof/>
          <w:color w:val="0070C0"/>
        </w:rPr>
        <w:t xml:space="preserve"> </w:t>
      </w:r>
      <w:r w:rsidRPr="00DA33CE">
        <w:rPr>
          <w:noProof/>
        </w:rPr>
        <w:t xml:space="preserve">От тях капиталови трансфери за: нефинансови предприятия и организации с нестопанска цел - бенефициенти по ПРСР – </w:t>
      </w:r>
      <w:r>
        <w:rPr>
          <w:noProof/>
        </w:rPr>
        <w:t>6</w:t>
      </w:r>
      <w:r w:rsidRPr="00DA33CE">
        <w:rPr>
          <w:noProof/>
        </w:rPr>
        <w:t>0</w:t>
      </w:r>
      <w:r>
        <w:rPr>
          <w:noProof/>
        </w:rPr>
        <w:t>2</w:t>
      </w:r>
      <w:r w:rsidRPr="00DA33CE">
        <w:rPr>
          <w:noProof/>
        </w:rPr>
        <w:t>,</w:t>
      </w:r>
      <w:r>
        <w:rPr>
          <w:noProof/>
        </w:rPr>
        <w:t>1</w:t>
      </w:r>
      <w:r w:rsidRPr="00DA33CE">
        <w:rPr>
          <w:noProof/>
        </w:rPr>
        <w:t xml:space="preserve"> млн. лв., нефинансови предприятия и организации с нестопанска цел – бенефициенти по Оперативна програма за развитие на сектор „Рибарство“ – 2</w:t>
      </w:r>
      <w:r>
        <w:rPr>
          <w:noProof/>
        </w:rPr>
        <w:t>1</w:t>
      </w:r>
      <w:r w:rsidRPr="00DA33CE">
        <w:rPr>
          <w:noProof/>
        </w:rPr>
        <w:t>,</w:t>
      </w:r>
      <w:r>
        <w:rPr>
          <w:noProof/>
        </w:rPr>
        <w:t>2</w:t>
      </w:r>
      <w:r w:rsidRPr="00DA33CE">
        <w:rPr>
          <w:noProof/>
        </w:rPr>
        <w:t xml:space="preserve"> млн. лева.</w:t>
      </w:r>
      <w:r w:rsidRPr="001F6421">
        <w:rPr>
          <w:noProof/>
          <w:color w:val="0070C0"/>
        </w:rPr>
        <w:t xml:space="preserve"> </w:t>
      </w:r>
      <w:r w:rsidRPr="00DA33CE">
        <w:rPr>
          <w:noProof/>
        </w:rPr>
        <w:t xml:space="preserve">Изплатените средства за пазарни мерки под формата на капиталови трансфери за нефинансови предприятия и организации с нестопанска цел за 2015 г. са в размер на 17,8 млн. лева. </w:t>
      </w:r>
    </w:p>
    <w:p w:rsidR="001868F3" w:rsidRPr="00F243E1" w:rsidRDefault="001868F3" w:rsidP="001868F3">
      <w:pPr>
        <w:tabs>
          <w:tab w:val="center" w:pos="4153"/>
          <w:tab w:val="right" w:pos="8306"/>
        </w:tabs>
        <w:ind w:firstLine="720"/>
        <w:jc w:val="both"/>
      </w:pPr>
      <w:r w:rsidRPr="008F40BB">
        <w:rPr>
          <w:noProof/>
        </w:rPr>
        <w:t xml:space="preserve"> Размерът на предоставените капиталови трансфери чрез сметките на Национален фонд за 2015 г. възлиза на</w:t>
      </w:r>
      <w:r w:rsidRPr="001F6421">
        <w:rPr>
          <w:noProof/>
          <w:color w:val="0070C0"/>
        </w:rPr>
        <w:t xml:space="preserve"> </w:t>
      </w:r>
      <w:r w:rsidRPr="00F243E1">
        <w:rPr>
          <w:noProof/>
        </w:rPr>
        <w:t>538,</w:t>
      </w:r>
      <w:r w:rsidR="00F941FF">
        <w:rPr>
          <w:noProof/>
        </w:rPr>
        <w:t>9</w:t>
      </w:r>
      <w:r w:rsidRPr="00F243E1">
        <w:rPr>
          <w:noProof/>
        </w:rPr>
        <w:t xml:space="preserve"> млн. лв. и представляват извършени разходи главно по оперативни програми „Транспорт”, „Конкурентоспособност”, „Регионално развитие“ и „Околна среда“, финансирани със средства от Кохезионния фонд и Европейски фонд за регионално развитие (ЕФРР). </w:t>
      </w:r>
    </w:p>
    <w:p w:rsidR="00AA0722" w:rsidRDefault="001868F3" w:rsidP="001868F3">
      <w:pPr>
        <w:jc w:val="both"/>
        <w:rPr>
          <w:color w:val="0070C0"/>
          <w:lang w:val="en-US"/>
        </w:rPr>
      </w:pPr>
      <w:r w:rsidRPr="00BC6F08">
        <w:t xml:space="preserve">Капиталовите разходи </w:t>
      </w:r>
      <w:r w:rsidRPr="00BC6F08">
        <w:rPr>
          <w:b/>
        </w:rPr>
        <w:t>по бюджетите на общините</w:t>
      </w:r>
      <w:r w:rsidRPr="00BC6F08">
        <w:t xml:space="preserve"> към 31.12.2015 г. са в размер на 76</w:t>
      </w:r>
      <w:r w:rsidR="00170372">
        <w:t>3</w:t>
      </w:r>
      <w:r w:rsidRPr="00BC6F08">
        <w:t>,</w:t>
      </w:r>
      <w:r w:rsidR="00170372">
        <w:t>8</w:t>
      </w:r>
      <w:r w:rsidRPr="00BC6F08">
        <w:t> млн. лв., което представлява</w:t>
      </w:r>
      <w:r w:rsidRPr="001F6421">
        <w:rPr>
          <w:color w:val="0070C0"/>
        </w:rPr>
        <w:t xml:space="preserve"> </w:t>
      </w:r>
      <w:r w:rsidRPr="00BC6F08">
        <w:t>96,</w:t>
      </w:r>
      <w:r w:rsidR="00170372">
        <w:t>4</w:t>
      </w:r>
      <w:r w:rsidRPr="00BC6F08">
        <w:t>% от годишния разчет за 2015 г. и намаление спрямо отчетените през 2014 г. с 13,</w:t>
      </w:r>
      <w:r w:rsidR="00170372">
        <w:t>8</w:t>
      </w:r>
      <w:r w:rsidRPr="00BC6F08">
        <w:t xml:space="preserve"> %.</w:t>
      </w:r>
      <w:r w:rsidRPr="001F6421">
        <w:rPr>
          <w:color w:val="0070C0"/>
        </w:rPr>
        <w:t xml:space="preserve"> </w:t>
      </w:r>
      <w:r w:rsidRPr="00294A37">
        <w:t>По-ниския размер на отчетените капиталови разходи през 2015 г. спрямо отчетените за 2014 г., се дължи на предоставените на общините през 2014 г. допълнителни средства с ПМС № 19 от 2014 г. (изм. и доп. с ПМС № 333 и ПМС № 435) за целите на Публичната инвестиционна програма „Растеж и устойчиво развитие на регионите“</w:t>
      </w:r>
      <w:r>
        <w:t xml:space="preserve">. </w:t>
      </w:r>
      <w:r w:rsidRPr="00BC6F08">
        <w:t>С най-голям относителен дял от отчетените капиталовите разходи – 49,</w:t>
      </w:r>
      <w:r w:rsidR="00170372">
        <w:t>9</w:t>
      </w:r>
      <w:r w:rsidRPr="00BC6F08">
        <w:t xml:space="preserve"> % са разходите за основен ремонт, следвани от разходите за придобиване на дълготрайни материални активи – 46,</w:t>
      </w:r>
      <w:r w:rsidR="00170372">
        <w:t>4</w:t>
      </w:r>
      <w:r w:rsidRPr="00BC6F08">
        <w:t xml:space="preserve"> %.</w:t>
      </w:r>
      <w:r w:rsidRPr="001F6421">
        <w:rPr>
          <w:color w:val="0070C0"/>
        </w:rPr>
        <w:t xml:space="preserve"> </w:t>
      </w:r>
      <w:r w:rsidRPr="00133615">
        <w:t>От отчетените през 2015 г. от общините капиталови разходи 6</w:t>
      </w:r>
      <w:r w:rsidR="00133615">
        <w:t>59,6</w:t>
      </w:r>
      <w:r w:rsidRPr="00133615">
        <w:t xml:space="preserve"> млн. лв. или 86,</w:t>
      </w:r>
      <w:r w:rsidR="00133615">
        <w:t>3</w:t>
      </w:r>
      <w:r w:rsidRPr="00133615">
        <w:t>% са за местни дейности. За делегираните от държавата дейности са отчетени 80,7 млн. лв. или 10,</w:t>
      </w:r>
      <w:r w:rsidR="00133615">
        <w:t>6</w:t>
      </w:r>
      <w:r w:rsidRPr="00133615">
        <w:t>%, а за дофинансиране със собствени приходи са отчетени 23,5 млн. лв. или 3,1%</w:t>
      </w:r>
      <w:r w:rsidR="00AA0722" w:rsidRPr="00133615">
        <w:rPr>
          <w:color w:val="0070C0"/>
        </w:rPr>
        <w:t>.</w:t>
      </w:r>
      <w:r w:rsidR="00AA0722">
        <w:rPr>
          <w:color w:val="0070C0"/>
        </w:rPr>
        <w:t xml:space="preserve"> </w:t>
      </w:r>
    </w:p>
    <w:p w:rsidR="00392639" w:rsidRDefault="00392639" w:rsidP="001868F3">
      <w:pPr>
        <w:jc w:val="both"/>
        <w:rPr>
          <w:color w:val="0070C0"/>
          <w:lang w:val="en-US"/>
        </w:rPr>
      </w:pPr>
    </w:p>
    <w:p w:rsidR="00392639" w:rsidRPr="00392639" w:rsidRDefault="00392639" w:rsidP="001868F3">
      <w:pPr>
        <w:jc w:val="both"/>
        <w:rPr>
          <w:color w:val="0070C0"/>
          <w:lang w:val="en-US"/>
        </w:rPr>
      </w:pPr>
    </w:p>
    <w:p w:rsidR="00AA0722" w:rsidRDefault="00AA0722" w:rsidP="00AA0722">
      <w:pPr>
        <w:pStyle w:val="Heading3"/>
        <w:numPr>
          <w:ilvl w:val="2"/>
          <w:numId w:val="15"/>
        </w:numPr>
        <w:rPr>
          <w:rFonts w:ascii="Times New Roman" w:hAnsi="Times New Roman" w:cs="Times New Roman"/>
          <w:sz w:val="24"/>
          <w:szCs w:val="24"/>
          <w:lang w:val="bg-BG"/>
        </w:rPr>
      </w:pPr>
      <w:bookmarkStart w:id="207" w:name="_Toc430165280"/>
      <w:bookmarkStart w:id="208" w:name="_Toc136519972"/>
      <w:bookmarkStart w:id="209" w:name="_Toc136597740"/>
      <w:bookmarkStart w:id="210" w:name="_Toc136601643"/>
      <w:bookmarkStart w:id="211" w:name="_Toc167181039"/>
      <w:bookmarkStart w:id="212" w:name="_Toc261276581"/>
      <w:bookmarkStart w:id="213" w:name="_Toc293657069"/>
      <w:bookmarkStart w:id="214" w:name="_Toc326315910"/>
      <w:bookmarkStart w:id="215" w:name="_Toc393728069"/>
      <w:bookmarkStart w:id="216" w:name="_Toc462146118"/>
      <w:r>
        <w:rPr>
          <w:rFonts w:ascii="Times New Roman" w:hAnsi="Times New Roman" w:cs="Times New Roman"/>
          <w:sz w:val="24"/>
          <w:szCs w:val="24"/>
          <w:lang w:val="bg-BG"/>
        </w:rPr>
        <w:lastRenderedPageBreak/>
        <w:t>Лихвени разходи</w:t>
      </w:r>
      <w:bookmarkEnd w:id="207"/>
      <w:bookmarkEnd w:id="208"/>
      <w:bookmarkEnd w:id="209"/>
      <w:bookmarkEnd w:id="210"/>
      <w:bookmarkEnd w:id="211"/>
      <w:bookmarkEnd w:id="212"/>
      <w:bookmarkEnd w:id="213"/>
      <w:bookmarkEnd w:id="214"/>
      <w:bookmarkEnd w:id="215"/>
      <w:bookmarkEnd w:id="216"/>
    </w:p>
    <w:p w:rsidR="00AA0722" w:rsidRDefault="00AA0722" w:rsidP="00AA0722">
      <w:pPr>
        <w:rPr>
          <w:color w:val="0070C0"/>
          <w:sz w:val="8"/>
          <w:szCs w:val="8"/>
        </w:rPr>
      </w:pPr>
    </w:p>
    <w:p w:rsidR="00AA0722" w:rsidRDefault="00AA0722" w:rsidP="00AA0722">
      <w:pPr>
        <w:ind w:firstLine="720"/>
        <w:jc w:val="both"/>
        <w:rPr>
          <w:lang w:eastAsia="en-US"/>
        </w:rPr>
      </w:pPr>
      <w:r>
        <w:rPr>
          <w:lang w:eastAsia="en-US"/>
        </w:rPr>
        <w:t>Лихвените плащания по КФП през 2015 г. са в размер на 698,3 млн. лв., което представлява 80,1 % от предвидените с разчетите към ЗДБРБ за 2015 г.</w:t>
      </w:r>
      <w:r>
        <w:rPr>
          <w:color w:val="0070C0"/>
          <w:lang w:eastAsia="en-US"/>
        </w:rPr>
        <w:t xml:space="preserve"> </w:t>
      </w:r>
      <w:r>
        <w:rPr>
          <w:lang w:eastAsia="en-US"/>
        </w:rPr>
        <w:t xml:space="preserve">Отчетените данни показват слабо нарастване на лихвените разходи като процент от БВП до 0,8 % при 0,7 % през предходната година. </w:t>
      </w:r>
    </w:p>
    <w:p w:rsidR="00AA0722" w:rsidRDefault="00AA0722" w:rsidP="00AA0722">
      <w:pPr>
        <w:autoSpaceDE w:val="0"/>
        <w:autoSpaceDN w:val="0"/>
        <w:adjustRightInd w:val="0"/>
        <w:ind w:firstLine="720"/>
        <w:jc w:val="both"/>
      </w:pPr>
      <w:r>
        <w:t>В структурно отношение по-висок относителен дял в лихвените плащания заемат плащанията за лихви по външни заеми (разходи по външния дълг) – 61,7 %, срещу 38,3 % за лихвените плащания по вътрешни заеми (разходи по вътрешния дълг).</w:t>
      </w:r>
    </w:p>
    <w:p w:rsidR="00AA0722" w:rsidRDefault="00AA0722" w:rsidP="00AA0722">
      <w:pPr>
        <w:keepNext/>
        <w:spacing w:before="120" w:after="60"/>
        <w:ind w:left="709" w:firstLine="193"/>
        <w:outlineLvl w:val="3"/>
        <w:rPr>
          <w:b/>
          <w:bCs/>
          <w:i/>
        </w:rPr>
      </w:pPr>
      <w:r>
        <w:rPr>
          <w:b/>
          <w:bCs/>
          <w:i/>
        </w:rPr>
        <w:t xml:space="preserve">Разходи по външния държавен дълг </w:t>
      </w:r>
    </w:p>
    <w:p w:rsidR="00AA0722" w:rsidRDefault="00AA0722" w:rsidP="00AA0722">
      <w:pPr>
        <w:ind w:firstLine="720"/>
        <w:jc w:val="both"/>
        <w:rPr>
          <w:lang w:eastAsia="en-US"/>
        </w:rPr>
      </w:pPr>
      <w:r>
        <w:rPr>
          <w:lang w:eastAsia="en-US"/>
        </w:rPr>
        <w:t>Лихвените плащания по външни заеми през 2015 г. са в размер на 431,2 млн. лв. (вкл. лихвите по ДИЗ), което представлява 83,0 % от планираните за годината. По отделни съставни бюджети:</w:t>
      </w:r>
      <w:r>
        <w:rPr>
          <w:color w:val="0070C0"/>
          <w:lang w:eastAsia="en-US"/>
        </w:rPr>
        <w:t xml:space="preserve"> </w:t>
      </w:r>
      <w:r>
        <w:rPr>
          <w:lang w:eastAsia="en-US"/>
        </w:rPr>
        <w:t>364,1 млн. лв. са разходите за лихви по външни заеми по централния бюджет; 49,0 млн. лв. са лихви по ДИЗ, в т.ч. 41,7 млн. лв. по заемите, управлявани от министерствата и ведомствата, 7,3 млн. лв. лихви по ДИЗ с краен бенефициент и 17,6 млн. лв. по общинските бюджети.</w:t>
      </w:r>
      <w:r>
        <w:rPr>
          <w:color w:val="0070C0"/>
          <w:lang w:eastAsia="en-US"/>
        </w:rPr>
        <w:t xml:space="preserve"> </w:t>
      </w:r>
      <w:r>
        <w:rPr>
          <w:lang w:eastAsia="en-US"/>
        </w:rPr>
        <w:t>Всички плащания са извършвани надлежно и в съответствие с предвидените в кредитните споразумения условия.</w:t>
      </w:r>
    </w:p>
    <w:p w:rsidR="00AA0722" w:rsidRDefault="00AA0722" w:rsidP="00AA0722">
      <w:pPr>
        <w:numPr>
          <w:ilvl w:val="0"/>
          <w:numId w:val="79"/>
        </w:numPr>
        <w:tabs>
          <w:tab w:val="num" w:pos="709"/>
          <w:tab w:val="left" w:pos="993"/>
          <w:tab w:val="left" w:pos="1134"/>
        </w:tabs>
        <w:spacing w:after="120"/>
        <w:ind w:left="0" w:firstLine="709"/>
        <w:contextualSpacing/>
        <w:jc w:val="both"/>
        <w:rPr>
          <w:lang w:eastAsia="en-US"/>
        </w:rPr>
      </w:pPr>
      <w:r>
        <w:rPr>
          <w:lang w:eastAsia="en-US"/>
        </w:rPr>
        <w:t>По централен бюджет в структурно отношение лихвите по облигации, емитирани на международните капиталови пазари са с най-висок относителен дял (</w:t>
      </w:r>
      <w:r>
        <w:rPr>
          <w:lang w:val="en-US" w:eastAsia="en-US"/>
        </w:rPr>
        <w:t>7</w:t>
      </w:r>
      <w:r>
        <w:rPr>
          <w:lang w:eastAsia="en-US"/>
        </w:rPr>
        <w:t xml:space="preserve">9,7 % или </w:t>
      </w:r>
      <w:r>
        <w:rPr>
          <w:lang w:val="en-US" w:eastAsia="en-US"/>
        </w:rPr>
        <w:t>2</w:t>
      </w:r>
      <w:r>
        <w:rPr>
          <w:lang w:eastAsia="en-US"/>
        </w:rPr>
        <w:t>9</w:t>
      </w:r>
      <w:r>
        <w:rPr>
          <w:lang w:val="en-US" w:eastAsia="en-US"/>
        </w:rPr>
        <w:t>0</w:t>
      </w:r>
      <w:r>
        <w:rPr>
          <w:lang w:eastAsia="en-US"/>
        </w:rPr>
        <w:t xml:space="preserve">,2 млн. лв.) в общите разходи за външни лихви, което се дължи както на факта, че глобалните облигации заемат </w:t>
      </w:r>
      <w:r>
        <w:rPr>
          <w:lang w:val="en-US" w:eastAsia="en-US"/>
        </w:rPr>
        <w:t>7</w:t>
      </w:r>
      <w:r>
        <w:rPr>
          <w:lang w:eastAsia="en-US"/>
        </w:rPr>
        <w:t xml:space="preserve">0,9% от общия размер на външния държавен дълг, така и на размера на лихвените купони. Следват изплатените лихви по заеми към ЕИБ – </w:t>
      </w:r>
      <w:r>
        <w:rPr>
          <w:lang w:val="en-US" w:eastAsia="en-US"/>
        </w:rPr>
        <w:t>9</w:t>
      </w:r>
      <w:r>
        <w:rPr>
          <w:lang w:eastAsia="en-US"/>
        </w:rPr>
        <w:t>,3% от общия размер на външните лихви или 33,9 млн. лв., към МБВР – 0,9% или 3,4 млн. лв., лихвените разходи по заеми от други държави Парижки клуб – 0,9% (3,1 млн. лв.) и към Японската банка за международно сътрудничество  –  съответно 0,1% (0,4 млн. лв.</w:t>
      </w:r>
      <w:r>
        <w:rPr>
          <w:lang w:val="ru-RU" w:eastAsia="en-US"/>
        </w:rPr>
        <w:t>)</w:t>
      </w:r>
      <w:r>
        <w:rPr>
          <w:lang w:eastAsia="en-US"/>
        </w:rPr>
        <w:t xml:space="preserve">. </w:t>
      </w:r>
    </w:p>
    <w:p w:rsidR="00AA0722" w:rsidRDefault="00AA0722" w:rsidP="00AA0722">
      <w:pPr>
        <w:numPr>
          <w:ilvl w:val="0"/>
          <w:numId w:val="79"/>
        </w:numPr>
        <w:tabs>
          <w:tab w:val="num" w:pos="709"/>
          <w:tab w:val="left" w:pos="993"/>
          <w:tab w:val="left" w:pos="1134"/>
        </w:tabs>
        <w:spacing w:after="120"/>
        <w:ind w:left="0" w:firstLine="709"/>
        <w:contextualSpacing/>
        <w:jc w:val="both"/>
        <w:rPr>
          <w:lang w:eastAsia="en-US"/>
        </w:rPr>
      </w:pPr>
      <w:r>
        <w:rPr>
          <w:lang w:eastAsia="en-US"/>
        </w:rPr>
        <w:t>По ДИЗ, управлявани от министерствата и ведомствата са изплатени лихви в размер на 41,7 млн. лв. или 8</w:t>
      </w:r>
      <w:r>
        <w:rPr>
          <w:lang w:val="en-US" w:eastAsia="en-US"/>
        </w:rPr>
        <w:t>9</w:t>
      </w:r>
      <w:r>
        <w:rPr>
          <w:lang w:eastAsia="en-US"/>
        </w:rPr>
        <w:t>,5% от разчета за 2015 г. в следствие на валутно-курсови разлики по заемите в японски йени и щатски долари.</w:t>
      </w:r>
    </w:p>
    <w:p w:rsidR="00AA0722" w:rsidRDefault="00AA0722" w:rsidP="00AA0722">
      <w:pPr>
        <w:numPr>
          <w:ilvl w:val="0"/>
          <w:numId w:val="79"/>
        </w:numPr>
        <w:tabs>
          <w:tab w:val="num" w:pos="709"/>
          <w:tab w:val="left" w:pos="993"/>
          <w:tab w:val="left" w:pos="1134"/>
        </w:tabs>
        <w:spacing w:after="120"/>
        <w:ind w:left="0" w:firstLine="709"/>
        <w:contextualSpacing/>
        <w:jc w:val="both"/>
        <w:rPr>
          <w:lang w:eastAsia="en-US"/>
        </w:rPr>
      </w:pPr>
      <w:r>
        <w:rPr>
          <w:lang w:eastAsia="en-US"/>
        </w:rPr>
        <w:t>По ДИЗ с краен бенефициент търговско дружество са отчетени разходи за лихви в размер на 7,3 млн. лв. или 8</w:t>
      </w:r>
      <w:r>
        <w:rPr>
          <w:lang w:val="en-US" w:eastAsia="en-US"/>
        </w:rPr>
        <w:t>9</w:t>
      </w:r>
      <w:r>
        <w:rPr>
          <w:lang w:eastAsia="en-US"/>
        </w:rPr>
        <w:t>,8% от разчета за 2015 година.</w:t>
      </w:r>
    </w:p>
    <w:p w:rsidR="00AA0722" w:rsidRDefault="00AA0722" w:rsidP="00AA0722">
      <w:pPr>
        <w:tabs>
          <w:tab w:val="num" w:pos="709"/>
          <w:tab w:val="left" w:pos="993"/>
          <w:tab w:val="left" w:pos="1134"/>
        </w:tabs>
        <w:spacing w:after="120"/>
        <w:ind w:firstLine="720"/>
        <w:jc w:val="both"/>
        <w:rPr>
          <w:lang w:eastAsia="en-US"/>
        </w:rPr>
      </w:pPr>
      <w:r>
        <w:rPr>
          <w:lang w:eastAsia="en-US"/>
        </w:rPr>
        <w:t xml:space="preserve">Отчетените икономии при разходите за външни лихви спрямо годишния разчет се дължат основно на няколко фактора: </w:t>
      </w:r>
    </w:p>
    <w:p w:rsidR="00AA0722" w:rsidRDefault="00AA0722" w:rsidP="00AA0722">
      <w:pPr>
        <w:tabs>
          <w:tab w:val="left" w:pos="993"/>
        </w:tabs>
        <w:spacing w:after="120"/>
        <w:ind w:firstLine="851"/>
        <w:jc w:val="both"/>
      </w:pPr>
      <w:r>
        <w:t xml:space="preserve">- </w:t>
      </w:r>
      <w:r>
        <w:rPr>
          <w:lang w:eastAsia="en-US"/>
        </w:rPr>
        <w:t xml:space="preserve">през 2015 г. не са използвани средства </w:t>
      </w:r>
      <w:r>
        <w:t xml:space="preserve">от предвидения по закон резерв за </w:t>
      </w:r>
      <w:r w:rsidR="00FE17EE">
        <w:t xml:space="preserve">лихвени плащания за </w:t>
      </w:r>
      <w:r>
        <w:t xml:space="preserve">покриване на риска от активиране на държавни гаранции; </w:t>
      </w:r>
    </w:p>
    <w:p w:rsidR="00AA0722" w:rsidRDefault="00AA0722" w:rsidP="00AA0722">
      <w:pPr>
        <w:tabs>
          <w:tab w:val="left" w:pos="993"/>
        </w:tabs>
        <w:spacing w:after="120"/>
        <w:ind w:firstLine="851"/>
        <w:jc w:val="both"/>
        <w:rPr>
          <w:lang w:eastAsia="en-US"/>
        </w:rPr>
      </w:pPr>
      <w:r>
        <w:rPr>
          <w:lang w:eastAsia="en-US"/>
        </w:rPr>
        <w:t>- по-ниските нива на реалните стойности на 6 м. LIBOR за евро и долар и 6 м. EURIBOR в сравнение с бюджетните разчети.</w:t>
      </w:r>
    </w:p>
    <w:p w:rsidR="00AA0722" w:rsidRDefault="00AA0722" w:rsidP="00AA0722">
      <w:pPr>
        <w:tabs>
          <w:tab w:val="left" w:pos="993"/>
        </w:tabs>
        <w:spacing w:after="120"/>
        <w:ind w:firstLine="851"/>
        <w:jc w:val="both"/>
        <w:rPr>
          <w:lang w:eastAsia="en-US"/>
        </w:rPr>
      </w:pPr>
    </w:p>
    <w:p w:rsidR="00AA0722" w:rsidRDefault="00AA0722" w:rsidP="00AA0722">
      <w:pPr>
        <w:tabs>
          <w:tab w:val="left" w:pos="993"/>
        </w:tabs>
        <w:spacing w:after="120"/>
        <w:ind w:firstLine="709"/>
        <w:jc w:val="both"/>
        <w:rPr>
          <w:b/>
          <w:bCs/>
          <w:i/>
        </w:rPr>
      </w:pPr>
      <w:r>
        <w:rPr>
          <w:color w:val="0070C0"/>
          <w:lang w:eastAsia="en-US"/>
        </w:rPr>
        <w:t xml:space="preserve"> </w:t>
      </w:r>
      <w:r>
        <w:rPr>
          <w:b/>
          <w:bCs/>
          <w:i/>
        </w:rPr>
        <w:t>Разходи по вътрешния държавен дълг</w:t>
      </w:r>
    </w:p>
    <w:p w:rsidR="00AA0722" w:rsidRDefault="00AA0722" w:rsidP="00AA0722">
      <w:pPr>
        <w:spacing w:after="120"/>
        <w:ind w:firstLine="851"/>
        <w:jc w:val="both"/>
        <w:rPr>
          <w:lang w:eastAsia="en-US"/>
        </w:rPr>
      </w:pPr>
      <w:r>
        <w:rPr>
          <w:lang w:eastAsia="en-US"/>
        </w:rPr>
        <w:t xml:space="preserve">Общият размер на платените лихви по вътрешния дълг през 2015 г. по емитирани ДЦК е в размер на </w:t>
      </w:r>
      <w:r>
        <w:rPr>
          <w:lang w:val="en-US" w:eastAsia="en-US"/>
        </w:rPr>
        <w:t>2</w:t>
      </w:r>
      <w:r>
        <w:rPr>
          <w:lang w:eastAsia="en-US"/>
        </w:rPr>
        <w:t>67,1 млн. лв. или</w:t>
      </w:r>
      <w:r>
        <w:rPr>
          <w:color w:val="0070C0"/>
          <w:lang w:eastAsia="en-US"/>
        </w:rPr>
        <w:t xml:space="preserve"> </w:t>
      </w:r>
      <w:r>
        <w:rPr>
          <w:lang w:eastAsia="en-US"/>
        </w:rPr>
        <w:t xml:space="preserve">75,9% от годишния разчет. </w:t>
      </w:r>
    </w:p>
    <w:p w:rsidR="00AA0722" w:rsidRDefault="00AA0722" w:rsidP="00AA0722">
      <w:pPr>
        <w:ind w:firstLine="720"/>
        <w:jc w:val="both"/>
        <w:rPr>
          <w:lang w:val="en-US"/>
        </w:rPr>
      </w:pPr>
      <w:r>
        <w:t>Платените (възстановени) лихви и отстъпки по ДЦК, емитирани на аукционен принцип са в размер на 1</w:t>
      </w:r>
      <w:r>
        <w:rPr>
          <w:lang w:val="en-US"/>
        </w:rPr>
        <w:t>2</w:t>
      </w:r>
      <w:r>
        <w:t xml:space="preserve">,8 млн. лв., лихвите по ДЦК, емитирани за структурната реформа – </w:t>
      </w:r>
      <w:r>
        <w:rPr>
          <w:lang w:val="en-US"/>
        </w:rPr>
        <w:t>0</w:t>
      </w:r>
      <w:r>
        <w:t>,5 млн. лв. и реализираните при аукционите премии над номинала от емисии ДЦК /отчетени в намаление на разходите за лихви/ съответно (-22,3) млн. лева.</w:t>
      </w:r>
    </w:p>
    <w:p w:rsidR="00AE4015" w:rsidRDefault="00AE4015" w:rsidP="00AA0722">
      <w:pPr>
        <w:ind w:firstLine="720"/>
        <w:jc w:val="both"/>
        <w:rPr>
          <w:lang w:val="en-US"/>
        </w:rPr>
      </w:pPr>
    </w:p>
    <w:p w:rsidR="00AE4015" w:rsidRPr="00AE4015" w:rsidRDefault="00AE4015" w:rsidP="00AA0722">
      <w:pPr>
        <w:ind w:firstLine="720"/>
        <w:jc w:val="both"/>
        <w:rPr>
          <w:color w:val="0070C0"/>
          <w:lang w:val="en-US" w:eastAsia="en-US"/>
        </w:rPr>
      </w:pPr>
    </w:p>
    <w:p w:rsidR="00AA0722" w:rsidRDefault="00AA0722" w:rsidP="00AA0722">
      <w:pPr>
        <w:pStyle w:val="Heading3"/>
        <w:numPr>
          <w:ilvl w:val="2"/>
          <w:numId w:val="15"/>
        </w:numPr>
        <w:rPr>
          <w:rFonts w:ascii="Times New Roman" w:hAnsi="Times New Roman" w:cs="Times New Roman"/>
          <w:sz w:val="24"/>
          <w:szCs w:val="24"/>
          <w:lang w:val="bg-BG"/>
        </w:rPr>
      </w:pPr>
      <w:bookmarkStart w:id="217" w:name="_Toc261276582"/>
      <w:bookmarkStart w:id="218" w:name="_Toc293657070"/>
      <w:bookmarkStart w:id="219" w:name="_Toc430165281"/>
      <w:bookmarkStart w:id="220" w:name="_Toc326315911"/>
      <w:bookmarkStart w:id="221" w:name="_Toc393728070"/>
      <w:bookmarkStart w:id="222" w:name="_Toc462146119"/>
      <w:r>
        <w:rPr>
          <w:rFonts w:ascii="Times New Roman" w:hAnsi="Times New Roman" w:cs="Times New Roman"/>
          <w:sz w:val="24"/>
          <w:szCs w:val="24"/>
          <w:lang w:val="bg-BG"/>
        </w:rPr>
        <w:lastRenderedPageBreak/>
        <w:t>Вноска на Република България в общия бюджет на Е</w:t>
      </w:r>
      <w:bookmarkEnd w:id="217"/>
      <w:bookmarkEnd w:id="218"/>
      <w:r>
        <w:rPr>
          <w:rFonts w:ascii="Times New Roman" w:hAnsi="Times New Roman" w:cs="Times New Roman"/>
          <w:sz w:val="24"/>
          <w:szCs w:val="24"/>
          <w:lang w:val="bg-BG"/>
        </w:rPr>
        <w:t>С</w:t>
      </w:r>
      <w:bookmarkEnd w:id="219"/>
      <w:bookmarkEnd w:id="220"/>
      <w:bookmarkEnd w:id="221"/>
      <w:bookmarkEnd w:id="222"/>
    </w:p>
    <w:p w:rsidR="00AA0722" w:rsidRDefault="00AA0722" w:rsidP="00AA0722">
      <w:pPr>
        <w:tabs>
          <w:tab w:val="left" w:pos="720"/>
          <w:tab w:val="left" w:pos="969"/>
          <w:tab w:val="center" w:pos="4153"/>
          <w:tab w:val="right" w:pos="8306"/>
        </w:tabs>
        <w:ind w:right="57" w:firstLine="540"/>
        <w:jc w:val="both"/>
        <w:rPr>
          <w:color w:val="0070C0"/>
          <w:sz w:val="8"/>
          <w:szCs w:val="8"/>
        </w:rPr>
      </w:pPr>
    </w:p>
    <w:p w:rsidR="00AA0722" w:rsidRDefault="00AA0722" w:rsidP="00AA0722">
      <w:pPr>
        <w:tabs>
          <w:tab w:val="left" w:pos="720"/>
          <w:tab w:val="left" w:pos="969"/>
          <w:tab w:val="center" w:pos="4153"/>
          <w:tab w:val="right" w:pos="8306"/>
        </w:tabs>
        <w:ind w:right="57" w:firstLine="720"/>
        <w:jc w:val="both"/>
      </w:pPr>
      <w:r>
        <w:t xml:space="preserve">България регулярно и в срок превежда вноската си в общия бюджет на Европейския съюз в изпълнение на действащото към момента законодателство в областта на собствените ресурси на ЕС, Решение на Съвета 2007/436/ЕО, Евратом относно системата на собствените ресурси на Европейските общности и Регламент на Съвета № 1150/2000, изменен с Регламент № 2018/2004, Регламент № 105/2009 и Регламент № 1377/2014, за прилагане на Решение 2007/436/ЕО. </w:t>
      </w:r>
    </w:p>
    <w:p w:rsidR="00AA0722" w:rsidRDefault="00AA0722" w:rsidP="00AA0722">
      <w:pPr>
        <w:tabs>
          <w:tab w:val="left" w:pos="720"/>
          <w:tab w:val="left" w:pos="969"/>
          <w:tab w:val="center" w:pos="4153"/>
          <w:tab w:val="right" w:pos="8306"/>
        </w:tabs>
        <w:ind w:right="57" w:firstLine="720"/>
        <w:jc w:val="both"/>
        <w:rPr>
          <w:color w:val="0070C0"/>
          <w:sz w:val="12"/>
          <w:szCs w:val="12"/>
        </w:rPr>
      </w:pPr>
    </w:p>
    <w:p w:rsidR="00AA0722" w:rsidRDefault="00AA0722" w:rsidP="00AA0722">
      <w:pPr>
        <w:tabs>
          <w:tab w:val="left" w:pos="720"/>
          <w:tab w:val="left" w:pos="969"/>
          <w:tab w:val="center" w:pos="4153"/>
          <w:tab w:val="right" w:pos="8306"/>
        </w:tabs>
        <w:ind w:right="57" w:firstLine="720"/>
        <w:jc w:val="both"/>
      </w:pPr>
      <w:r>
        <w:t>Вноската на България в общия бюджет на ЕС се формира от следните компоненти – традиционни собствени ресурси ( 75 % от събраните мита и такси върху производството на захар и изоглюкоза), ресурс на база приходите от ДДС, ресурс на база брутен национален доход и участие на България във финансирането на механизма за корекцията в полза на Обединеното кралство.</w:t>
      </w:r>
    </w:p>
    <w:p w:rsidR="00AA0722" w:rsidRDefault="00AA0722" w:rsidP="00AA0722">
      <w:pPr>
        <w:tabs>
          <w:tab w:val="left" w:pos="720"/>
          <w:tab w:val="left" w:pos="969"/>
          <w:tab w:val="center" w:pos="4153"/>
          <w:tab w:val="right" w:pos="8306"/>
        </w:tabs>
        <w:ind w:right="57" w:firstLine="720"/>
        <w:jc w:val="both"/>
        <w:rPr>
          <w:color w:val="0070C0"/>
          <w:sz w:val="12"/>
          <w:szCs w:val="12"/>
        </w:rPr>
      </w:pPr>
    </w:p>
    <w:p w:rsidR="00AA0722" w:rsidRDefault="0083327E" w:rsidP="00AA0722">
      <w:pPr>
        <w:tabs>
          <w:tab w:val="left" w:pos="720"/>
          <w:tab w:val="left" w:pos="969"/>
          <w:tab w:val="center" w:pos="4153"/>
          <w:tab w:val="right" w:pos="8306"/>
        </w:tabs>
        <w:ind w:right="57" w:firstLine="720"/>
        <w:jc w:val="both"/>
      </w:pPr>
      <w:r w:rsidRPr="0027234E">
        <w:t>По-долу са представени</w:t>
      </w:r>
      <w:r>
        <w:t>,</w:t>
      </w:r>
      <w:r w:rsidRPr="0027234E">
        <w:t xml:space="preserve"> </w:t>
      </w:r>
      <w:r>
        <w:t xml:space="preserve">елементите обезпечаващи </w:t>
      </w:r>
      <w:r w:rsidRPr="0027234E">
        <w:t>вноската на България в общия бюджет на ЕС</w:t>
      </w:r>
      <w:r>
        <w:t xml:space="preserve"> по </w:t>
      </w:r>
      <w:r w:rsidRPr="0027234E">
        <w:t>план в ЗДБРБ за 2015 г.  и извършените касови плащания от централния бюджет за 2015 година</w:t>
      </w:r>
      <w:r w:rsidR="00AA0722">
        <w:t>.</w:t>
      </w:r>
    </w:p>
    <w:p w:rsidR="00AA0722" w:rsidRDefault="00AA0722" w:rsidP="00AA0722">
      <w:pPr>
        <w:tabs>
          <w:tab w:val="left" w:pos="720"/>
          <w:tab w:val="left" w:pos="969"/>
          <w:tab w:val="center" w:pos="4153"/>
          <w:tab w:val="right" w:pos="8306"/>
        </w:tabs>
        <w:ind w:right="57" w:firstLine="720"/>
        <w:jc w:val="both"/>
        <w:rPr>
          <w:color w:val="0070C0"/>
        </w:rPr>
      </w:pPr>
    </w:p>
    <w:p w:rsidR="00AA0722" w:rsidRDefault="00AA0722" w:rsidP="00AA0722">
      <w:pPr>
        <w:tabs>
          <w:tab w:val="left" w:pos="720"/>
          <w:tab w:val="left" w:pos="969"/>
          <w:tab w:val="center" w:pos="4153"/>
          <w:tab w:val="right" w:pos="8306"/>
        </w:tabs>
        <w:ind w:right="57" w:firstLine="720"/>
        <w:jc w:val="both"/>
        <w:rPr>
          <w:sz w:val="10"/>
          <w:szCs w:val="10"/>
        </w:rPr>
      </w:pPr>
    </w:p>
    <w:p w:rsidR="00AA0722" w:rsidRDefault="00AA0722" w:rsidP="00AA0722">
      <w:pPr>
        <w:tabs>
          <w:tab w:val="left" w:pos="720"/>
          <w:tab w:val="left" w:pos="969"/>
          <w:tab w:val="center" w:pos="4153"/>
          <w:tab w:val="right" w:pos="8306"/>
        </w:tabs>
        <w:ind w:right="57" w:firstLine="7380"/>
        <w:jc w:val="both"/>
        <w:rPr>
          <w:b/>
          <w:sz w:val="20"/>
          <w:szCs w:val="20"/>
        </w:rPr>
      </w:pPr>
      <w:r>
        <w:rPr>
          <w:b/>
          <w:sz w:val="20"/>
          <w:szCs w:val="20"/>
        </w:rPr>
        <w:t xml:space="preserve">              (млн. лв.)</w:t>
      </w:r>
    </w:p>
    <w:tbl>
      <w:tblPr>
        <w:tblW w:w="9437" w:type="dxa"/>
        <w:tblInd w:w="-110" w:type="dxa"/>
        <w:tblCellMar>
          <w:left w:w="70" w:type="dxa"/>
          <w:right w:w="70" w:type="dxa"/>
        </w:tblCellMar>
        <w:tblLook w:val="04A0" w:firstRow="1" w:lastRow="0" w:firstColumn="1" w:lastColumn="0" w:noHBand="0" w:noVBand="1"/>
      </w:tblPr>
      <w:tblGrid>
        <w:gridCol w:w="5760"/>
        <w:gridCol w:w="1157"/>
        <w:gridCol w:w="900"/>
        <w:gridCol w:w="1620"/>
      </w:tblGrid>
      <w:tr w:rsidR="00AA0722" w:rsidTr="00AA0722">
        <w:trPr>
          <w:trHeight w:val="487"/>
        </w:trPr>
        <w:tc>
          <w:tcPr>
            <w:tcW w:w="5760"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rsidR="00AA0722" w:rsidRDefault="00AA0722">
            <w:pPr>
              <w:jc w:val="center"/>
              <w:rPr>
                <w:b/>
                <w:sz w:val="20"/>
                <w:szCs w:val="20"/>
              </w:rPr>
            </w:pPr>
            <w:r>
              <w:rPr>
                <w:b/>
                <w:sz w:val="20"/>
                <w:szCs w:val="20"/>
              </w:rPr>
              <w:t>ВНОСКА В ОБЩИЯ БЮДЖЕТ НА ЕС</w:t>
            </w:r>
          </w:p>
        </w:tc>
        <w:tc>
          <w:tcPr>
            <w:tcW w:w="1157" w:type="dxa"/>
            <w:tcBorders>
              <w:top w:val="double" w:sz="6" w:space="0" w:color="800000"/>
              <w:left w:val="nil"/>
              <w:bottom w:val="double" w:sz="6" w:space="0" w:color="800000"/>
              <w:right w:val="single" w:sz="4" w:space="0" w:color="FFFFFF"/>
            </w:tcBorders>
            <w:shd w:val="clear" w:color="auto" w:fill="800000"/>
            <w:vAlign w:val="bottom"/>
            <w:hideMark/>
          </w:tcPr>
          <w:p w:rsidR="00AA0722" w:rsidRDefault="00AA0722">
            <w:pPr>
              <w:jc w:val="center"/>
              <w:rPr>
                <w:b/>
                <w:bCs/>
                <w:sz w:val="20"/>
                <w:szCs w:val="20"/>
              </w:rPr>
            </w:pPr>
            <w:r>
              <w:rPr>
                <w:b/>
                <w:bCs/>
                <w:sz w:val="20"/>
                <w:szCs w:val="20"/>
              </w:rPr>
              <w:t xml:space="preserve">ЗДБРБ </w:t>
            </w:r>
          </w:p>
          <w:p w:rsidR="00AA0722" w:rsidRDefault="00AA0722">
            <w:pPr>
              <w:jc w:val="center"/>
              <w:rPr>
                <w:b/>
                <w:bCs/>
                <w:sz w:val="20"/>
                <w:szCs w:val="20"/>
              </w:rPr>
            </w:pPr>
            <w:r>
              <w:rPr>
                <w:b/>
                <w:bCs/>
                <w:sz w:val="20"/>
                <w:szCs w:val="20"/>
              </w:rPr>
              <w:t>за 2015 г.</w:t>
            </w:r>
          </w:p>
        </w:tc>
        <w:tc>
          <w:tcPr>
            <w:tcW w:w="900" w:type="dxa"/>
            <w:tcBorders>
              <w:top w:val="double" w:sz="6" w:space="0" w:color="800000"/>
              <w:left w:val="nil"/>
              <w:bottom w:val="double" w:sz="6" w:space="0" w:color="800000"/>
              <w:right w:val="single" w:sz="4" w:space="0" w:color="FFFFFF"/>
            </w:tcBorders>
            <w:shd w:val="clear" w:color="auto" w:fill="800000"/>
            <w:vAlign w:val="bottom"/>
            <w:hideMark/>
          </w:tcPr>
          <w:p w:rsidR="00AA0722" w:rsidRDefault="00AA0722">
            <w:pPr>
              <w:jc w:val="center"/>
              <w:rPr>
                <w:b/>
                <w:bCs/>
                <w:sz w:val="20"/>
                <w:szCs w:val="20"/>
              </w:rPr>
            </w:pPr>
            <w:r>
              <w:rPr>
                <w:b/>
                <w:bCs/>
                <w:sz w:val="20"/>
                <w:szCs w:val="20"/>
              </w:rPr>
              <w:t xml:space="preserve">Отчет </w:t>
            </w:r>
          </w:p>
          <w:p w:rsidR="00AA0722" w:rsidRDefault="00AA0722">
            <w:pPr>
              <w:jc w:val="center"/>
              <w:rPr>
                <w:b/>
                <w:bCs/>
                <w:sz w:val="20"/>
                <w:szCs w:val="20"/>
              </w:rPr>
            </w:pPr>
            <w:r>
              <w:rPr>
                <w:b/>
                <w:bCs/>
                <w:sz w:val="20"/>
                <w:szCs w:val="20"/>
              </w:rPr>
              <w:t>2015 г.</w:t>
            </w:r>
          </w:p>
        </w:tc>
        <w:tc>
          <w:tcPr>
            <w:tcW w:w="1620" w:type="dxa"/>
            <w:tcBorders>
              <w:top w:val="double" w:sz="6" w:space="0" w:color="800000"/>
              <w:left w:val="nil"/>
              <w:bottom w:val="double" w:sz="6" w:space="0" w:color="800000"/>
              <w:right w:val="double" w:sz="6" w:space="0" w:color="800000"/>
            </w:tcBorders>
            <w:shd w:val="clear" w:color="auto" w:fill="800000"/>
            <w:vAlign w:val="bottom"/>
            <w:hideMark/>
          </w:tcPr>
          <w:p w:rsidR="00AA0722" w:rsidRDefault="00AA0722">
            <w:pPr>
              <w:jc w:val="center"/>
              <w:rPr>
                <w:b/>
                <w:bCs/>
                <w:sz w:val="20"/>
                <w:szCs w:val="20"/>
              </w:rPr>
            </w:pPr>
            <w:r>
              <w:rPr>
                <w:b/>
                <w:bCs/>
                <w:sz w:val="20"/>
                <w:szCs w:val="20"/>
              </w:rPr>
              <w:t>Отчет 2015 към ЗДБРБ</w:t>
            </w:r>
          </w:p>
        </w:tc>
      </w:tr>
      <w:tr w:rsidR="00AA0722" w:rsidTr="00AA0722">
        <w:trPr>
          <w:trHeight w:val="121"/>
        </w:trPr>
        <w:tc>
          <w:tcPr>
            <w:tcW w:w="5760" w:type="dxa"/>
            <w:tcBorders>
              <w:top w:val="nil"/>
              <w:left w:val="double" w:sz="6" w:space="0" w:color="800000"/>
              <w:bottom w:val="nil"/>
              <w:right w:val="single" w:sz="4" w:space="0" w:color="800000"/>
            </w:tcBorders>
            <w:shd w:val="clear" w:color="auto" w:fill="FFFFCC"/>
            <w:noWrap/>
            <w:vAlign w:val="bottom"/>
            <w:hideMark/>
          </w:tcPr>
          <w:p w:rsidR="00AA0722" w:rsidRDefault="00AA0722">
            <w:pPr>
              <w:rPr>
                <w:sz w:val="18"/>
                <w:szCs w:val="18"/>
              </w:rPr>
            </w:pPr>
            <w:r>
              <w:rPr>
                <w:sz w:val="18"/>
                <w:szCs w:val="18"/>
              </w:rPr>
              <w:t>Вноска на база брутен национален доход</w:t>
            </w:r>
          </w:p>
        </w:tc>
        <w:tc>
          <w:tcPr>
            <w:tcW w:w="1157"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623,7</w:t>
            </w:r>
          </w:p>
        </w:tc>
        <w:tc>
          <w:tcPr>
            <w:tcW w:w="900" w:type="dxa"/>
            <w:tcBorders>
              <w:top w:val="nil"/>
              <w:left w:val="nil"/>
              <w:bottom w:val="nil"/>
              <w:right w:val="single" w:sz="4" w:space="0" w:color="800000"/>
            </w:tcBorders>
            <w:shd w:val="clear" w:color="auto" w:fill="FFFFCC"/>
            <w:noWrap/>
            <w:vAlign w:val="bottom"/>
            <w:hideMark/>
          </w:tcPr>
          <w:p w:rsidR="00AA0722" w:rsidRDefault="00AA0722" w:rsidP="004E24C0">
            <w:pPr>
              <w:jc w:val="right"/>
              <w:rPr>
                <w:sz w:val="18"/>
                <w:szCs w:val="18"/>
              </w:rPr>
            </w:pPr>
            <w:r>
              <w:rPr>
                <w:sz w:val="18"/>
                <w:szCs w:val="18"/>
              </w:rPr>
              <w:t>653,</w:t>
            </w:r>
            <w:r w:rsidR="004E24C0">
              <w:rPr>
                <w:sz w:val="18"/>
                <w:szCs w:val="18"/>
              </w:rPr>
              <w:t>5</w:t>
            </w:r>
          </w:p>
        </w:tc>
        <w:tc>
          <w:tcPr>
            <w:tcW w:w="1620" w:type="dxa"/>
            <w:tcBorders>
              <w:top w:val="nil"/>
              <w:left w:val="nil"/>
              <w:bottom w:val="nil"/>
              <w:right w:val="double" w:sz="6" w:space="0" w:color="800000"/>
            </w:tcBorders>
            <w:shd w:val="clear" w:color="auto" w:fill="FFFFCC"/>
            <w:noWrap/>
            <w:vAlign w:val="bottom"/>
            <w:hideMark/>
          </w:tcPr>
          <w:p w:rsidR="00AA0722" w:rsidRDefault="00AA0722">
            <w:pPr>
              <w:jc w:val="right"/>
              <w:rPr>
                <w:sz w:val="18"/>
                <w:szCs w:val="18"/>
              </w:rPr>
            </w:pPr>
            <w:r>
              <w:rPr>
                <w:sz w:val="18"/>
                <w:szCs w:val="18"/>
              </w:rPr>
              <w:t>104,8%</w:t>
            </w:r>
          </w:p>
        </w:tc>
      </w:tr>
      <w:tr w:rsidR="00AA0722" w:rsidTr="00AA0722">
        <w:trPr>
          <w:trHeight w:val="94"/>
        </w:trPr>
        <w:tc>
          <w:tcPr>
            <w:tcW w:w="5760" w:type="dxa"/>
            <w:tcBorders>
              <w:top w:val="nil"/>
              <w:left w:val="double" w:sz="6" w:space="0" w:color="800000"/>
              <w:bottom w:val="nil"/>
              <w:right w:val="single" w:sz="4" w:space="0" w:color="800000"/>
            </w:tcBorders>
            <w:shd w:val="clear" w:color="auto" w:fill="FFFFCC"/>
            <w:noWrap/>
            <w:vAlign w:val="bottom"/>
            <w:hideMark/>
          </w:tcPr>
          <w:p w:rsidR="00AA0722" w:rsidRDefault="00AA0722">
            <w:pPr>
              <w:rPr>
                <w:sz w:val="18"/>
                <w:szCs w:val="18"/>
              </w:rPr>
            </w:pPr>
            <w:r>
              <w:rPr>
                <w:sz w:val="18"/>
                <w:szCs w:val="18"/>
              </w:rPr>
              <w:t>Вноска на база данък върху добавената стойност</w:t>
            </w:r>
          </w:p>
        </w:tc>
        <w:tc>
          <w:tcPr>
            <w:tcW w:w="1157"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116,4</w:t>
            </w:r>
          </w:p>
        </w:tc>
        <w:tc>
          <w:tcPr>
            <w:tcW w:w="900"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112,0</w:t>
            </w:r>
          </w:p>
        </w:tc>
        <w:tc>
          <w:tcPr>
            <w:tcW w:w="1620" w:type="dxa"/>
            <w:tcBorders>
              <w:top w:val="nil"/>
              <w:left w:val="nil"/>
              <w:bottom w:val="nil"/>
              <w:right w:val="double" w:sz="6" w:space="0" w:color="800000"/>
            </w:tcBorders>
            <w:shd w:val="clear" w:color="auto" w:fill="FFFFCC"/>
            <w:noWrap/>
            <w:vAlign w:val="bottom"/>
            <w:hideMark/>
          </w:tcPr>
          <w:p w:rsidR="00AA0722" w:rsidRDefault="00AA0722">
            <w:pPr>
              <w:jc w:val="right"/>
              <w:rPr>
                <w:sz w:val="18"/>
                <w:szCs w:val="18"/>
              </w:rPr>
            </w:pPr>
            <w:r>
              <w:rPr>
                <w:sz w:val="18"/>
                <w:szCs w:val="18"/>
              </w:rPr>
              <w:t>96,2%</w:t>
            </w:r>
          </w:p>
        </w:tc>
      </w:tr>
      <w:tr w:rsidR="00AA0722" w:rsidTr="00AA0722">
        <w:trPr>
          <w:trHeight w:val="80"/>
        </w:trPr>
        <w:tc>
          <w:tcPr>
            <w:tcW w:w="5760" w:type="dxa"/>
            <w:tcBorders>
              <w:top w:val="nil"/>
              <w:left w:val="double" w:sz="6" w:space="0" w:color="800000"/>
              <w:bottom w:val="nil"/>
              <w:right w:val="single" w:sz="4" w:space="0" w:color="800000"/>
            </w:tcBorders>
            <w:shd w:val="clear" w:color="auto" w:fill="FFFFCC"/>
            <w:noWrap/>
            <w:vAlign w:val="bottom"/>
            <w:hideMark/>
          </w:tcPr>
          <w:p w:rsidR="00AA0722" w:rsidRDefault="00AA0722">
            <w:pPr>
              <w:rPr>
                <w:sz w:val="18"/>
                <w:szCs w:val="18"/>
              </w:rPr>
            </w:pPr>
            <w:r>
              <w:rPr>
                <w:sz w:val="18"/>
                <w:szCs w:val="18"/>
              </w:rPr>
              <w:t>Вноска за корекцията на Обединеното кралство</w:t>
            </w:r>
          </w:p>
        </w:tc>
        <w:tc>
          <w:tcPr>
            <w:tcW w:w="1157"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52,1</w:t>
            </w:r>
          </w:p>
        </w:tc>
        <w:tc>
          <w:tcPr>
            <w:tcW w:w="900"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63,8</w:t>
            </w:r>
          </w:p>
        </w:tc>
        <w:tc>
          <w:tcPr>
            <w:tcW w:w="1620" w:type="dxa"/>
            <w:tcBorders>
              <w:top w:val="nil"/>
              <w:left w:val="nil"/>
              <w:bottom w:val="nil"/>
              <w:right w:val="double" w:sz="6" w:space="0" w:color="800000"/>
            </w:tcBorders>
            <w:shd w:val="clear" w:color="auto" w:fill="FFFFCC"/>
            <w:noWrap/>
            <w:vAlign w:val="bottom"/>
            <w:hideMark/>
          </w:tcPr>
          <w:p w:rsidR="00AA0722" w:rsidRDefault="00AA0722">
            <w:pPr>
              <w:jc w:val="right"/>
              <w:rPr>
                <w:sz w:val="18"/>
                <w:szCs w:val="18"/>
              </w:rPr>
            </w:pPr>
            <w:r>
              <w:rPr>
                <w:sz w:val="18"/>
                <w:szCs w:val="18"/>
              </w:rPr>
              <w:t>122,5%</w:t>
            </w:r>
          </w:p>
        </w:tc>
      </w:tr>
      <w:tr w:rsidR="00AA0722" w:rsidTr="00AA0722">
        <w:trPr>
          <w:trHeight w:val="80"/>
        </w:trPr>
        <w:tc>
          <w:tcPr>
            <w:tcW w:w="5760" w:type="dxa"/>
            <w:tcBorders>
              <w:top w:val="nil"/>
              <w:left w:val="double" w:sz="6" w:space="0" w:color="800000"/>
              <w:bottom w:val="nil"/>
              <w:right w:val="single" w:sz="4" w:space="0" w:color="800000"/>
            </w:tcBorders>
            <w:shd w:val="clear" w:color="auto" w:fill="FFFFCC"/>
            <w:noWrap/>
            <w:vAlign w:val="bottom"/>
            <w:hideMark/>
          </w:tcPr>
          <w:p w:rsidR="00AA0722" w:rsidRDefault="00AA0722">
            <w:pPr>
              <w:rPr>
                <w:sz w:val="18"/>
                <w:szCs w:val="18"/>
              </w:rPr>
            </w:pPr>
            <w:r>
              <w:rPr>
                <w:sz w:val="18"/>
                <w:szCs w:val="18"/>
              </w:rPr>
              <w:t>Вноска на традиционни собствени ресурси</w:t>
            </w:r>
          </w:p>
        </w:tc>
        <w:tc>
          <w:tcPr>
            <w:tcW w:w="1157"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116,3</w:t>
            </w:r>
          </w:p>
        </w:tc>
        <w:tc>
          <w:tcPr>
            <w:tcW w:w="900"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117,1</w:t>
            </w:r>
          </w:p>
        </w:tc>
        <w:tc>
          <w:tcPr>
            <w:tcW w:w="1620" w:type="dxa"/>
            <w:tcBorders>
              <w:top w:val="nil"/>
              <w:left w:val="nil"/>
              <w:bottom w:val="nil"/>
              <w:right w:val="double" w:sz="6" w:space="0" w:color="800000"/>
            </w:tcBorders>
            <w:shd w:val="clear" w:color="auto" w:fill="FFFFCC"/>
            <w:noWrap/>
            <w:vAlign w:val="bottom"/>
            <w:hideMark/>
          </w:tcPr>
          <w:p w:rsidR="00AA0722" w:rsidRDefault="00AA0722">
            <w:pPr>
              <w:jc w:val="right"/>
              <w:rPr>
                <w:sz w:val="18"/>
                <w:szCs w:val="18"/>
              </w:rPr>
            </w:pPr>
            <w:r>
              <w:rPr>
                <w:sz w:val="18"/>
                <w:szCs w:val="18"/>
              </w:rPr>
              <w:t>100,7%</w:t>
            </w:r>
          </w:p>
        </w:tc>
      </w:tr>
      <w:tr w:rsidR="00AA0722" w:rsidTr="00AA0722">
        <w:trPr>
          <w:trHeight w:val="80"/>
        </w:trPr>
        <w:tc>
          <w:tcPr>
            <w:tcW w:w="5760" w:type="dxa"/>
            <w:tcBorders>
              <w:top w:val="nil"/>
              <w:left w:val="double" w:sz="6" w:space="0" w:color="800000"/>
              <w:bottom w:val="nil"/>
              <w:right w:val="single" w:sz="4" w:space="0" w:color="800000"/>
            </w:tcBorders>
            <w:shd w:val="clear" w:color="auto" w:fill="FFFFCC"/>
            <w:noWrap/>
            <w:vAlign w:val="bottom"/>
            <w:hideMark/>
          </w:tcPr>
          <w:p w:rsidR="00AA0722" w:rsidRDefault="00AA0722">
            <w:pPr>
              <w:rPr>
                <w:sz w:val="18"/>
                <w:szCs w:val="18"/>
              </w:rPr>
            </w:pPr>
            <w:r>
              <w:rPr>
                <w:sz w:val="18"/>
                <w:szCs w:val="18"/>
              </w:rPr>
              <w:t xml:space="preserve">   - мита </w:t>
            </w:r>
          </w:p>
        </w:tc>
        <w:tc>
          <w:tcPr>
            <w:tcW w:w="1157"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115,5</w:t>
            </w:r>
          </w:p>
        </w:tc>
        <w:tc>
          <w:tcPr>
            <w:tcW w:w="900"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116,3</w:t>
            </w:r>
          </w:p>
        </w:tc>
        <w:tc>
          <w:tcPr>
            <w:tcW w:w="1620" w:type="dxa"/>
            <w:tcBorders>
              <w:top w:val="nil"/>
              <w:left w:val="nil"/>
              <w:bottom w:val="nil"/>
              <w:right w:val="double" w:sz="6" w:space="0" w:color="800000"/>
            </w:tcBorders>
            <w:shd w:val="clear" w:color="auto" w:fill="FFFFCC"/>
            <w:noWrap/>
            <w:vAlign w:val="bottom"/>
            <w:hideMark/>
          </w:tcPr>
          <w:p w:rsidR="00AA0722" w:rsidRDefault="00AA0722">
            <w:pPr>
              <w:jc w:val="right"/>
              <w:rPr>
                <w:sz w:val="18"/>
                <w:szCs w:val="18"/>
              </w:rPr>
            </w:pPr>
            <w:r>
              <w:rPr>
                <w:sz w:val="18"/>
                <w:szCs w:val="18"/>
              </w:rPr>
              <w:t>100,7%</w:t>
            </w:r>
          </w:p>
        </w:tc>
      </w:tr>
      <w:tr w:rsidR="00AA0722" w:rsidTr="00AA0722">
        <w:trPr>
          <w:trHeight w:val="160"/>
        </w:trPr>
        <w:tc>
          <w:tcPr>
            <w:tcW w:w="5760" w:type="dxa"/>
            <w:tcBorders>
              <w:top w:val="nil"/>
              <w:left w:val="double" w:sz="6" w:space="0" w:color="800000"/>
              <w:bottom w:val="nil"/>
              <w:right w:val="single" w:sz="4" w:space="0" w:color="800000"/>
            </w:tcBorders>
            <w:shd w:val="clear" w:color="auto" w:fill="FFFFCC"/>
            <w:noWrap/>
            <w:vAlign w:val="bottom"/>
            <w:hideMark/>
          </w:tcPr>
          <w:p w:rsidR="00AA0722" w:rsidRDefault="00AA0722">
            <w:pPr>
              <w:rPr>
                <w:sz w:val="18"/>
                <w:szCs w:val="18"/>
              </w:rPr>
            </w:pPr>
            <w:r>
              <w:rPr>
                <w:sz w:val="18"/>
                <w:szCs w:val="18"/>
              </w:rPr>
              <w:t xml:space="preserve">   - такси върху производството на захар и изоглюкоза</w:t>
            </w:r>
          </w:p>
        </w:tc>
        <w:tc>
          <w:tcPr>
            <w:tcW w:w="1157"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0,8</w:t>
            </w:r>
          </w:p>
        </w:tc>
        <w:tc>
          <w:tcPr>
            <w:tcW w:w="900" w:type="dxa"/>
            <w:tcBorders>
              <w:top w:val="nil"/>
              <w:left w:val="nil"/>
              <w:bottom w:val="nil"/>
              <w:right w:val="single" w:sz="4" w:space="0" w:color="800000"/>
            </w:tcBorders>
            <w:shd w:val="clear" w:color="auto" w:fill="FFFFCC"/>
            <w:noWrap/>
            <w:vAlign w:val="bottom"/>
            <w:hideMark/>
          </w:tcPr>
          <w:p w:rsidR="00AA0722" w:rsidRDefault="00AA0722">
            <w:pPr>
              <w:jc w:val="right"/>
              <w:rPr>
                <w:sz w:val="18"/>
                <w:szCs w:val="18"/>
              </w:rPr>
            </w:pPr>
            <w:r>
              <w:rPr>
                <w:sz w:val="18"/>
                <w:szCs w:val="18"/>
              </w:rPr>
              <w:t>0,8</w:t>
            </w:r>
          </w:p>
        </w:tc>
        <w:tc>
          <w:tcPr>
            <w:tcW w:w="1620" w:type="dxa"/>
            <w:tcBorders>
              <w:top w:val="nil"/>
              <w:left w:val="nil"/>
              <w:bottom w:val="nil"/>
              <w:right w:val="double" w:sz="6" w:space="0" w:color="800000"/>
            </w:tcBorders>
            <w:shd w:val="clear" w:color="auto" w:fill="FFFFCC"/>
            <w:noWrap/>
            <w:vAlign w:val="bottom"/>
            <w:hideMark/>
          </w:tcPr>
          <w:p w:rsidR="00AA0722" w:rsidRDefault="00AA0722">
            <w:pPr>
              <w:jc w:val="right"/>
              <w:rPr>
                <w:sz w:val="18"/>
                <w:szCs w:val="18"/>
              </w:rPr>
            </w:pPr>
            <w:r>
              <w:rPr>
                <w:sz w:val="18"/>
                <w:szCs w:val="18"/>
              </w:rPr>
              <w:t>100,0%</w:t>
            </w:r>
          </w:p>
        </w:tc>
      </w:tr>
      <w:tr w:rsidR="00AA0722" w:rsidTr="00AA0722">
        <w:trPr>
          <w:trHeight w:val="160"/>
        </w:trPr>
        <w:tc>
          <w:tcPr>
            <w:tcW w:w="5760" w:type="dxa"/>
            <w:tcBorders>
              <w:top w:val="nil"/>
              <w:left w:val="double" w:sz="6" w:space="0" w:color="800000"/>
              <w:bottom w:val="single" w:sz="4" w:space="0" w:color="800000"/>
              <w:right w:val="single" w:sz="4" w:space="0" w:color="800000"/>
            </w:tcBorders>
            <w:shd w:val="clear" w:color="auto" w:fill="FFFFCC"/>
            <w:noWrap/>
            <w:vAlign w:val="bottom"/>
            <w:hideMark/>
          </w:tcPr>
          <w:p w:rsidR="00AA0722" w:rsidRDefault="00AA0722">
            <w:pPr>
              <w:rPr>
                <w:sz w:val="18"/>
                <w:szCs w:val="18"/>
              </w:rPr>
            </w:pPr>
            <w:r>
              <w:rPr>
                <w:sz w:val="18"/>
                <w:szCs w:val="18"/>
              </w:rPr>
              <w:t>Други корекции</w:t>
            </w:r>
          </w:p>
        </w:tc>
        <w:tc>
          <w:tcPr>
            <w:tcW w:w="1157" w:type="dxa"/>
            <w:tcBorders>
              <w:top w:val="nil"/>
              <w:left w:val="nil"/>
              <w:bottom w:val="single" w:sz="4" w:space="0" w:color="800000"/>
              <w:right w:val="single" w:sz="4" w:space="0" w:color="800000"/>
            </w:tcBorders>
            <w:shd w:val="clear" w:color="auto" w:fill="FFFFCC"/>
            <w:noWrap/>
            <w:vAlign w:val="bottom"/>
            <w:hideMark/>
          </w:tcPr>
          <w:p w:rsidR="00AA0722" w:rsidRDefault="00AA0722">
            <w:pPr>
              <w:jc w:val="right"/>
              <w:rPr>
                <w:sz w:val="18"/>
                <w:szCs w:val="18"/>
              </w:rPr>
            </w:pPr>
            <w:r>
              <w:rPr>
                <w:sz w:val="18"/>
                <w:szCs w:val="18"/>
              </w:rPr>
              <w:t>71,4</w:t>
            </w:r>
          </w:p>
        </w:tc>
        <w:tc>
          <w:tcPr>
            <w:tcW w:w="900" w:type="dxa"/>
            <w:tcBorders>
              <w:top w:val="nil"/>
              <w:left w:val="nil"/>
              <w:bottom w:val="single" w:sz="4" w:space="0" w:color="800000"/>
              <w:right w:val="single" w:sz="4" w:space="0" w:color="800000"/>
            </w:tcBorders>
            <w:shd w:val="clear" w:color="auto" w:fill="FFFFCC"/>
            <w:noWrap/>
            <w:vAlign w:val="bottom"/>
            <w:hideMark/>
          </w:tcPr>
          <w:p w:rsidR="00AA0722" w:rsidRDefault="00AA0722">
            <w:pPr>
              <w:jc w:val="right"/>
              <w:rPr>
                <w:sz w:val="18"/>
                <w:szCs w:val="18"/>
              </w:rPr>
            </w:pPr>
            <w:r>
              <w:rPr>
                <w:sz w:val="18"/>
                <w:szCs w:val="18"/>
              </w:rPr>
              <w:t>0,0</w:t>
            </w:r>
          </w:p>
        </w:tc>
        <w:tc>
          <w:tcPr>
            <w:tcW w:w="1620" w:type="dxa"/>
            <w:tcBorders>
              <w:top w:val="nil"/>
              <w:left w:val="nil"/>
              <w:bottom w:val="single" w:sz="4" w:space="0" w:color="800000"/>
              <w:right w:val="double" w:sz="6" w:space="0" w:color="800000"/>
            </w:tcBorders>
            <w:shd w:val="clear" w:color="auto" w:fill="FFFFCC"/>
            <w:noWrap/>
            <w:vAlign w:val="bottom"/>
          </w:tcPr>
          <w:p w:rsidR="00AA0722" w:rsidRDefault="00AA0722">
            <w:pPr>
              <w:jc w:val="right"/>
              <w:rPr>
                <w:sz w:val="18"/>
                <w:szCs w:val="18"/>
              </w:rPr>
            </w:pPr>
          </w:p>
        </w:tc>
      </w:tr>
      <w:tr w:rsidR="00AA0722" w:rsidTr="00AA0722">
        <w:trPr>
          <w:trHeight w:val="128"/>
        </w:trPr>
        <w:tc>
          <w:tcPr>
            <w:tcW w:w="5760" w:type="dxa"/>
            <w:tcBorders>
              <w:top w:val="single" w:sz="4" w:space="0" w:color="800000"/>
              <w:left w:val="double" w:sz="6" w:space="0" w:color="800000"/>
              <w:bottom w:val="double" w:sz="6" w:space="0" w:color="800000"/>
              <w:right w:val="single" w:sz="4" w:space="0" w:color="800000"/>
            </w:tcBorders>
            <w:shd w:val="clear" w:color="auto" w:fill="FFFFCC"/>
            <w:noWrap/>
            <w:vAlign w:val="bottom"/>
            <w:hideMark/>
          </w:tcPr>
          <w:p w:rsidR="00AA0722" w:rsidRDefault="00AA0722">
            <w:pPr>
              <w:rPr>
                <w:b/>
                <w:bCs/>
                <w:sz w:val="18"/>
                <w:szCs w:val="18"/>
              </w:rPr>
            </w:pPr>
            <w:r>
              <w:rPr>
                <w:b/>
                <w:bCs/>
                <w:sz w:val="18"/>
                <w:szCs w:val="18"/>
              </w:rPr>
              <w:t>ВНОСКА В ОБЩИЯ БЮДЖЕТ НА ЕС ЗА 2015 г.</w:t>
            </w:r>
          </w:p>
        </w:tc>
        <w:tc>
          <w:tcPr>
            <w:tcW w:w="1157" w:type="dxa"/>
            <w:tcBorders>
              <w:top w:val="single" w:sz="4" w:space="0" w:color="800000"/>
              <w:left w:val="nil"/>
              <w:bottom w:val="double" w:sz="6" w:space="0" w:color="800000"/>
              <w:right w:val="single" w:sz="4" w:space="0" w:color="800000"/>
            </w:tcBorders>
            <w:shd w:val="clear" w:color="auto" w:fill="FFFFCC"/>
            <w:noWrap/>
            <w:vAlign w:val="bottom"/>
            <w:hideMark/>
          </w:tcPr>
          <w:p w:rsidR="00AA0722" w:rsidRDefault="00AA0722">
            <w:pPr>
              <w:jc w:val="right"/>
              <w:rPr>
                <w:b/>
                <w:bCs/>
                <w:sz w:val="18"/>
                <w:szCs w:val="18"/>
              </w:rPr>
            </w:pPr>
            <w:r>
              <w:rPr>
                <w:b/>
                <w:bCs/>
                <w:sz w:val="18"/>
                <w:szCs w:val="18"/>
              </w:rPr>
              <w:t>979,9</w:t>
            </w:r>
          </w:p>
        </w:tc>
        <w:tc>
          <w:tcPr>
            <w:tcW w:w="900" w:type="dxa"/>
            <w:tcBorders>
              <w:top w:val="single" w:sz="4" w:space="0" w:color="800000"/>
              <w:left w:val="nil"/>
              <w:bottom w:val="double" w:sz="6" w:space="0" w:color="800000"/>
              <w:right w:val="single" w:sz="4" w:space="0" w:color="800000"/>
            </w:tcBorders>
            <w:shd w:val="clear" w:color="auto" w:fill="FFFFCC"/>
            <w:noWrap/>
            <w:vAlign w:val="bottom"/>
            <w:hideMark/>
          </w:tcPr>
          <w:p w:rsidR="00AA0722" w:rsidRDefault="00AA0722">
            <w:pPr>
              <w:jc w:val="right"/>
              <w:rPr>
                <w:b/>
                <w:bCs/>
                <w:sz w:val="18"/>
                <w:szCs w:val="18"/>
              </w:rPr>
            </w:pPr>
            <w:r>
              <w:rPr>
                <w:b/>
                <w:bCs/>
                <w:sz w:val="18"/>
                <w:szCs w:val="18"/>
              </w:rPr>
              <w:t>946,4</w:t>
            </w:r>
          </w:p>
        </w:tc>
        <w:tc>
          <w:tcPr>
            <w:tcW w:w="1620" w:type="dxa"/>
            <w:tcBorders>
              <w:top w:val="single" w:sz="4" w:space="0" w:color="800000"/>
              <w:left w:val="nil"/>
              <w:bottom w:val="double" w:sz="6" w:space="0" w:color="800000"/>
              <w:right w:val="double" w:sz="6" w:space="0" w:color="800000"/>
            </w:tcBorders>
            <w:shd w:val="clear" w:color="auto" w:fill="FFFFCC"/>
            <w:noWrap/>
            <w:vAlign w:val="bottom"/>
            <w:hideMark/>
          </w:tcPr>
          <w:p w:rsidR="00AA0722" w:rsidRDefault="00AA0722">
            <w:pPr>
              <w:jc w:val="right"/>
              <w:rPr>
                <w:b/>
                <w:bCs/>
                <w:sz w:val="18"/>
                <w:szCs w:val="18"/>
              </w:rPr>
            </w:pPr>
            <w:r>
              <w:rPr>
                <w:b/>
                <w:bCs/>
                <w:sz w:val="18"/>
                <w:szCs w:val="18"/>
              </w:rPr>
              <w:t>96,6%</w:t>
            </w:r>
          </w:p>
        </w:tc>
      </w:tr>
    </w:tbl>
    <w:p w:rsidR="009A68F0" w:rsidRPr="009A68F0" w:rsidRDefault="009A68F0" w:rsidP="009A68F0"/>
    <w:p w:rsidR="00EC7A58" w:rsidRPr="00B63AB6" w:rsidRDefault="00B63AB6" w:rsidP="00B63AB6">
      <w:pPr>
        <w:pStyle w:val="Heading3"/>
        <w:numPr>
          <w:ilvl w:val="2"/>
          <w:numId w:val="15"/>
        </w:numPr>
        <w:ind w:left="1276" w:hanging="556"/>
        <w:jc w:val="both"/>
        <w:rPr>
          <w:rFonts w:ascii="Times New Roman" w:hAnsi="Times New Roman" w:cs="Times New Roman"/>
          <w:sz w:val="24"/>
          <w:szCs w:val="24"/>
          <w:lang w:val="bg-BG"/>
        </w:rPr>
      </w:pPr>
      <w:bookmarkStart w:id="223" w:name="_Toc462146120"/>
      <w:r w:rsidRPr="00B63AB6">
        <w:rPr>
          <w:rFonts w:ascii="Times New Roman" w:hAnsi="Times New Roman" w:cs="Times New Roman"/>
          <w:sz w:val="24"/>
          <w:szCs w:val="24"/>
          <w:lang w:val="bg-BG"/>
        </w:rPr>
        <w:t>Изпълнение на утвърдените ангажименти за разход, които могат да бъдат поети през 2015 г. и на новите задължения, които могат да бъдат натрупани през 2015 г. от първостепенните разпоредители с</w:t>
      </w:r>
      <w:bookmarkEnd w:id="205"/>
      <w:bookmarkEnd w:id="206"/>
      <w:r w:rsidRPr="00EC33FC">
        <w:rPr>
          <w:rFonts w:ascii="Times New Roman" w:hAnsi="Times New Roman" w:cs="Times New Roman"/>
          <w:sz w:val="24"/>
          <w:szCs w:val="24"/>
          <w:lang w:val="bg-BG"/>
        </w:rPr>
        <w:t xml:space="preserve"> </w:t>
      </w:r>
      <w:r w:rsidRPr="00B63AB6">
        <w:rPr>
          <w:rFonts w:ascii="Times New Roman" w:hAnsi="Times New Roman" w:cs="Times New Roman"/>
          <w:sz w:val="24"/>
          <w:szCs w:val="24"/>
          <w:lang w:val="bg-BG"/>
        </w:rPr>
        <w:t>бюджет</w:t>
      </w:r>
      <w:bookmarkEnd w:id="223"/>
    </w:p>
    <w:p w:rsidR="00B63AB6" w:rsidRDefault="00B63AB6" w:rsidP="00B63AB6">
      <w:pPr>
        <w:spacing w:before="120" w:after="120"/>
        <w:ind w:firstLine="709"/>
        <w:jc w:val="both"/>
        <w:rPr>
          <w:bCs/>
        </w:rPr>
      </w:pPr>
      <w:r w:rsidRPr="00687E4F">
        <w:rPr>
          <w:bCs/>
        </w:rPr>
        <w:t xml:space="preserve">Въз основа на предприети адекватни действия за подсилване на системите за финансово управление и контрол в процеса на поемането на ангажименти, произтичащи от сключване на договори, споразумения, решения, нормативни актове и др. през 2015 г. преобладаващата част от </w:t>
      </w:r>
      <w:r w:rsidRPr="00D63B56">
        <w:t xml:space="preserve">първостепенните разпоредители с бюджет </w:t>
      </w:r>
      <w:r>
        <w:t>(</w:t>
      </w:r>
      <w:r w:rsidRPr="00687E4F">
        <w:rPr>
          <w:bCs/>
        </w:rPr>
        <w:t>ПРБ</w:t>
      </w:r>
      <w:r>
        <w:rPr>
          <w:bCs/>
        </w:rPr>
        <w:t>)</w:t>
      </w:r>
      <w:r w:rsidRPr="00687E4F">
        <w:rPr>
          <w:bCs/>
        </w:rPr>
        <w:t xml:space="preserve"> по </w:t>
      </w:r>
      <w:r>
        <w:rPr>
          <w:bCs/>
        </w:rPr>
        <w:t>държавния бюджет</w:t>
      </w:r>
      <w:r w:rsidRPr="00687E4F">
        <w:rPr>
          <w:bCs/>
        </w:rPr>
        <w:t xml:space="preserve"> са спазили утвърдените </w:t>
      </w:r>
      <w:r w:rsidRPr="00D63B56">
        <w:rPr>
          <w:bCs/>
        </w:rPr>
        <w:t>им със ЗДБРБ за 2015 г.</w:t>
      </w:r>
      <w:r w:rsidRPr="001F6421">
        <w:rPr>
          <w:bCs/>
          <w:color w:val="0070C0"/>
        </w:rPr>
        <w:t xml:space="preserve"> </w:t>
      </w:r>
      <w:r w:rsidRPr="00687E4F">
        <w:rPr>
          <w:bCs/>
        </w:rPr>
        <w:t>максимални размери на поетите ангажименти за разходи и на новите задължения за разходи, които могат да бъдат поети и</w:t>
      </w:r>
      <w:r>
        <w:rPr>
          <w:bCs/>
        </w:rPr>
        <w:t xml:space="preserve"> съответно </w:t>
      </w:r>
      <w:r w:rsidRPr="00687E4F">
        <w:rPr>
          <w:bCs/>
        </w:rPr>
        <w:t>натрупани през годината</w:t>
      </w:r>
      <w:r>
        <w:rPr>
          <w:bCs/>
        </w:rPr>
        <w:t xml:space="preserve">. </w:t>
      </w:r>
    </w:p>
    <w:p w:rsidR="00B63AB6" w:rsidRPr="001F6421" w:rsidRDefault="00B63AB6" w:rsidP="00B63AB6">
      <w:pPr>
        <w:autoSpaceDE w:val="0"/>
        <w:autoSpaceDN w:val="0"/>
        <w:adjustRightInd w:val="0"/>
        <w:ind w:firstLine="567"/>
        <w:jc w:val="both"/>
        <w:rPr>
          <w:rFonts w:ascii="TimesNewRomanPSMT" w:hAnsi="TimesNewRomanPSMT" w:cs="TimesNewRomanPSMT"/>
          <w:color w:val="0070C0"/>
        </w:rPr>
      </w:pPr>
      <w:r w:rsidRPr="00C31639">
        <w:rPr>
          <w:bCs/>
        </w:rPr>
        <w:t xml:space="preserve">Анализите на годишните отчети по отношение на </w:t>
      </w:r>
      <w:r w:rsidRPr="009A68F0">
        <w:rPr>
          <w:b/>
          <w:bCs/>
          <w:i/>
        </w:rPr>
        <w:t>максималните размери на ангажиментите за разходи, които могат да бъдат поети през 2015 г.</w:t>
      </w:r>
      <w:r w:rsidRPr="00C31639">
        <w:rPr>
          <w:bCs/>
        </w:rPr>
        <w:t>, показват, че седем първостепенни разпоредители с бюджет са отчели поети ангажименти за разходи през годината над утвърдените им размери по уточнен план за 2015 г., а именно:</w:t>
      </w:r>
      <w:r w:rsidRPr="001F6421">
        <w:rPr>
          <w:bCs/>
          <w:color w:val="0070C0"/>
        </w:rPr>
        <w:t xml:space="preserve"> </w:t>
      </w:r>
      <w:r w:rsidRPr="00C82CAF">
        <w:rPr>
          <w:bCs/>
        </w:rPr>
        <w:t xml:space="preserve">Министерството на отбраната, Министерството енергетиката, Министерство на транспорта, информационните технологии и съобщенията, Комисията за отнемане на незаконно придобито имущество, Националния статистически </w:t>
      </w:r>
      <w:r>
        <w:rPr>
          <w:bCs/>
        </w:rPr>
        <w:t>институт</w:t>
      </w:r>
      <w:r w:rsidRPr="00C82CAF">
        <w:rPr>
          <w:bCs/>
        </w:rPr>
        <w:t>, Комисията за енергийно и водно регулиране и Агенцията за ядрено регулиране</w:t>
      </w:r>
      <w:r w:rsidRPr="001F6421">
        <w:rPr>
          <w:rFonts w:ascii="TimesNewRomanPSMT" w:hAnsi="TimesNewRomanPSMT" w:cs="TimesNewRomanPSMT"/>
          <w:color w:val="0070C0"/>
        </w:rPr>
        <w:t>.</w:t>
      </w:r>
    </w:p>
    <w:p w:rsidR="00B63AB6" w:rsidRPr="00EC33FC" w:rsidRDefault="00B63AB6" w:rsidP="00B63AB6">
      <w:pPr>
        <w:autoSpaceDE w:val="0"/>
        <w:autoSpaceDN w:val="0"/>
        <w:adjustRightInd w:val="0"/>
        <w:ind w:firstLine="567"/>
        <w:jc w:val="both"/>
      </w:pPr>
      <w:r w:rsidRPr="00EC33FC">
        <w:t xml:space="preserve">Някои от причините за надхвърлените максимални размери на поетите ангажименти за разход през 2015 г. са, както следва: </w:t>
      </w:r>
    </w:p>
    <w:p w:rsidR="00B63AB6" w:rsidRPr="00EC33FC" w:rsidRDefault="00B63AB6" w:rsidP="00EC33FC">
      <w:pPr>
        <w:pStyle w:val="ListParagraph"/>
        <w:numPr>
          <w:ilvl w:val="0"/>
          <w:numId w:val="19"/>
        </w:numPr>
        <w:ind w:left="1434" w:hanging="357"/>
        <w:jc w:val="both"/>
      </w:pPr>
      <w:r w:rsidRPr="00EC33FC">
        <w:lastRenderedPageBreak/>
        <w:t>за Министерство на отбраната - по-високите ангажименти за разходи за периода се дължат на сключени дългогодишни договори, както и на отчетени ангажименти след предоговаряне на съществуващи договори от предходни години (основно за лекарствени продукти и медицински изделия на ВМА);</w:t>
      </w:r>
    </w:p>
    <w:p w:rsidR="00B63AB6" w:rsidRPr="00EC33FC" w:rsidRDefault="00B63AB6" w:rsidP="00EC33FC">
      <w:pPr>
        <w:numPr>
          <w:ilvl w:val="0"/>
          <w:numId w:val="19"/>
        </w:numPr>
        <w:autoSpaceDE w:val="0"/>
        <w:autoSpaceDN w:val="0"/>
        <w:adjustRightInd w:val="0"/>
        <w:spacing w:after="200"/>
        <w:ind w:left="1434" w:hanging="357"/>
        <w:contextualSpacing/>
        <w:jc w:val="both"/>
        <w:rPr>
          <w:color w:val="0070C0"/>
        </w:rPr>
      </w:pPr>
      <w:r w:rsidRPr="00EC33FC">
        <w:t xml:space="preserve">за Министерство на транспорта, информационните технологии и съобщенията </w:t>
      </w:r>
      <w:r w:rsidRPr="00EC33FC">
        <w:rPr>
          <w:color w:val="0070C0"/>
        </w:rPr>
        <w:t xml:space="preserve">- </w:t>
      </w:r>
      <w:r w:rsidRPr="00EC33FC">
        <w:t>отчетените ангажименти са на ГД “Гражданска въздухоплавателна администрация“ към Летище Пловдив за издръжка на летищната администрация и противопожарна охрана, съгласно изискванията на Закона за гражданското въздухоплаване</w:t>
      </w:r>
      <w:r w:rsidRPr="00EC33FC">
        <w:rPr>
          <w:color w:val="0070C0"/>
        </w:rPr>
        <w:t>;</w:t>
      </w:r>
    </w:p>
    <w:p w:rsidR="00B63AB6" w:rsidRPr="00EC33FC" w:rsidRDefault="00B63AB6" w:rsidP="00EC33FC">
      <w:pPr>
        <w:numPr>
          <w:ilvl w:val="0"/>
          <w:numId w:val="19"/>
        </w:numPr>
        <w:autoSpaceDE w:val="0"/>
        <w:autoSpaceDN w:val="0"/>
        <w:adjustRightInd w:val="0"/>
        <w:spacing w:after="200"/>
        <w:ind w:left="1434" w:hanging="357"/>
        <w:contextualSpacing/>
        <w:jc w:val="both"/>
        <w:rPr>
          <w:color w:val="0070C0"/>
        </w:rPr>
      </w:pPr>
      <w:r w:rsidRPr="00EC33FC">
        <w:t xml:space="preserve">за Министерство на енергетиката - по-високите ангажименти за разходи се дължат на извършените </w:t>
      </w:r>
      <w:r w:rsidR="006F56D6" w:rsidRPr="00EC33FC">
        <w:t>промени</w:t>
      </w:r>
      <w:r w:rsidR="006F56D6" w:rsidRPr="00EC33FC">
        <w:rPr>
          <w:lang w:val="en-US"/>
        </w:rPr>
        <w:t xml:space="preserve"> </w:t>
      </w:r>
      <w:r w:rsidRPr="00EC33FC">
        <w:t xml:space="preserve">и прехвърлените от Министерството на икономиката по-малко ангажименти за разходи във връзка с последвалото през 2015 г. </w:t>
      </w:r>
      <w:r w:rsidR="006F56D6" w:rsidRPr="00EC33FC">
        <w:t xml:space="preserve">преобразуване чрез </w:t>
      </w:r>
      <w:r w:rsidRPr="00EC33FC">
        <w:t xml:space="preserve">разделяне на Министерство на икономиката и енергетиката </w:t>
      </w:r>
      <w:r w:rsidR="006F56D6" w:rsidRPr="00EC33FC">
        <w:t xml:space="preserve">на </w:t>
      </w:r>
      <w:r w:rsidRPr="00EC33FC">
        <w:t>Министерство на икономиката</w:t>
      </w:r>
      <w:r w:rsidR="006F56D6" w:rsidRPr="00EC33FC">
        <w:t xml:space="preserve"> и </w:t>
      </w:r>
      <w:r w:rsidRPr="00EC33FC">
        <w:t xml:space="preserve">Министерство на енергетиката и </w:t>
      </w:r>
      <w:r w:rsidR="006F56D6" w:rsidRPr="00EC33FC">
        <w:t xml:space="preserve">създаденото </w:t>
      </w:r>
      <w:r w:rsidRPr="00EC33FC">
        <w:t>Министерство на туризма. Общо отчетените от 3-те министерства поети ангажименти за разходи не надхвърля общо утвърдените им ангажименти за разходи по уточнен план</w:t>
      </w:r>
      <w:r w:rsidR="00582CE1" w:rsidRPr="00EC33FC">
        <w:t>;</w:t>
      </w:r>
    </w:p>
    <w:p w:rsidR="00582CE1" w:rsidRPr="00E377C8" w:rsidRDefault="00582CE1" w:rsidP="00582CE1">
      <w:pPr>
        <w:numPr>
          <w:ilvl w:val="0"/>
          <w:numId w:val="19"/>
        </w:numPr>
        <w:jc w:val="both"/>
      </w:pPr>
      <w:r w:rsidRPr="00EC33FC">
        <w:t>за Омбудсмана – по-високите ангажименти за разходи за периода се дължат на неправилно осчетоводени поети ангажименти за разходи във връзка със сключен анекс №ДЮЛ-40 от 23.12.2015 г. за удължаване на срока на действие на Договора за наем от 12.04.2007 г. на Омбудсмана. Взети са необходимите коригиращи операции и информацията е отразена във всички счетоводни документи. Справките с промените са заредени на 1.06.2016 г. в системата на Министерството на финансите - ИС УДС, модул „Счетоводни отчети“, съгласно писмо №04-01-49/01.06.2016г. на Омбудсмана (с копие до Сметна палата);</w:t>
      </w:r>
    </w:p>
    <w:p w:rsidR="00B63AB6" w:rsidRPr="00EC33FC" w:rsidRDefault="00B63AB6" w:rsidP="00B63AB6">
      <w:pPr>
        <w:autoSpaceDE w:val="0"/>
        <w:autoSpaceDN w:val="0"/>
        <w:adjustRightInd w:val="0"/>
        <w:ind w:firstLine="567"/>
        <w:jc w:val="both"/>
      </w:pPr>
      <w:r w:rsidRPr="00EC33FC">
        <w:t xml:space="preserve">Отчетните данни към 31.12.2015 г. за </w:t>
      </w:r>
      <w:r w:rsidRPr="00EC33FC">
        <w:rPr>
          <w:b/>
          <w:bCs/>
          <w:i/>
        </w:rPr>
        <w:t>максималните размери на новите задължения за разходи, които могат да бъдат поети през 2015 г.</w:t>
      </w:r>
      <w:r w:rsidRPr="00EC33FC">
        <w:rPr>
          <w:bCs/>
        </w:rPr>
        <w:t>,</w:t>
      </w:r>
      <w:r w:rsidRPr="00EC33FC">
        <w:t xml:space="preserve"> показват, че </w:t>
      </w:r>
      <w:r w:rsidR="008C01AC" w:rsidRPr="00EC33FC">
        <w:t xml:space="preserve">някои </w:t>
      </w:r>
      <w:r w:rsidRPr="00EC33FC">
        <w:t>първостепенни разпоредители с бюджет са отчели поети нови задължения за разходи през годината над утвърдените им размери по уточнен план за 2015 г., а именно:</w:t>
      </w:r>
      <w:r w:rsidRPr="00EC33FC">
        <w:rPr>
          <w:color w:val="0070C0"/>
        </w:rPr>
        <w:t xml:space="preserve"> </w:t>
      </w:r>
      <w:r w:rsidRPr="00EC33FC">
        <w:t>Комисията за отнемане на незаконно придобито имущество, Комисията за енергийно и водно регулиране</w:t>
      </w:r>
      <w:r w:rsidR="008C01AC" w:rsidRPr="00EC33FC">
        <w:t>,</w:t>
      </w:r>
      <w:r w:rsidRPr="00EC33FC">
        <w:t xml:space="preserve"> Агенцията за ядрено регулиране</w:t>
      </w:r>
      <w:r w:rsidR="008C01AC" w:rsidRPr="00EC33FC">
        <w:t xml:space="preserve"> и Националния статистически институт</w:t>
      </w:r>
      <w:r w:rsidRPr="00EC33FC">
        <w:t>. Причините за това са както следва:</w:t>
      </w:r>
    </w:p>
    <w:p w:rsidR="00B63AB6" w:rsidRPr="00EC33FC" w:rsidRDefault="00B63AB6" w:rsidP="00B63AB6">
      <w:pPr>
        <w:pStyle w:val="ListParagraph"/>
        <w:numPr>
          <w:ilvl w:val="0"/>
          <w:numId w:val="19"/>
        </w:numPr>
        <w:jc w:val="both"/>
      </w:pPr>
      <w:r w:rsidRPr="00EC33FC">
        <w:t>за Комисия за отнемане на незаконно придобито имущество – в резултат на изпълнителни листове, издадени от съдилищата, по които Комисията дължи съответните суми към физически и юридически лица;</w:t>
      </w:r>
    </w:p>
    <w:p w:rsidR="00B63AB6" w:rsidRPr="00EC33FC" w:rsidRDefault="00B63AB6" w:rsidP="004C03A5">
      <w:pPr>
        <w:numPr>
          <w:ilvl w:val="0"/>
          <w:numId w:val="19"/>
        </w:numPr>
        <w:autoSpaceDE w:val="0"/>
        <w:autoSpaceDN w:val="0"/>
        <w:adjustRightInd w:val="0"/>
        <w:spacing w:after="200"/>
        <w:contextualSpacing/>
        <w:jc w:val="both"/>
        <w:rPr>
          <w:color w:val="0070C0"/>
        </w:rPr>
      </w:pPr>
      <w:r w:rsidRPr="00EC33FC">
        <w:t>за Агенцията за ядрено регулиране – в резултат на поскъпването на  щатският долар спрямо еврото, към което е фиксиран курсът на лева и дължимия членски внос</w:t>
      </w:r>
      <w:r w:rsidR="004C03A5" w:rsidRPr="00EC33FC">
        <w:t xml:space="preserve"> </w:t>
      </w:r>
      <w:r w:rsidR="004C03A5" w:rsidRPr="00EC33FC">
        <w:rPr>
          <w:lang w:val="en-US"/>
        </w:rPr>
        <w:t>(</w:t>
      </w:r>
      <w:r w:rsidR="004C03A5" w:rsidRPr="00EC33FC">
        <w:t>който е основно</w:t>
      </w:r>
      <w:r w:rsidR="004C03A5" w:rsidRPr="00EC33FC">
        <w:rPr>
          <w:lang w:val="en-US"/>
        </w:rPr>
        <w:t xml:space="preserve"> </w:t>
      </w:r>
      <w:r w:rsidR="004C03A5" w:rsidRPr="00EC33FC">
        <w:t>в щатски долари</w:t>
      </w:r>
      <w:r w:rsidR="004C03A5" w:rsidRPr="00EC33FC">
        <w:rPr>
          <w:lang w:val="en-US"/>
        </w:rPr>
        <w:t>)</w:t>
      </w:r>
      <w:r w:rsidRPr="00EC33FC">
        <w:t xml:space="preserve"> на Република България в Международната агенция за атомна енергия и Обединения институт за </w:t>
      </w:r>
      <w:r w:rsidR="004F2816" w:rsidRPr="00EC33FC">
        <w:t xml:space="preserve">ядрени </w:t>
      </w:r>
      <w:r w:rsidRPr="00EC33FC">
        <w:t>изследвания;</w:t>
      </w:r>
    </w:p>
    <w:p w:rsidR="005B43D9" w:rsidRPr="00EC33FC" w:rsidRDefault="00B63AB6" w:rsidP="00EC33FC">
      <w:pPr>
        <w:numPr>
          <w:ilvl w:val="0"/>
          <w:numId w:val="19"/>
        </w:numPr>
        <w:autoSpaceDE w:val="0"/>
        <w:autoSpaceDN w:val="0"/>
        <w:adjustRightInd w:val="0"/>
        <w:spacing w:after="200"/>
        <w:contextualSpacing/>
        <w:jc w:val="both"/>
        <w:rPr>
          <w:color w:val="0070C0"/>
        </w:rPr>
      </w:pPr>
      <w:r w:rsidRPr="00EC33FC">
        <w:t>за Комисията за енергийно и водно регулиране – в резултат на сключени дългогодишни договори</w:t>
      </w:r>
      <w:r w:rsidR="008C01AC" w:rsidRPr="00EC33FC">
        <w:t>;</w:t>
      </w:r>
    </w:p>
    <w:p w:rsidR="008C01AC" w:rsidRPr="00EC33FC" w:rsidRDefault="008C01AC" w:rsidP="008C01AC">
      <w:pPr>
        <w:numPr>
          <w:ilvl w:val="0"/>
          <w:numId w:val="19"/>
        </w:numPr>
        <w:jc w:val="both"/>
      </w:pPr>
      <w:r w:rsidRPr="00EC33FC">
        <w:t>за Националния статистически институт</w:t>
      </w:r>
      <w:r w:rsidRPr="00EC33FC">
        <w:rPr>
          <w:b/>
          <w:bCs/>
          <w:i/>
          <w:iCs/>
        </w:rPr>
        <w:t xml:space="preserve"> </w:t>
      </w:r>
      <w:r w:rsidRPr="00EC33FC">
        <w:t xml:space="preserve">– </w:t>
      </w:r>
      <w:r w:rsidR="00B6256C" w:rsidRPr="00EC33FC">
        <w:t>в резултат на възникнала</w:t>
      </w:r>
      <w:r w:rsidRPr="00EC33FC">
        <w:t xml:space="preserve"> необходимост от подновяването (сключването на нови договори) с времеви период по-дълъг от една година, свързани със закупуване на самолетни билети и хотелско настаняване за служители на НСИ, чиято дейност е свързана с постоянно пътуване до ЕК и Евростат. За допуснатия пропуск са предприети необходимите мерки в системата на НСИ за недопускане на </w:t>
      </w:r>
      <w:r w:rsidRPr="00EC33FC">
        <w:lastRenderedPageBreak/>
        <w:t>превишаване на одобрените показатели по чл. 86, ал. 3, т. 5 и т.6 със ЗДБРБ за 2016 г. и следващите години. По информация на НСИ следва да се има предвид, че този факт е бил установен и от проверката на Сметна палата във връзка със заверка на годишния отчет за 2015 г., за което е направена и съответна бележка от страна на проверяващите</w:t>
      </w:r>
      <w:r w:rsidRPr="00EC33FC">
        <w:rPr>
          <w:lang w:val="en-US"/>
        </w:rPr>
        <w:t>.</w:t>
      </w:r>
    </w:p>
    <w:p w:rsidR="00666D9F" w:rsidRPr="007A64BA" w:rsidRDefault="00666D9F" w:rsidP="00E377C8">
      <w:pPr>
        <w:tabs>
          <w:tab w:val="right" w:pos="7938"/>
        </w:tabs>
        <w:jc w:val="both"/>
        <w:rPr>
          <w:color w:val="0070C0"/>
          <w:sz w:val="8"/>
          <w:szCs w:val="8"/>
          <w:lang w:eastAsia="en-US"/>
        </w:rPr>
      </w:pPr>
    </w:p>
    <w:p w:rsidR="00666D9F" w:rsidRPr="005F1DA5" w:rsidRDefault="00666D9F" w:rsidP="00781B85">
      <w:pPr>
        <w:pStyle w:val="Heading3"/>
        <w:numPr>
          <w:ilvl w:val="1"/>
          <w:numId w:val="10"/>
        </w:numPr>
        <w:ind w:left="900" w:hanging="540"/>
        <w:rPr>
          <w:rFonts w:ascii="Times New Roman" w:hAnsi="Times New Roman"/>
          <w:sz w:val="24"/>
          <w:lang w:val="bg-BG"/>
        </w:rPr>
      </w:pPr>
      <w:bookmarkStart w:id="224" w:name="_Toc462146121"/>
      <w:bookmarkStart w:id="225" w:name="_Toc136597751"/>
      <w:bookmarkStart w:id="226" w:name="_Toc136601654"/>
      <w:bookmarkStart w:id="227" w:name="_Toc167181041"/>
      <w:bookmarkStart w:id="228" w:name="_Toc230007077"/>
      <w:bookmarkStart w:id="229" w:name="_Toc324863431"/>
      <w:bookmarkEnd w:id="185"/>
      <w:bookmarkEnd w:id="186"/>
      <w:bookmarkEnd w:id="187"/>
      <w:bookmarkEnd w:id="188"/>
      <w:bookmarkEnd w:id="189"/>
      <w:bookmarkEnd w:id="190"/>
      <w:r w:rsidRPr="005F1DA5">
        <w:rPr>
          <w:rFonts w:ascii="Times New Roman" w:hAnsi="Times New Roman"/>
          <w:sz w:val="24"/>
          <w:lang w:val="bg-BG"/>
        </w:rPr>
        <w:t>Изпълнение на разходите</w:t>
      </w:r>
      <w:r w:rsidRPr="005F1DA5">
        <w:rPr>
          <w:rStyle w:val="FootnoteReference"/>
          <w:rFonts w:ascii="Times New Roman" w:hAnsi="Times New Roman" w:cs="Arial"/>
          <w:sz w:val="18"/>
          <w:szCs w:val="18"/>
          <w:lang w:val="bg-BG"/>
        </w:rPr>
        <w:footnoteReference w:id="24"/>
      </w:r>
      <w:r w:rsidR="000E0D3C" w:rsidRPr="005F1DA5">
        <w:rPr>
          <w:rFonts w:ascii="Times New Roman" w:hAnsi="Times New Roman"/>
          <w:sz w:val="18"/>
          <w:szCs w:val="18"/>
          <w:lang w:val="bg-BG"/>
        </w:rPr>
        <w:t xml:space="preserve"> </w:t>
      </w:r>
      <w:r w:rsidRPr="005F1DA5">
        <w:rPr>
          <w:rFonts w:ascii="Times New Roman" w:hAnsi="Times New Roman"/>
          <w:sz w:val="24"/>
          <w:lang w:val="bg-BG"/>
        </w:rPr>
        <w:t>по функции по консолидираната фискална програма за 201</w:t>
      </w:r>
      <w:r w:rsidR="005F1DA5">
        <w:rPr>
          <w:rFonts w:ascii="Times New Roman" w:hAnsi="Times New Roman"/>
          <w:sz w:val="24"/>
          <w:lang w:val="en-US"/>
        </w:rPr>
        <w:t>5</w:t>
      </w:r>
      <w:r w:rsidRPr="005F1DA5">
        <w:rPr>
          <w:rFonts w:ascii="Times New Roman" w:hAnsi="Times New Roman"/>
          <w:sz w:val="24"/>
          <w:lang w:val="bg-BG"/>
        </w:rPr>
        <w:t xml:space="preserve"> г.</w:t>
      </w:r>
      <w:bookmarkEnd w:id="224"/>
    </w:p>
    <w:p w:rsidR="00666D9F" w:rsidRPr="001F6421" w:rsidRDefault="00666D9F" w:rsidP="00F85C67">
      <w:pPr>
        <w:jc w:val="both"/>
        <w:rPr>
          <w:color w:val="0070C0"/>
          <w:sz w:val="20"/>
          <w:szCs w:val="20"/>
        </w:rPr>
      </w:pPr>
    </w:p>
    <w:p w:rsidR="00E377C8" w:rsidRDefault="00E377C8" w:rsidP="00353822">
      <w:pPr>
        <w:ind w:firstLine="540"/>
        <w:jc w:val="both"/>
      </w:pPr>
    </w:p>
    <w:p w:rsidR="00353822" w:rsidRPr="005F1DA5" w:rsidRDefault="00353822" w:rsidP="00353822">
      <w:pPr>
        <w:ind w:firstLine="540"/>
        <w:jc w:val="both"/>
      </w:pPr>
      <w:r w:rsidRPr="005F1DA5">
        <w:t>Прегледът на разходите по консолидираната фискална програма по функционален признак представя политиките в отделните области на публичните услуги. Някои от тях са изцяло отговорност на държавата (централното правителство), докато за други отговорностите са и на общините или социалноосигурителните фондове.</w:t>
      </w:r>
    </w:p>
    <w:p w:rsidR="00353822" w:rsidRDefault="00353822" w:rsidP="00353822">
      <w:pPr>
        <w:jc w:val="both"/>
        <w:rPr>
          <w:color w:val="0070C0"/>
          <w:lang w:val="en-US"/>
        </w:rPr>
      </w:pPr>
    </w:p>
    <w:p w:rsidR="00105A8A" w:rsidRDefault="00105A8A" w:rsidP="00353822">
      <w:pPr>
        <w:jc w:val="both"/>
        <w:rPr>
          <w:color w:val="0070C0"/>
        </w:rPr>
      </w:pPr>
    </w:p>
    <w:p w:rsidR="00E377C8" w:rsidRPr="00E377C8" w:rsidRDefault="00E377C8" w:rsidP="00353822">
      <w:pPr>
        <w:jc w:val="both"/>
        <w:rPr>
          <w:color w:val="0070C0"/>
        </w:rPr>
      </w:pPr>
    </w:p>
    <w:p w:rsidR="00353822" w:rsidRDefault="00D37B0F" w:rsidP="00353822">
      <w:pPr>
        <w:jc w:val="both"/>
        <w:rPr>
          <w:color w:val="0070C0"/>
          <w:lang w:val="en-US"/>
        </w:rPr>
      </w:pPr>
      <w:r>
        <w:rPr>
          <w:noProof/>
        </w:rPr>
        <w:drawing>
          <wp:inline distT="0" distB="0" distL="0" distR="0" wp14:anchorId="6083BA1B" wp14:editId="38877EC4">
            <wp:extent cx="5793105" cy="4264660"/>
            <wp:effectExtent l="0" t="0" r="17145" b="21590"/>
            <wp:docPr id="21" name="Picture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05A8A" w:rsidRPr="001F6421" w:rsidRDefault="00105A8A" w:rsidP="00353822">
      <w:pPr>
        <w:jc w:val="both"/>
        <w:rPr>
          <w:color w:val="0070C0"/>
          <w:lang w:val="en-US"/>
        </w:rPr>
      </w:pPr>
    </w:p>
    <w:p w:rsidR="00353822" w:rsidRPr="001F6421" w:rsidRDefault="00353822" w:rsidP="00353822">
      <w:pPr>
        <w:ind w:firstLine="540"/>
        <w:jc w:val="both"/>
        <w:rPr>
          <w:color w:val="0070C0"/>
          <w:sz w:val="12"/>
          <w:szCs w:val="12"/>
        </w:rPr>
      </w:pPr>
    </w:p>
    <w:p w:rsidR="00A957DB" w:rsidRDefault="00A957DB" w:rsidP="00353822">
      <w:pPr>
        <w:ind w:firstLine="540"/>
        <w:jc w:val="both"/>
        <w:rPr>
          <w:lang w:val="en-US"/>
        </w:rPr>
      </w:pPr>
    </w:p>
    <w:p w:rsidR="00353822" w:rsidRPr="002975BF" w:rsidRDefault="00353822" w:rsidP="00353822">
      <w:pPr>
        <w:ind w:firstLine="540"/>
        <w:jc w:val="both"/>
      </w:pPr>
      <w:r w:rsidRPr="002975BF">
        <w:t>В този раздел на доклада е направен преглед на отчетените разходи за 201</w:t>
      </w:r>
      <w:r w:rsidR="002975BF" w:rsidRPr="002975BF">
        <w:rPr>
          <w:lang w:val="en-US"/>
        </w:rPr>
        <w:t>5</w:t>
      </w:r>
      <w:r w:rsidRPr="002975BF">
        <w:t xml:space="preserve"> г. по функции:</w:t>
      </w:r>
    </w:p>
    <w:p w:rsidR="00353822" w:rsidRPr="001F6421" w:rsidRDefault="00353822" w:rsidP="00353822">
      <w:pPr>
        <w:ind w:firstLine="540"/>
        <w:rPr>
          <w:color w:val="0070C0"/>
          <w:sz w:val="8"/>
          <w:szCs w:val="8"/>
        </w:rPr>
      </w:pPr>
    </w:p>
    <w:p w:rsidR="006E5AE0" w:rsidRDefault="006E5AE0" w:rsidP="00781B85">
      <w:pPr>
        <w:pStyle w:val="Heading3"/>
        <w:numPr>
          <w:ilvl w:val="2"/>
          <w:numId w:val="15"/>
        </w:numPr>
        <w:rPr>
          <w:rFonts w:ascii="Times New Roman" w:hAnsi="Times New Roman"/>
          <w:sz w:val="24"/>
          <w:lang w:val="bg-BG"/>
        </w:rPr>
      </w:pPr>
      <w:bookmarkStart w:id="230" w:name="_Toc326315914"/>
      <w:bookmarkStart w:id="231" w:name="_Toc324863422"/>
      <w:bookmarkStart w:id="232" w:name="_Toc261276586"/>
      <w:bookmarkStart w:id="233" w:name="_Toc462146122"/>
      <w:r>
        <w:rPr>
          <w:rFonts w:ascii="Times New Roman" w:hAnsi="Times New Roman"/>
          <w:sz w:val="24"/>
          <w:lang w:val="bg-BG"/>
        </w:rPr>
        <w:lastRenderedPageBreak/>
        <w:t>Общи държавни служби</w:t>
      </w:r>
      <w:bookmarkEnd w:id="230"/>
      <w:bookmarkEnd w:id="231"/>
      <w:bookmarkEnd w:id="232"/>
      <w:bookmarkEnd w:id="233"/>
    </w:p>
    <w:p w:rsidR="006E5AE0" w:rsidRDefault="006E5AE0" w:rsidP="006E5AE0">
      <w:pPr>
        <w:tabs>
          <w:tab w:val="left" w:pos="900"/>
        </w:tabs>
        <w:autoSpaceDE w:val="0"/>
        <w:autoSpaceDN w:val="0"/>
        <w:adjustRightInd w:val="0"/>
        <w:spacing w:before="120"/>
        <w:ind w:firstLine="540"/>
        <w:jc w:val="both"/>
        <w:rPr>
          <w:lang w:val="en-US"/>
        </w:rPr>
      </w:pPr>
      <w:r>
        <w:t>Функция „Общи държавни служби” отразява финансирането на публичната администрация – централна и местна. Общата сума на разходите по тази функция на консолидирана основа е 1 793,</w:t>
      </w:r>
      <w:r w:rsidR="00B955B5">
        <w:rPr>
          <w:lang w:val="en-US"/>
        </w:rPr>
        <w:t>6</w:t>
      </w:r>
      <w:r w:rsidR="00B955B5">
        <w:t xml:space="preserve"> </w:t>
      </w:r>
      <w:r>
        <w:t>млн. лв. или 2,1 % от БВП.</w:t>
      </w:r>
    </w:p>
    <w:p w:rsidR="006E5AE0" w:rsidRDefault="006E5AE0" w:rsidP="006E5AE0">
      <w:pPr>
        <w:tabs>
          <w:tab w:val="left" w:pos="900"/>
        </w:tabs>
        <w:autoSpaceDE w:val="0"/>
        <w:autoSpaceDN w:val="0"/>
        <w:adjustRightInd w:val="0"/>
        <w:spacing w:before="120"/>
        <w:ind w:firstLine="540"/>
        <w:jc w:val="both"/>
        <w:rPr>
          <w:color w:val="0070C0"/>
          <w:lang w:val="en-US"/>
        </w:rPr>
      </w:pPr>
    </w:p>
    <w:p w:rsidR="006E5AE0" w:rsidRDefault="006E5AE0" w:rsidP="006E5AE0">
      <w:pPr>
        <w:tabs>
          <w:tab w:val="left" w:pos="900"/>
        </w:tabs>
        <w:autoSpaceDE w:val="0"/>
        <w:autoSpaceDN w:val="0"/>
        <w:adjustRightInd w:val="0"/>
        <w:spacing w:before="120"/>
        <w:ind w:firstLine="540"/>
        <w:jc w:val="both"/>
        <w:rPr>
          <w:color w:val="0070C0"/>
          <w:lang w:val="en-US"/>
        </w:rPr>
      </w:pPr>
    </w:p>
    <w:p w:rsidR="006E5AE0" w:rsidRDefault="006E5AE0" w:rsidP="006E5AE0">
      <w:pPr>
        <w:tabs>
          <w:tab w:val="left" w:pos="900"/>
        </w:tabs>
        <w:autoSpaceDE w:val="0"/>
        <w:autoSpaceDN w:val="0"/>
        <w:adjustRightInd w:val="0"/>
        <w:spacing w:before="120"/>
        <w:ind w:firstLine="540"/>
        <w:jc w:val="both"/>
        <w:rPr>
          <w:color w:val="0070C0"/>
          <w:lang w:val="en-US"/>
        </w:rPr>
      </w:pPr>
    </w:p>
    <w:p w:rsidR="006E5AE0" w:rsidRPr="006E5AE0" w:rsidRDefault="006E5AE0" w:rsidP="006E5AE0">
      <w:pPr>
        <w:ind w:firstLine="8280"/>
        <w:rPr>
          <w:b/>
          <w:sz w:val="18"/>
          <w:szCs w:val="18"/>
        </w:rPr>
      </w:pPr>
      <w:r w:rsidRPr="006E5AE0">
        <w:rPr>
          <w:b/>
          <w:sz w:val="18"/>
          <w:szCs w:val="18"/>
        </w:rPr>
        <w:t>(млн. лв.)</w:t>
      </w:r>
    </w:p>
    <w:tbl>
      <w:tblPr>
        <w:tblW w:w="9252" w:type="dxa"/>
        <w:tblInd w:w="-110" w:type="dxa"/>
        <w:tblLayout w:type="fixed"/>
        <w:tblCellMar>
          <w:left w:w="70" w:type="dxa"/>
          <w:right w:w="70" w:type="dxa"/>
        </w:tblCellMar>
        <w:tblLook w:val="04A0" w:firstRow="1" w:lastRow="0" w:firstColumn="1" w:lastColumn="0" w:noHBand="0" w:noVBand="1"/>
      </w:tblPr>
      <w:tblGrid>
        <w:gridCol w:w="2874"/>
        <w:gridCol w:w="726"/>
        <w:gridCol w:w="720"/>
        <w:gridCol w:w="538"/>
        <w:gridCol w:w="567"/>
        <w:gridCol w:w="851"/>
        <w:gridCol w:w="708"/>
        <w:gridCol w:w="1134"/>
        <w:gridCol w:w="1134"/>
      </w:tblGrid>
      <w:tr w:rsidR="006E5AE0" w:rsidTr="006E5AE0">
        <w:trPr>
          <w:trHeight w:val="495"/>
        </w:trPr>
        <w:tc>
          <w:tcPr>
            <w:tcW w:w="2874"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ОТЧЕТ 2015 г.</w:t>
            </w:r>
          </w:p>
        </w:tc>
        <w:tc>
          <w:tcPr>
            <w:tcW w:w="726"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КФП</w:t>
            </w:r>
          </w:p>
        </w:tc>
        <w:tc>
          <w:tcPr>
            <w:tcW w:w="720"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ДБ</w:t>
            </w:r>
          </w:p>
        </w:tc>
        <w:tc>
          <w:tcPr>
            <w:tcW w:w="538"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ДВУ</w:t>
            </w:r>
          </w:p>
        </w:tc>
        <w:tc>
          <w:tcPr>
            <w:tcW w:w="567"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БАН</w:t>
            </w:r>
          </w:p>
        </w:tc>
        <w:tc>
          <w:tcPr>
            <w:tcW w:w="851"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Общини</w:t>
            </w:r>
          </w:p>
        </w:tc>
        <w:tc>
          <w:tcPr>
            <w:tcW w:w="708"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ДМП</w:t>
            </w:r>
            <w:r w:rsidRPr="006E5AE0">
              <w:rPr>
                <w:rStyle w:val="FootnoteReference"/>
                <w:b/>
                <w:bCs/>
                <w:color w:val="FFFFFF"/>
                <w:sz w:val="18"/>
                <w:szCs w:val="18"/>
              </w:rPr>
              <w:footnoteReference w:id="25"/>
            </w:r>
          </w:p>
        </w:tc>
        <w:tc>
          <w:tcPr>
            <w:tcW w:w="1134" w:type="dxa"/>
            <w:tcBorders>
              <w:top w:val="double" w:sz="6" w:space="0" w:color="800000"/>
              <w:left w:val="nil"/>
              <w:bottom w:val="double" w:sz="6" w:space="0" w:color="800000"/>
              <w:right w:val="nil"/>
            </w:tcBorders>
            <w:shd w:val="clear" w:color="auto" w:fill="800000"/>
            <w:vAlign w:val="center"/>
            <w:hideMark/>
          </w:tcPr>
          <w:p w:rsidR="006E5AE0" w:rsidRPr="006E5AE0" w:rsidRDefault="006E5AE0">
            <w:pPr>
              <w:jc w:val="center"/>
              <w:rPr>
                <w:b/>
                <w:bCs/>
                <w:color w:val="FFFFFF"/>
                <w:sz w:val="18"/>
                <w:szCs w:val="18"/>
              </w:rPr>
            </w:pPr>
            <w:r w:rsidRPr="006E5AE0">
              <w:rPr>
                <w:b/>
                <w:bCs/>
                <w:color w:val="FFFFFF"/>
                <w:sz w:val="18"/>
                <w:szCs w:val="18"/>
              </w:rPr>
              <w:t>Европ. средства</w:t>
            </w:r>
            <w:r w:rsidRPr="006E5AE0">
              <w:rPr>
                <w:rStyle w:val="FootnoteReference"/>
                <w:b/>
                <w:bCs/>
                <w:color w:val="FFFFFF"/>
                <w:sz w:val="18"/>
                <w:szCs w:val="18"/>
              </w:rPr>
              <w:footnoteReference w:id="26"/>
            </w:r>
          </w:p>
        </w:tc>
        <w:tc>
          <w:tcPr>
            <w:tcW w:w="1134" w:type="dxa"/>
            <w:tcBorders>
              <w:top w:val="double" w:sz="6" w:space="0" w:color="800000"/>
              <w:left w:val="single" w:sz="4" w:space="0" w:color="FFFFFF"/>
              <w:bottom w:val="double" w:sz="6" w:space="0" w:color="800000"/>
              <w:right w:val="double" w:sz="6" w:space="0" w:color="800000"/>
            </w:tcBorders>
            <w:shd w:val="clear" w:color="auto" w:fill="800000"/>
            <w:hideMark/>
          </w:tcPr>
          <w:p w:rsidR="006E5AE0" w:rsidRPr="006E5AE0" w:rsidRDefault="006E5AE0">
            <w:pPr>
              <w:jc w:val="center"/>
              <w:rPr>
                <w:b/>
                <w:bCs/>
                <w:color w:val="FFFFFF"/>
                <w:sz w:val="18"/>
                <w:szCs w:val="18"/>
              </w:rPr>
            </w:pPr>
            <w:r w:rsidRPr="006E5AE0">
              <w:rPr>
                <w:b/>
                <w:bCs/>
                <w:color w:val="FFFFFF"/>
                <w:sz w:val="18"/>
                <w:szCs w:val="18"/>
              </w:rPr>
              <w:t>др. сметки /чужди ср/ва на общините/</w:t>
            </w:r>
          </w:p>
        </w:tc>
      </w:tr>
      <w:tr w:rsidR="00F20C6D" w:rsidTr="006E5AE0">
        <w:trPr>
          <w:trHeight w:val="288"/>
        </w:trPr>
        <w:tc>
          <w:tcPr>
            <w:tcW w:w="2874" w:type="dxa"/>
            <w:tcBorders>
              <w:top w:val="double" w:sz="6" w:space="0" w:color="800000"/>
              <w:left w:val="double" w:sz="6" w:space="0" w:color="800000"/>
              <w:bottom w:val="nil"/>
              <w:right w:val="single" w:sz="4" w:space="0" w:color="800000"/>
            </w:tcBorders>
            <w:shd w:val="clear" w:color="auto" w:fill="FFFFCC"/>
            <w:noWrap/>
            <w:vAlign w:val="bottom"/>
            <w:hideMark/>
          </w:tcPr>
          <w:p w:rsidR="00F20C6D" w:rsidRDefault="00F20C6D">
            <w:pPr>
              <w:rPr>
                <w:b/>
                <w:bCs/>
                <w:sz w:val="18"/>
                <w:szCs w:val="18"/>
              </w:rPr>
            </w:pPr>
            <w:r>
              <w:rPr>
                <w:b/>
                <w:bCs/>
                <w:sz w:val="18"/>
                <w:szCs w:val="18"/>
              </w:rPr>
              <w:t>I. ОБЩИ ДЪРЖАВНИ СЛУЖБИ</w:t>
            </w:r>
          </w:p>
        </w:tc>
        <w:tc>
          <w:tcPr>
            <w:tcW w:w="726" w:type="dxa"/>
            <w:tcBorders>
              <w:top w:val="double" w:sz="6" w:space="0" w:color="800000"/>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1 793,6</w:t>
            </w:r>
          </w:p>
        </w:tc>
        <w:tc>
          <w:tcPr>
            <w:tcW w:w="720" w:type="dxa"/>
            <w:tcBorders>
              <w:top w:val="double" w:sz="6" w:space="0" w:color="800000"/>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987,2</w:t>
            </w:r>
          </w:p>
        </w:tc>
        <w:tc>
          <w:tcPr>
            <w:tcW w:w="538" w:type="dxa"/>
            <w:tcBorders>
              <w:top w:val="double" w:sz="6" w:space="0" w:color="800000"/>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4,9</w:t>
            </w:r>
          </w:p>
        </w:tc>
        <w:tc>
          <w:tcPr>
            <w:tcW w:w="567" w:type="dxa"/>
            <w:tcBorders>
              <w:top w:val="double" w:sz="6" w:space="0" w:color="800000"/>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108,6</w:t>
            </w:r>
          </w:p>
        </w:tc>
        <w:tc>
          <w:tcPr>
            <w:tcW w:w="851" w:type="dxa"/>
            <w:tcBorders>
              <w:top w:val="double" w:sz="6" w:space="0" w:color="800000"/>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483,7</w:t>
            </w:r>
          </w:p>
        </w:tc>
        <w:tc>
          <w:tcPr>
            <w:tcW w:w="708" w:type="dxa"/>
            <w:tcBorders>
              <w:top w:val="double" w:sz="6" w:space="0" w:color="800000"/>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9,8</w:t>
            </w:r>
          </w:p>
        </w:tc>
        <w:tc>
          <w:tcPr>
            <w:tcW w:w="1134" w:type="dxa"/>
            <w:tcBorders>
              <w:top w:val="double" w:sz="6" w:space="0" w:color="800000"/>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199,1</w:t>
            </w:r>
          </w:p>
        </w:tc>
        <w:tc>
          <w:tcPr>
            <w:tcW w:w="1134" w:type="dxa"/>
            <w:tcBorders>
              <w:top w:val="double" w:sz="6" w:space="0" w:color="800000"/>
              <w:left w:val="nil"/>
              <w:bottom w:val="nil"/>
              <w:right w:val="single" w:sz="4" w:space="0" w:color="800000"/>
            </w:tcBorders>
            <w:shd w:val="clear" w:color="auto" w:fill="FFFFCC"/>
            <w:vAlign w:val="bottom"/>
            <w:hideMark/>
          </w:tcPr>
          <w:p w:rsidR="00F20C6D" w:rsidRDefault="00F20C6D">
            <w:pPr>
              <w:jc w:val="right"/>
              <w:rPr>
                <w:b/>
                <w:bCs/>
                <w:sz w:val="18"/>
                <w:szCs w:val="18"/>
              </w:rPr>
            </w:pPr>
            <w:r>
              <w:rPr>
                <w:b/>
                <w:bCs/>
                <w:color w:val="000000"/>
                <w:sz w:val="18"/>
                <w:szCs w:val="18"/>
              </w:rPr>
              <w:t>0,5</w:t>
            </w:r>
          </w:p>
        </w:tc>
      </w:tr>
      <w:tr w:rsidR="00F20C6D" w:rsidTr="006E5AE0">
        <w:trPr>
          <w:trHeight w:val="255"/>
        </w:trPr>
        <w:tc>
          <w:tcPr>
            <w:tcW w:w="2874" w:type="dxa"/>
            <w:tcBorders>
              <w:top w:val="nil"/>
              <w:left w:val="double" w:sz="6" w:space="0" w:color="800000"/>
              <w:bottom w:val="nil"/>
              <w:right w:val="single" w:sz="4" w:space="0" w:color="800000"/>
            </w:tcBorders>
            <w:shd w:val="clear" w:color="auto" w:fill="FFFFCC"/>
            <w:noWrap/>
            <w:vAlign w:val="bottom"/>
            <w:hideMark/>
          </w:tcPr>
          <w:p w:rsidR="00F20C6D" w:rsidRDefault="00F20C6D">
            <w:pPr>
              <w:rPr>
                <w:b/>
                <w:bCs/>
                <w:sz w:val="18"/>
                <w:szCs w:val="18"/>
              </w:rPr>
            </w:pPr>
            <w:r>
              <w:rPr>
                <w:b/>
                <w:bCs/>
                <w:sz w:val="18"/>
                <w:szCs w:val="18"/>
              </w:rPr>
              <w:t>А. ИЗПЪЛНИТЕЛНИ И ЗАКОНОДАТЕЛНИ ОРГАНИ</w:t>
            </w:r>
          </w:p>
        </w:tc>
        <w:tc>
          <w:tcPr>
            <w:tcW w:w="726"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1 525,3</w:t>
            </w:r>
          </w:p>
        </w:tc>
        <w:tc>
          <w:tcPr>
            <w:tcW w:w="720"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871,8</w:t>
            </w:r>
          </w:p>
        </w:tc>
        <w:tc>
          <w:tcPr>
            <w:tcW w:w="538"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 </w:t>
            </w:r>
          </w:p>
        </w:tc>
        <w:tc>
          <w:tcPr>
            <w:tcW w:w="851"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483,6</w:t>
            </w:r>
          </w:p>
        </w:tc>
        <w:tc>
          <w:tcPr>
            <w:tcW w:w="708"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4,7</w:t>
            </w:r>
          </w:p>
        </w:tc>
        <w:tc>
          <w:tcPr>
            <w:tcW w:w="1134"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164,7</w:t>
            </w:r>
          </w:p>
        </w:tc>
        <w:tc>
          <w:tcPr>
            <w:tcW w:w="1134" w:type="dxa"/>
            <w:tcBorders>
              <w:top w:val="nil"/>
              <w:left w:val="nil"/>
              <w:bottom w:val="nil"/>
              <w:right w:val="single" w:sz="4" w:space="0" w:color="800000"/>
            </w:tcBorders>
            <w:shd w:val="clear" w:color="auto" w:fill="FFFFCC"/>
            <w:vAlign w:val="bottom"/>
            <w:hideMark/>
          </w:tcPr>
          <w:p w:rsidR="00F20C6D" w:rsidRDefault="00F20C6D">
            <w:pPr>
              <w:jc w:val="right"/>
              <w:rPr>
                <w:b/>
                <w:bCs/>
                <w:sz w:val="18"/>
                <w:szCs w:val="18"/>
              </w:rPr>
            </w:pPr>
            <w:r>
              <w:rPr>
                <w:b/>
                <w:bCs/>
                <w:color w:val="000000"/>
                <w:sz w:val="18"/>
                <w:szCs w:val="18"/>
              </w:rPr>
              <w:t>0,5</w:t>
            </w:r>
          </w:p>
        </w:tc>
      </w:tr>
      <w:tr w:rsidR="00F20C6D" w:rsidTr="006E5AE0">
        <w:trPr>
          <w:trHeight w:val="80"/>
        </w:trPr>
        <w:tc>
          <w:tcPr>
            <w:tcW w:w="2874" w:type="dxa"/>
            <w:tcBorders>
              <w:top w:val="nil"/>
              <w:left w:val="double" w:sz="6" w:space="0" w:color="800000"/>
              <w:bottom w:val="nil"/>
              <w:right w:val="single" w:sz="4" w:space="0" w:color="800000"/>
            </w:tcBorders>
            <w:shd w:val="clear" w:color="auto" w:fill="FFFFCC"/>
            <w:noWrap/>
            <w:vAlign w:val="bottom"/>
            <w:hideMark/>
          </w:tcPr>
          <w:p w:rsidR="00F20C6D" w:rsidRDefault="00F20C6D">
            <w:pPr>
              <w:rPr>
                <w:sz w:val="18"/>
                <w:szCs w:val="18"/>
              </w:rPr>
            </w:pPr>
            <w:r>
              <w:rPr>
                <w:sz w:val="18"/>
                <w:szCs w:val="18"/>
              </w:rPr>
              <w:t xml:space="preserve">    Текущи нелихвени разходи</w:t>
            </w:r>
          </w:p>
        </w:tc>
        <w:tc>
          <w:tcPr>
            <w:tcW w:w="726"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1 381,6</w:t>
            </w:r>
          </w:p>
        </w:tc>
        <w:tc>
          <w:tcPr>
            <w:tcW w:w="720"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797,4</w:t>
            </w:r>
          </w:p>
        </w:tc>
        <w:tc>
          <w:tcPr>
            <w:tcW w:w="53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463,7</w:t>
            </w:r>
          </w:p>
        </w:tc>
        <w:tc>
          <w:tcPr>
            <w:tcW w:w="70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4,6</w:t>
            </w:r>
          </w:p>
        </w:tc>
        <w:tc>
          <w:tcPr>
            <w:tcW w:w="1134"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115,4</w:t>
            </w:r>
          </w:p>
        </w:tc>
        <w:tc>
          <w:tcPr>
            <w:tcW w:w="1134" w:type="dxa"/>
            <w:tcBorders>
              <w:top w:val="nil"/>
              <w:left w:val="nil"/>
              <w:bottom w:val="nil"/>
              <w:right w:val="single" w:sz="4" w:space="0" w:color="800000"/>
            </w:tcBorders>
            <w:shd w:val="clear" w:color="auto" w:fill="FFFFCC"/>
            <w:vAlign w:val="bottom"/>
            <w:hideMark/>
          </w:tcPr>
          <w:p w:rsidR="00F20C6D" w:rsidRDefault="00F20C6D">
            <w:pPr>
              <w:jc w:val="right"/>
              <w:rPr>
                <w:sz w:val="18"/>
                <w:szCs w:val="18"/>
              </w:rPr>
            </w:pPr>
            <w:r>
              <w:rPr>
                <w:color w:val="000000"/>
                <w:sz w:val="18"/>
                <w:szCs w:val="18"/>
              </w:rPr>
              <w:t>0,5</w:t>
            </w:r>
          </w:p>
        </w:tc>
      </w:tr>
      <w:tr w:rsidR="00F20C6D" w:rsidTr="006E5AE0">
        <w:trPr>
          <w:trHeight w:val="112"/>
        </w:trPr>
        <w:tc>
          <w:tcPr>
            <w:tcW w:w="2874" w:type="dxa"/>
            <w:tcBorders>
              <w:top w:val="nil"/>
              <w:left w:val="double" w:sz="6" w:space="0" w:color="800000"/>
              <w:bottom w:val="nil"/>
              <w:right w:val="single" w:sz="4" w:space="0" w:color="800000"/>
            </w:tcBorders>
            <w:shd w:val="clear" w:color="auto" w:fill="FFFFCC"/>
            <w:noWrap/>
            <w:vAlign w:val="bottom"/>
            <w:hideMark/>
          </w:tcPr>
          <w:p w:rsidR="00F20C6D" w:rsidRDefault="00F20C6D">
            <w:pPr>
              <w:rPr>
                <w:sz w:val="18"/>
                <w:szCs w:val="18"/>
              </w:rPr>
            </w:pPr>
            <w:r>
              <w:rPr>
                <w:sz w:val="18"/>
                <w:szCs w:val="18"/>
              </w:rPr>
              <w:t xml:space="preserve">    Капиталови разходи</w:t>
            </w:r>
          </w:p>
        </w:tc>
        <w:tc>
          <w:tcPr>
            <w:tcW w:w="726"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143,7</w:t>
            </w:r>
          </w:p>
        </w:tc>
        <w:tc>
          <w:tcPr>
            <w:tcW w:w="720"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74,4</w:t>
            </w:r>
          </w:p>
        </w:tc>
        <w:tc>
          <w:tcPr>
            <w:tcW w:w="53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19,9</w:t>
            </w:r>
          </w:p>
        </w:tc>
        <w:tc>
          <w:tcPr>
            <w:tcW w:w="70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0,1</w:t>
            </w:r>
          </w:p>
        </w:tc>
        <w:tc>
          <w:tcPr>
            <w:tcW w:w="1134"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49,3</w:t>
            </w:r>
          </w:p>
        </w:tc>
        <w:tc>
          <w:tcPr>
            <w:tcW w:w="1134" w:type="dxa"/>
            <w:tcBorders>
              <w:top w:val="nil"/>
              <w:left w:val="nil"/>
              <w:bottom w:val="nil"/>
              <w:right w:val="single" w:sz="4" w:space="0" w:color="800000"/>
            </w:tcBorders>
            <w:shd w:val="clear" w:color="auto" w:fill="FFFFCC"/>
            <w:vAlign w:val="bottom"/>
            <w:hideMark/>
          </w:tcPr>
          <w:p w:rsidR="00F20C6D" w:rsidRDefault="00F20C6D">
            <w:pPr>
              <w:jc w:val="right"/>
              <w:rPr>
                <w:sz w:val="18"/>
                <w:szCs w:val="18"/>
              </w:rPr>
            </w:pPr>
            <w:r>
              <w:rPr>
                <w:color w:val="000000"/>
                <w:sz w:val="18"/>
                <w:szCs w:val="18"/>
              </w:rPr>
              <w:t> </w:t>
            </w:r>
          </w:p>
        </w:tc>
      </w:tr>
      <w:tr w:rsidR="00F20C6D" w:rsidTr="006E5AE0">
        <w:trPr>
          <w:trHeight w:val="206"/>
        </w:trPr>
        <w:tc>
          <w:tcPr>
            <w:tcW w:w="2874" w:type="dxa"/>
            <w:tcBorders>
              <w:top w:val="nil"/>
              <w:left w:val="double" w:sz="6" w:space="0" w:color="800000"/>
              <w:bottom w:val="nil"/>
              <w:right w:val="single" w:sz="4" w:space="0" w:color="800000"/>
            </w:tcBorders>
            <w:shd w:val="clear" w:color="auto" w:fill="FFFFCC"/>
            <w:noWrap/>
            <w:vAlign w:val="bottom"/>
            <w:hideMark/>
          </w:tcPr>
          <w:p w:rsidR="00F20C6D" w:rsidRDefault="00F20C6D">
            <w:pPr>
              <w:rPr>
                <w:b/>
                <w:bCs/>
                <w:sz w:val="18"/>
                <w:szCs w:val="18"/>
              </w:rPr>
            </w:pPr>
            <w:r>
              <w:rPr>
                <w:b/>
                <w:bCs/>
                <w:sz w:val="18"/>
                <w:szCs w:val="18"/>
              </w:rPr>
              <w:t>Б. ОБЩИ СЛУЖБИ</w:t>
            </w:r>
          </w:p>
        </w:tc>
        <w:tc>
          <w:tcPr>
            <w:tcW w:w="726"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76,5</w:t>
            </w:r>
          </w:p>
        </w:tc>
        <w:tc>
          <w:tcPr>
            <w:tcW w:w="720"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70,6</w:t>
            </w:r>
          </w:p>
        </w:tc>
        <w:tc>
          <w:tcPr>
            <w:tcW w:w="538"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 </w:t>
            </w:r>
          </w:p>
        </w:tc>
        <w:tc>
          <w:tcPr>
            <w:tcW w:w="851"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0,1</w:t>
            </w:r>
          </w:p>
        </w:tc>
        <w:tc>
          <w:tcPr>
            <w:tcW w:w="708"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0,5</w:t>
            </w:r>
          </w:p>
        </w:tc>
        <w:tc>
          <w:tcPr>
            <w:tcW w:w="1134"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5,4</w:t>
            </w:r>
          </w:p>
        </w:tc>
        <w:tc>
          <w:tcPr>
            <w:tcW w:w="1134" w:type="dxa"/>
            <w:tcBorders>
              <w:top w:val="nil"/>
              <w:left w:val="nil"/>
              <w:bottom w:val="nil"/>
              <w:right w:val="single" w:sz="4" w:space="0" w:color="800000"/>
            </w:tcBorders>
            <w:shd w:val="clear" w:color="auto" w:fill="FFFFCC"/>
            <w:vAlign w:val="bottom"/>
            <w:hideMark/>
          </w:tcPr>
          <w:p w:rsidR="00F20C6D" w:rsidRDefault="00F20C6D">
            <w:pPr>
              <w:jc w:val="right"/>
              <w:rPr>
                <w:b/>
                <w:bCs/>
                <w:sz w:val="18"/>
                <w:szCs w:val="18"/>
              </w:rPr>
            </w:pPr>
            <w:r>
              <w:rPr>
                <w:b/>
                <w:bCs/>
                <w:color w:val="000000"/>
                <w:sz w:val="18"/>
                <w:szCs w:val="18"/>
              </w:rPr>
              <w:t> </w:t>
            </w:r>
          </w:p>
        </w:tc>
      </w:tr>
      <w:tr w:rsidR="00F20C6D" w:rsidTr="006E5AE0">
        <w:trPr>
          <w:trHeight w:val="134"/>
        </w:trPr>
        <w:tc>
          <w:tcPr>
            <w:tcW w:w="2874" w:type="dxa"/>
            <w:tcBorders>
              <w:top w:val="nil"/>
              <w:left w:val="double" w:sz="6" w:space="0" w:color="800000"/>
              <w:bottom w:val="nil"/>
              <w:right w:val="single" w:sz="4" w:space="0" w:color="800000"/>
            </w:tcBorders>
            <w:shd w:val="clear" w:color="auto" w:fill="FFFFCC"/>
            <w:noWrap/>
            <w:vAlign w:val="bottom"/>
            <w:hideMark/>
          </w:tcPr>
          <w:p w:rsidR="00F20C6D" w:rsidRDefault="00F20C6D">
            <w:pPr>
              <w:rPr>
                <w:sz w:val="18"/>
                <w:szCs w:val="18"/>
              </w:rPr>
            </w:pPr>
            <w:r>
              <w:rPr>
                <w:sz w:val="18"/>
                <w:szCs w:val="18"/>
              </w:rPr>
              <w:t xml:space="preserve">    Текущи нелихвени разходи</w:t>
            </w:r>
          </w:p>
        </w:tc>
        <w:tc>
          <w:tcPr>
            <w:tcW w:w="726"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53,7</w:t>
            </w:r>
          </w:p>
        </w:tc>
        <w:tc>
          <w:tcPr>
            <w:tcW w:w="720"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48,9</w:t>
            </w:r>
          </w:p>
        </w:tc>
        <w:tc>
          <w:tcPr>
            <w:tcW w:w="53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0,1</w:t>
            </w:r>
          </w:p>
        </w:tc>
        <w:tc>
          <w:tcPr>
            <w:tcW w:w="70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0,5</w:t>
            </w:r>
          </w:p>
        </w:tc>
        <w:tc>
          <w:tcPr>
            <w:tcW w:w="1134"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4,2</w:t>
            </w:r>
          </w:p>
        </w:tc>
        <w:tc>
          <w:tcPr>
            <w:tcW w:w="1134" w:type="dxa"/>
            <w:tcBorders>
              <w:top w:val="nil"/>
              <w:left w:val="nil"/>
              <w:bottom w:val="nil"/>
              <w:right w:val="single" w:sz="4" w:space="0" w:color="800000"/>
            </w:tcBorders>
            <w:shd w:val="clear" w:color="auto" w:fill="FFFFCC"/>
            <w:vAlign w:val="bottom"/>
            <w:hideMark/>
          </w:tcPr>
          <w:p w:rsidR="00F20C6D" w:rsidRDefault="00F20C6D">
            <w:pPr>
              <w:jc w:val="right"/>
              <w:rPr>
                <w:sz w:val="18"/>
                <w:szCs w:val="18"/>
              </w:rPr>
            </w:pPr>
            <w:r>
              <w:rPr>
                <w:color w:val="000000"/>
                <w:sz w:val="18"/>
                <w:szCs w:val="18"/>
              </w:rPr>
              <w:t> </w:t>
            </w:r>
          </w:p>
        </w:tc>
      </w:tr>
      <w:tr w:rsidR="00F20C6D" w:rsidTr="006E5AE0">
        <w:trPr>
          <w:trHeight w:val="80"/>
        </w:trPr>
        <w:tc>
          <w:tcPr>
            <w:tcW w:w="2874" w:type="dxa"/>
            <w:tcBorders>
              <w:top w:val="nil"/>
              <w:left w:val="double" w:sz="6" w:space="0" w:color="800000"/>
              <w:bottom w:val="nil"/>
              <w:right w:val="single" w:sz="4" w:space="0" w:color="800000"/>
            </w:tcBorders>
            <w:shd w:val="clear" w:color="auto" w:fill="FFFFCC"/>
            <w:noWrap/>
            <w:vAlign w:val="bottom"/>
            <w:hideMark/>
          </w:tcPr>
          <w:p w:rsidR="00F20C6D" w:rsidRDefault="00F20C6D">
            <w:pPr>
              <w:rPr>
                <w:sz w:val="18"/>
                <w:szCs w:val="18"/>
              </w:rPr>
            </w:pPr>
            <w:r>
              <w:rPr>
                <w:sz w:val="18"/>
                <w:szCs w:val="18"/>
              </w:rPr>
              <w:t xml:space="preserve">    Капиталови разходи</w:t>
            </w:r>
          </w:p>
        </w:tc>
        <w:tc>
          <w:tcPr>
            <w:tcW w:w="726"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22,8</w:t>
            </w:r>
          </w:p>
        </w:tc>
        <w:tc>
          <w:tcPr>
            <w:tcW w:w="720"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21,6</w:t>
            </w:r>
          </w:p>
        </w:tc>
        <w:tc>
          <w:tcPr>
            <w:tcW w:w="53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0,0</w:t>
            </w:r>
          </w:p>
        </w:tc>
        <w:tc>
          <w:tcPr>
            <w:tcW w:w="1134"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1,2</w:t>
            </w:r>
          </w:p>
        </w:tc>
        <w:tc>
          <w:tcPr>
            <w:tcW w:w="1134" w:type="dxa"/>
            <w:tcBorders>
              <w:top w:val="nil"/>
              <w:left w:val="nil"/>
              <w:bottom w:val="nil"/>
              <w:right w:val="single" w:sz="4" w:space="0" w:color="800000"/>
            </w:tcBorders>
            <w:shd w:val="clear" w:color="auto" w:fill="FFFFCC"/>
            <w:vAlign w:val="bottom"/>
            <w:hideMark/>
          </w:tcPr>
          <w:p w:rsidR="00F20C6D" w:rsidRDefault="00F20C6D">
            <w:pPr>
              <w:jc w:val="right"/>
              <w:rPr>
                <w:sz w:val="18"/>
                <w:szCs w:val="18"/>
              </w:rPr>
            </w:pPr>
            <w:r>
              <w:rPr>
                <w:color w:val="000000"/>
                <w:sz w:val="18"/>
                <w:szCs w:val="18"/>
              </w:rPr>
              <w:t> </w:t>
            </w:r>
          </w:p>
        </w:tc>
      </w:tr>
      <w:tr w:rsidR="00F20C6D" w:rsidTr="006E5AE0">
        <w:trPr>
          <w:trHeight w:val="80"/>
        </w:trPr>
        <w:tc>
          <w:tcPr>
            <w:tcW w:w="2874" w:type="dxa"/>
            <w:tcBorders>
              <w:top w:val="nil"/>
              <w:left w:val="double" w:sz="6" w:space="0" w:color="800000"/>
              <w:bottom w:val="nil"/>
              <w:right w:val="single" w:sz="4" w:space="0" w:color="800000"/>
            </w:tcBorders>
            <w:shd w:val="clear" w:color="auto" w:fill="FFFFCC"/>
            <w:noWrap/>
            <w:vAlign w:val="bottom"/>
            <w:hideMark/>
          </w:tcPr>
          <w:p w:rsidR="00F20C6D" w:rsidRDefault="00F20C6D">
            <w:pPr>
              <w:jc w:val="center"/>
              <w:rPr>
                <w:sz w:val="18"/>
                <w:szCs w:val="18"/>
              </w:rPr>
            </w:pPr>
            <w:r>
              <w:rPr>
                <w:sz w:val="18"/>
                <w:szCs w:val="18"/>
              </w:rPr>
              <w:t>в т.ч. прираст на държавния резерв</w:t>
            </w:r>
          </w:p>
        </w:tc>
        <w:tc>
          <w:tcPr>
            <w:tcW w:w="726"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18,1</w:t>
            </w:r>
          </w:p>
        </w:tc>
        <w:tc>
          <w:tcPr>
            <w:tcW w:w="720"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18,1</w:t>
            </w:r>
          </w:p>
        </w:tc>
        <w:tc>
          <w:tcPr>
            <w:tcW w:w="53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851"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1134" w:type="dxa"/>
            <w:tcBorders>
              <w:top w:val="nil"/>
              <w:left w:val="nil"/>
              <w:bottom w:val="nil"/>
              <w:right w:val="single" w:sz="4" w:space="0" w:color="800000"/>
            </w:tcBorders>
            <w:shd w:val="clear" w:color="auto" w:fill="FFFFCC"/>
            <w:vAlign w:val="bottom"/>
            <w:hideMark/>
          </w:tcPr>
          <w:p w:rsidR="00F20C6D" w:rsidRDefault="00F20C6D">
            <w:pPr>
              <w:jc w:val="right"/>
              <w:rPr>
                <w:sz w:val="18"/>
                <w:szCs w:val="18"/>
              </w:rPr>
            </w:pPr>
            <w:r>
              <w:rPr>
                <w:color w:val="000000"/>
                <w:sz w:val="18"/>
                <w:szCs w:val="18"/>
              </w:rPr>
              <w:t> </w:t>
            </w:r>
          </w:p>
        </w:tc>
      </w:tr>
      <w:tr w:rsidR="00F20C6D" w:rsidTr="006E5AE0">
        <w:trPr>
          <w:trHeight w:val="198"/>
        </w:trPr>
        <w:tc>
          <w:tcPr>
            <w:tcW w:w="2874" w:type="dxa"/>
            <w:tcBorders>
              <w:top w:val="nil"/>
              <w:left w:val="double" w:sz="6" w:space="0" w:color="800000"/>
              <w:bottom w:val="nil"/>
              <w:right w:val="single" w:sz="4" w:space="0" w:color="800000"/>
            </w:tcBorders>
            <w:shd w:val="clear" w:color="auto" w:fill="FFFFCC"/>
            <w:noWrap/>
            <w:vAlign w:val="bottom"/>
            <w:hideMark/>
          </w:tcPr>
          <w:p w:rsidR="00F20C6D" w:rsidRDefault="00F20C6D">
            <w:pPr>
              <w:rPr>
                <w:b/>
                <w:bCs/>
                <w:sz w:val="18"/>
                <w:szCs w:val="18"/>
              </w:rPr>
            </w:pPr>
            <w:r>
              <w:rPr>
                <w:b/>
                <w:bCs/>
                <w:sz w:val="18"/>
                <w:szCs w:val="18"/>
              </w:rPr>
              <w:t>В. НАУКА</w:t>
            </w:r>
          </w:p>
        </w:tc>
        <w:tc>
          <w:tcPr>
            <w:tcW w:w="726"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191,9</w:t>
            </w:r>
          </w:p>
        </w:tc>
        <w:tc>
          <w:tcPr>
            <w:tcW w:w="720"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44,8</w:t>
            </w:r>
          </w:p>
        </w:tc>
        <w:tc>
          <w:tcPr>
            <w:tcW w:w="538"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4,9</w:t>
            </w:r>
          </w:p>
        </w:tc>
        <w:tc>
          <w:tcPr>
            <w:tcW w:w="567"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108,6</w:t>
            </w:r>
          </w:p>
        </w:tc>
        <w:tc>
          <w:tcPr>
            <w:tcW w:w="851"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4,6</w:t>
            </w:r>
          </w:p>
        </w:tc>
        <w:tc>
          <w:tcPr>
            <w:tcW w:w="1134" w:type="dxa"/>
            <w:tcBorders>
              <w:top w:val="nil"/>
              <w:left w:val="nil"/>
              <w:bottom w:val="nil"/>
              <w:right w:val="single" w:sz="4" w:space="0" w:color="800000"/>
            </w:tcBorders>
            <w:shd w:val="clear" w:color="auto" w:fill="FFFFCC"/>
            <w:noWrap/>
            <w:vAlign w:val="bottom"/>
            <w:hideMark/>
          </w:tcPr>
          <w:p w:rsidR="00F20C6D" w:rsidRDefault="00F20C6D">
            <w:pPr>
              <w:jc w:val="right"/>
              <w:rPr>
                <w:b/>
                <w:bCs/>
                <w:sz w:val="18"/>
                <w:szCs w:val="18"/>
              </w:rPr>
            </w:pPr>
            <w:r>
              <w:rPr>
                <w:b/>
                <w:bCs/>
                <w:color w:val="000000"/>
                <w:sz w:val="18"/>
                <w:szCs w:val="18"/>
              </w:rPr>
              <w:t>29,0</w:t>
            </w:r>
          </w:p>
        </w:tc>
        <w:tc>
          <w:tcPr>
            <w:tcW w:w="1134" w:type="dxa"/>
            <w:tcBorders>
              <w:top w:val="nil"/>
              <w:left w:val="nil"/>
              <w:bottom w:val="nil"/>
              <w:right w:val="single" w:sz="4" w:space="0" w:color="800000"/>
            </w:tcBorders>
            <w:shd w:val="clear" w:color="auto" w:fill="FFFFCC"/>
            <w:vAlign w:val="bottom"/>
            <w:hideMark/>
          </w:tcPr>
          <w:p w:rsidR="00F20C6D" w:rsidRDefault="00F20C6D">
            <w:pPr>
              <w:jc w:val="right"/>
              <w:rPr>
                <w:b/>
                <w:bCs/>
                <w:sz w:val="18"/>
                <w:szCs w:val="18"/>
              </w:rPr>
            </w:pPr>
            <w:r>
              <w:rPr>
                <w:b/>
                <w:bCs/>
                <w:color w:val="000000"/>
                <w:sz w:val="18"/>
                <w:szCs w:val="18"/>
              </w:rPr>
              <w:t> </w:t>
            </w:r>
          </w:p>
        </w:tc>
      </w:tr>
      <w:tr w:rsidR="00F20C6D" w:rsidTr="006E5AE0">
        <w:trPr>
          <w:trHeight w:val="80"/>
        </w:trPr>
        <w:tc>
          <w:tcPr>
            <w:tcW w:w="2874" w:type="dxa"/>
            <w:tcBorders>
              <w:top w:val="nil"/>
              <w:left w:val="double" w:sz="6" w:space="0" w:color="800000"/>
              <w:bottom w:val="nil"/>
              <w:right w:val="single" w:sz="4" w:space="0" w:color="800000"/>
            </w:tcBorders>
            <w:shd w:val="clear" w:color="auto" w:fill="FFFFCC"/>
            <w:noWrap/>
            <w:vAlign w:val="bottom"/>
            <w:hideMark/>
          </w:tcPr>
          <w:p w:rsidR="00F20C6D" w:rsidRDefault="00F20C6D">
            <w:pPr>
              <w:rPr>
                <w:sz w:val="18"/>
                <w:szCs w:val="18"/>
              </w:rPr>
            </w:pPr>
            <w:r>
              <w:rPr>
                <w:sz w:val="18"/>
                <w:szCs w:val="18"/>
              </w:rPr>
              <w:t xml:space="preserve">    Текущи нелихвени разходи</w:t>
            </w:r>
          </w:p>
        </w:tc>
        <w:tc>
          <w:tcPr>
            <w:tcW w:w="726"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174,0</w:t>
            </w:r>
          </w:p>
        </w:tc>
        <w:tc>
          <w:tcPr>
            <w:tcW w:w="720"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44,1</w:t>
            </w:r>
          </w:p>
        </w:tc>
        <w:tc>
          <w:tcPr>
            <w:tcW w:w="53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4,0</w:t>
            </w:r>
          </w:p>
        </w:tc>
        <w:tc>
          <w:tcPr>
            <w:tcW w:w="567"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103,0</w:t>
            </w:r>
          </w:p>
        </w:tc>
        <w:tc>
          <w:tcPr>
            <w:tcW w:w="851"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3,8</w:t>
            </w:r>
          </w:p>
        </w:tc>
        <w:tc>
          <w:tcPr>
            <w:tcW w:w="1134" w:type="dxa"/>
            <w:tcBorders>
              <w:top w:val="nil"/>
              <w:left w:val="nil"/>
              <w:bottom w:val="nil"/>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19,2</w:t>
            </w:r>
          </w:p>
        </w:tc>
        <w:tc>
          <w:tcPr>
            <w:tcW w:w="1134" w:type="dxa"/>
            <w:tcBorders>
              <w:top w:val="nil"/>
              <w:left w:val="nil"/>
              <w:bottom w:val="nil"/>
              <w:right w:val="single" w:sz="4" w:space="0" w:color="800000"/>
            </w:tcBorders>
            <w:shd w:val="clear" w:color="auto" w:fill="FFFFCC"/>
            <w:vAlign w:val="bottom"/>
            <w:hideMark/>
          </w:tcPr>
          <w:p w:rsidR="00F20C6D" w:rsidRDefault="00F20C6D">
            <w:pPr>
              <w:jc w:val="right"/>
              <w:rPr>
                <w:sz w:val="18"/>
                <w:szCs w:val="18"/>
              </w:rPr>
            </w:pPr>
            <w:r>
              <w:rPr>
                <w:color w:val="000000"/>
                <w:sz w:val="18"/>
                <w:szCs w:val="18"/>
              </w:rPr>
              <w:t> </w:t>
            </w:r>
          </w:p>
        </w:tc>
      </w:tr>
      <w:tr w:rsidR="00F20C6D" w:rsidTr="006E5AE0">
        <w:trPr>
          <w:trHeight w:val="80"/>
        </w:trPr>
        <w:tc>
          <w:tcPr>
            <w:tcW w:w="2874" w:type="dxa"/>
            <w:tcBorders>
              <w:top w:val="nil"/>
              <w:left w:val="double" w:sz="6" w:space="0" w:color="800000"/>
              <w:bottom w:val="double" w:sz="6" w:space="0" w:color="800000"/>
              <w:right w:val="single" w:sz="4" w:space="0" w:color="800000"/>
            </w:tcBorders>
            <w:shd w:val="clear" w:color="auto" w:fill="FFFFCC"/>
            <w:noWrap/>
            <w:vAlign w:val="bottom"/>
            <w:hideMark/>
          </w:tcPr>
          <w:p w:rsidR="00F20C6D" w:rsidRDefault="00F20C6D">
            <w:pPr>
              <w:rPr>
                <w:sz w:val="18"/>
                <w:szCs w:val="18"/>
              </w:rPr>
            </w:pPr>
            <w:r>
              <w:rPr>
                <w:sz w:val="18"/>
                <w:szCs w:val="18"/>
              </w:rPr>
              <w:t xml:space="preserve">    Капиталови разходи</w:t>
            </w:r>
          </w:p>
        </w:tc>
        <w:tc>
          <w:tcPr>
            <w:tcW w:w="726" w:type="dxa"/>
            <w:tcBorders>
              <w:top w:val="nil"/>
              <w:left w:val="nil"/>
              <w:bottom w:val="double" w:sz="6" w:space="0" w:color="800000"/>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17,9</w:t>
            </w:r>
          </w:p>
        </w:tc>
        <w:tc>
          <w:tcPr>
            <w:tcW w:w="720" w:type="dxa"/>
            <w:tcBorders>
              <w:top w:val="nil"/>
              <w:left w:val="nil"/>
              <w:bottom w:val="double" w:sz="6" w:space="0" w:color="800000"/>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0,7</w:t>
            </w:r>
          </w:p>
        </w:tc>
        <w:tc>
          <w:tcPr>
            <w:tcW w:w="538" w:type="dxa"/>
            <w:tcBorders>
              <w:top w:val="nil"/>
              <w:left w:val="nil"/>
              <w:bottom w:val="double" w:sz="6" w:space="0" w:color="800000"/>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0,8</w:t>
            </w:r>
          </w:p>
        </w:tc>
        <w:tc>
          <w:tcPr>
            <w:tcW w:w="567" w:type="dxa"/>
            <w:tcBorders>
              <w:top w:val="nil"/>
              <w:left w:val="nil"/>
              <w:bottom w:val="double" w:sz="6" w:space="0" w:color="800000"/>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5,6</w:t>
            </w:r>
          </w:p>
        </w:tc>
        <w:tc>
          <w:tcPr>
            <w:tcW w:w="851" w:type="dxa"/>
            <w:tcBorders>
              <w:top w:val="nil"/>
              <w:left w:val="nil"/>
              <w:bottom w:val="double" w:sz="6" w:space="0" w:color="800000"/>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 </w:t>
            </w:r>
          </w:p>
        </w:tc>
        <w:tc>
          <w:tcPr>
            <w:tcW w:w="708" w:type="dxa"/>
            <w:tcBorders>
              <w:top w:val="nil"/>
              <w:left w:val="nil"/>
              <w:bottom w:val="double" w:sz="6" w:space="0" w:color="800000"/>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0,9</w:t>
            </w:r>
          </w:p>
        </w:tc>
        <w:tc>
          <w:tcPr>
            <w:tcW w:w="1134" w:type="dxa"/>
            <w:tcBorders>
              <w:top w:val="nil"/>
              <w:left w:val="nil"/>
              <w:bottom w:val="double" w:sz="6" w:space="0" w:color="800000"/>
              <w:right w:val="single" w:sz="4" w:space="0" w:color="800000"/>
            </w:tcBorders>
            <w:shd w:val="clear" w:color="auto" w:fill="FFFFCC"/>
            <w:noWrap/>
            <w:vAlign w:val="bottom"/>
            <w:hideMark/>
          </w:tcPr>
          <w:p w:rsidR="00F20C6D" w:rsidRDefault="00F20C6D">
            <w:pPr>
              <w:jc w:val="right"/>
              <w:rPr>
                <w:sz w:val="18"/>
                <w:szCs w:val="18"/>
              </w:rPr>
            </w:pPr>
            <w:r>
              <w:rPr>
                <w:color w:val="000000"/>
                <w:sz w:val="18"/>
                <w:szCs w:val="18"/>
              </w:rPr>
              <w:t>9,8</w:t>
            </w:r>
          </w:p>
        </w:tc>
        <w:tc>
          <w:tcPr>
            <w:tcW w:w="1134" w:type="dxa"/>
            <w:tcBorders>
              <w:top w:val="nil"/>
              <w:left w:val="nil"/>
              <w:bottom w:val="double" w:sz="6" w:space="0" w:color="800000"/>
              <w:right w:val="single" w:sz="4" w:space="0" w:color="800000"/>
            </w:tcBorders>
            <w:shd w:val="clear" w:color="auto" w:fill="FFFFCC"/>
            <w:vAlign w:val="bottom"/>
            <w:hideMark/>
          </w:tcPr>
          <w:p w:rsidR="00F20C6D" w:rsidRDefault="00F20C6D">
            <w:pPr>
              <w:jc w:val="right"/>
              <w:rPr>
                <w:sz w:val="18"/>
                <w:szCs w:val="18"/>
              </w:rPr>
            </w:pPr>
            <w:r>
              <w:rPr>
                <w:color w:val="000000"/>
                <w:sz w:val="18"/>
                <w:szCs w:val="18"/>
              </w:rPr>
              <w:t> </w:t>
            </w:r>
          </w:p>
        </w:tc>
      </w:tr>
    </w:tbl>
    <w:p w:rsidR="006E5AE0" w:rsidRDefault="006E5AE0" w:rsidP="006E5AE0">
      <w:pPr>
        <w:ind w:firstLine="540"/>
        <w:rPr>
          <w:b/>
          <w:color w:val="0070C0"/>
          <w:lang w:val="en-US"/>
        </w:rPr>
      </w:pPr>
    </w:p>
    <w:p w:rsidR="006E5AE0" w:rsidRDefault="006E5AE0" w:rsidP="006E5AE0">
      <w:pPr>
        <w:ind w:firstLine="540"/>
      </w:pPr>
      <w:r>
        <w:rPr>
          <w:b/>
        </w:rPr>
        <w:t xml:space="preserve">Група А: </w:t>
      </w:r>
      <w:r>
        <w:rPr>
          <w:b/>
          <w:i/>
        </w:rPr>
        <w:t>„Изпълнителни и законодателни органи”</w:t>
      </w:r>
    </w:p>
    <w:p w:rsidR="006E5AE0" w:rsidRDefault="006E5AE0" w:rsidP="006E5AE0">
      <w:pPr>
        <w:ind w:firstLine="540"/>
        <w:jc w:val="both"/>
      </w:pPr>
      <w:r>
        <w:t xml:space="preserve">В тази група се включват разходите, извършени за финансовото обезпечаване на основните функции на Администрацията на президента, Народното събрание, Сметна палата, Комисия за финансов надзор, правителството, както и дейностите на централната и местна администрация, държавните и изпълнителните агенции, търговските служби, посолствата и консулствата в чужбина и други новосъздадени администрации. </w:t>
      </w:r>
    </w:p>
    <w:p w:rsidR="006E5AE0" w:rsidRDefault="006E5AE0" w:rsidP="006E5AE0">
      <w:pPr>
        <w:ind w:firstLine="540"/>
        <w:jc w:val="both"/>
      </w:pPr>
      <w:r>
        <w:t>Общата сума на разходите на консолидирана основа за тази група е 1 525,</w:t>
      </w:r>
      <w:r w:rsidR="00147068">
        <w:t xml:space="preserve">3 </w:t>
      </w:r>
      <w:r>
        <w:t>млн. лв., което представлява 97,</w:t>
      </w:r>
      <w:r w:rsidR="00147068">
        <w:rPr>
          <w:lang w:val="en-US"/>
        </w:rPr>
        <w:t>0</w:t>
      </w:r>
      <w:r w:rsidR="00147068">
        <w:t xml:space="preserve"> </w:t>
      </w:r>
      <w:r>
        <w:t>% спрямо предвидените в разчетите към ЗДБРБ за 2015 г. разходи за група „Изпълнителни и законодателни органи”. В структурно отношение преобладават текущите разходи по бюджетите на министерствата,  ведомствата и общините, което се обуславя от спецификата на функцията и групата. Капиталовите разходи в тази група са в размер на 143,</w:t>
      </w:r>
      <w:r w:rsidR="004905C2">
        <w:rPr>
          <w:lang w:val="en-US"/>
        </w:rPr>
        <w:t>7</w:t>
      </w:r>
      <w:r>
        <w:t xml:space="preserve"> млн. лв. или 160,</w:t>
      </w:r>
      <w:r w:rsidR="000F4D64">
        <w:t>9</w:t>
      </w:r>
      <w:r>
        <w:t xml:space="preserve"> % от разчета. </w:t>
      </w:r>
    </w:p>
    <w:p w:rsidR="006E5AE0" w:rsidRDefault="006E5AE0" w:rsidP="006E5AE0">
      <w:pPr>
        <w:ind w:firstLine="540"/>
        <w:jc w:val="both"/>
      </w:pPr>
      <w:r>
        <w:t>Средствата в групата са за реализиране на следните стратегически цели и приоритетни политики:</w:t>
      </w:r>
    </w:p>
    <w:p w:rsidR="006E5AE0" w:rsidRDefault="006E5AE0" w:rsidP="00781B85">
      <w:pPr>
        <w:numPr>
          <w:ilvl w:val="0"/>
          <w:numId w:val="25"/>
        </w:numPr>
        <w:tabs>
          <w:tab w:val="clear" w:pos="720"/>
          <w:tab w:val="num" w:pos="540"/>
          <w:tab w:val="left" w:pos="900"/>
        </w:tabs>
        <w:ind w:left="540"/>
        <w:jc w:val="both"/>
        <w:rPr>
          <w:iCs/>
        </w:rPr>
      </w:pPr>
      <w:r>
        <w:rPr>
          <w:iCs/>
        </w:rPr>
        <w:t>Защита и реализация на националните интереси на Република България чрез активно и адекватно участие в международните отношения;</w:t>
      </w:r>
    </w:p>
    <w:p w:rsidR="006E5AE0" w:rsidRDefault="006E5AE0" w:rsidP="00781B85">
      <w:pPr>
        <w:numPr>
          <w:ilvl w:val="0"/>
          <w:numId w:val="25"/>
        </w:numPr>
        <w:tabs>
          <w:tab w:val="clear" w:pos="720"/>
          <w:tab w:val="num" w:pos="540"/>
          <w:tab w:val="left" w:pos="900"/>
        </w:tabs>
        <w:ind w:left="540"/>
        <w:jc w:val="both"/>
        <w:rPr>
          <w:iCs/>
        </w:rPr>
      </w:pPr>
      <w:r>
        <w:rPr>
          <w:iCs/>
        </w:rPr>
        <w:t>Определяне и осъществяване на вътрешната и външната политика на Република България в съответствие с приоритетите на правителството;</w:t>
      </w:r>
    </w:p>
    <w:p w:rsidR="006E5AE0" w:rsidRDefault="006E5AE0" w:rsidP="00781B85">
      <w:pPr>
        <w:numPr>
          <w:ilvl w:val="0"/>
          <w:numId w:val="25"/>
        </w:numPr>
        <w:tabs>
          <w:tab w:val="clear" w:pos="720"/>
          <w:tab w:val="num" w:pos="540"/>
          <w:tab w:val="left" w:pos="900"/>
        </w:tabs>
        <w:ind w:left="540"/>
        <w:jc w:val="both"/>
        <w:rPr>
          <w:iCs/>
        </w:rPr>
      </w:pPr>
      <w:r>
        <w:rPr>
          <w:bCs/>
          <w:iCs/>
        </w:rPr>
        <w:t xml:space="preserve">България е надежден и предвидим съюзник в Европейския съюз, в Организацията на Северноатлантически договор (НАТО), в ООН и в други международни </w:t>
      </w:r>
      <w:r>
        <w:rPr>
          <w:bCs/>
          <w:iCs/>
        </w:rPr>
        <w:lastRenderedPageBreak/>
        <w:t>правителствени организации и почтен партньор в двустранните международни отношения</w:t>
      </w:r>
      <w:r>
        <w:rPr>
          <w:iCs/>
        </w:rPr>
        <w:t>;</w:t>
      </w:r>
    </w:p>
    <w:p w:rsidR="006E5AE0" w:rsidRDefault="006E5AE0" w:rsidP="00781B85">
      <w:pPr>
        <w:numPr>
          <w:ilvl w:val="0"/>
          <w:numId w:val="25"/>
        </w:numPr>
        <w:tabs>
          <w:tab w:val="clear" w:pos="720"/>
          <w:tab w:val="num" w:pos="540"/>
          <w:tab w:val="left" w:pos="900"/>
        </w:tabs>
        <w:ind w:left="540"/>
        <w:jc w:val="both"/>
        <w:rPr>
          <w:iCs/>
        </w:rPr>
      </w:pPr>
      <w:r>
        <w:rPr>
          <w:iCs/>
        </w:rPr>
        <w:t>Събиране на приходите при висока ефективност и ефикасност и стимулиране на доброволното изпълнение;</w:t>
      </w:r>
    </w:p>
    <w:p w:rsidR="006E5AE0" w:rsidRDefault="006E5AE0" w:rsidP="00781B85">
      <w:pPr>
        <w:numPr>
          <w:ilvl w:val="0"/>
          <w:numId w:val="25"/>
        </w:numPr>
        <w:tabs>
          <w:tab w:val="clear" w:pos="720"/>
          <w:tab w:val="num" w:pos="540"/>
          <w:tab w:val="left" w:pos="900"/>
        </w:tabs>
        <w:ind w:left="540"/>
        <w:jc w:val="both"/>
        <w:rPr>
          <w:iCs/>
        </w:rPr>
      </w:pPr>
      <w:r>
        <w:rPr>
          <w:iCs/>
        </w:rPr>
        <w:t>Гарантиране на правовия ред в страната, борба с престъпността и ограничаване на корупцията;</w:t>
      </w:r>
    </w:p>
    <w:p w:rsidR="006E5AE0" w:rsidRDefault="006E5AE0" w:rsidP="00781B85">
      <w:pPr>
        <w:numPr>
          <w:ilvl w:val="0"/>
          <w:numId w:val="25"/>
        </w:numPr>
        <w:tabs>
          <w:tab w:val="clear" w:pos="720"/>
          <w:tab w:val="num" w:pos="540"/>
          <w:tab w:val="left" w:pos="900"/>
        </w:tabs>
        <w:ind w:left="540"/>
        <w:jc w:val="both"/>
        <w:rPr>
          <w:iCs/>
        </w:rPr>
      </w:pPr>
      <w:r>
        <w:rPr>
          <w:iCs/>
        </w:rPr>
        <w:t>Запазване на макроикономическата стабилност, преодоляване на последиците от глобалната финансова и икономическа криза и възстановяване на българската икономика;</w:t>
      </w:r>
    </w:p>
    <w:p w:rsidR="006E5AE0" w:rsidRDefault="006E5AE0" w:rsidP="00781B85">
      <w:pPr>
        <w:numPr>
          <w:ilvl w:val="0"/>
          <w:numId w:val="25"/>
        </w:numPr>
        <w:tabs>
          <w:tab w:val="clear" w:pos="720"/>
          <w:tab w:val="num" w:pos="540"/>
          <w:tab w:val="left" w:pos="900"/>
        </w:tabs>
        <w:ind w:left="540"/>
        <w:jc w:val="both"/>
        <w:rPr>
          <w:iCs/>
        </w:rPr>
      </w:pPr>
      <w:r>
        <w:rPr>
          <w:iCs/>
        </w:rPr>
        <w:t>Осъществяване на стратегията за усъвършенстване на данъчната система, осигуряваща повишаване събираемостта на данъците;</w:t>
      </w:r>
    </w:p>
    <w:p w:rsidR="006E5AE0" w:rsidRDefault="006E5AE0" w:rsidP="00781B85">
      <w:pPr>
        <w:numPr>
          <w:ilvl w:val="0"/>
          <w:numId w:val="25"/>
        </w:numPr>
        <w:tabs>
          <w:tab w:val="clear" w:pos="720"/>
          <w:tab w:val="num" w:pos="540"/>
          <w:tab w:val="left" w:pos="900"/>
        </w:tabs>
        <w:ind w:left="540"/>
        <w:jc w:val="both"/>
        <w:rPr>
          <w:iCs/>
        </w:rPr>
      </w:pPr>
      <w:r>
        <w:rPr>
          <w:iCs/>
        </w:rPr>
        <w:t>Провеждане на държавната митническа политика и координиране на връзките с международни организации по проблемите на митата и митническия контрол.</w:t>
      </w:r>
    </w:p>
    <w:p w:rsidR="006E5AE0" w:rsidRDefault="006E5AE0" w:rsidP="006E5AE0">
      <w:pPr>
        <w:spacing w:before="120" w:after="120"/>
        <w:ind w:firstLine="540"/>
        <w:jc w:val="both"/>
      </w:pPr>
      <w:r>
        <w:t>С разчетите към ЗДБРБ за 201</w:t>
      </w:r>
      <w:r>
        <w:rPr>
          <w:lang w:val="ru-RU"/>
        </w:rPr>
        <w:t>5</w:t>
      </w:r>
      <w:r>
        <w:t xml:space="preserve"> г. по група „Изпълнителни и законодателни органи” </w:t>
      </w:r>
      <w:r w:rsidRPr="00FA4A95">
        <w:rPr>
          <w:b/>
        </w:rPr>
        <w:t>за министерствата и ведомствата</w:t>
      </w:r>
      <w:r w:rsidRPr="00FA4A95">
        <w:t xml:space="preserve"> са утвърдени средства в размер на </w:t>
      </w:r>
      <w:r w:rsidR="00602CF2" w:rsidRPr="00FA4A95">
        <w:t>707,2</w:t>
      </w:r>
      <w:r w:rsidRPr="00FA4A95">
        <w:t xml:space="preserve"> млн. лв</w:t>
      </w:r>
      <w:r w:rsidR="000A271B" w:rsidRPr="00FA4A95">
        <w:t>. (с резерва за непредвидени и неотложни разходи).</w:t>
      </w:r>
      <w:r w:rsidRPr="00FA4A95">
        <w:t xml:space="preserve"> В хода на изпълнението на държавния</w:t>
      </w:r>
      <w:r>
        <w:t xml:space="preserve"> бюджет на основание чл. 109  и чл. 110 от Закона за публичните финанси, на министерствата и ведомствата по група „Изпълнителни и законодателни органи” са осигурени допълнителни средства в размер на 63,8 млн. лв. Отчетените разходи за годината за министерствата и ведомствата са 835,7 млн. лв., в т. ч. </w:t>
      </w:r>
      <w:r>
        <w:rPr>
          <w:lang w:val="en-US"/>
        </w:rPr>
        <w:t>:</w:t>
      </w:r>
      <w:r>
        <w:t xml:space="preserve"> на Сметната палата са 15,0 млн. лв.</w:t>
      </w:r>
      <w:r>
        <w:rPr>
          <w:lang w:val="en-US"/>
        </w:rPr>
        <w:t xml:space="preserve"> </w:t>
      </w:r>
      <w:r>
        <w:t>и  на Народното събрание 40,9 млн. лв. С извършените разходи през 2015 г. са постигнати следните резултати:</w:t>
      </w:r>
    </w:p>
    <w:p w:rsidR="006E5AE0" w:rsidRDefault="006E5AE0" w:rsidP="00781B85">
      <w:pPr>
        <w:numPr>
          <w:ilvl w:val="0"/>
          <w:numId w:val="26"/>
        </w:numPr>
        <w:tabs>
          <w:tab w:val="left" w:pos="900"/>
        </w:tabs>
        <w:ind w:left="714" w:hanging="357"/>
        <w:jc w:val="both"/>
        <w:rPr>
          <w:iCs/>
        </w:rPr>
      </w:pPr>
      <w:r>
        <w:rPr>
          <w:iCs/>
        </w:rPr>
        <w:t>Ефективно събиране и превеждане на приходите от данъци и осигурителни вноски към държавния бюджет, бюджетите на Националния осигурителен институт и Националната здравноосигурителна каса, както и на осигурителните вноски за допълнителното задължително пенсионно осигуряване;</w:t>
      </w:r>
    </w:p>
    <w:p w:rsidR="006E5AE0" w:rsidRDefault="006E5AE0" w:rsidP="00781B85">
      <w:pPr>
        <w:numPr>
          <w:ilvl w:val="0"/>
          <w:numId w:val="26"/>
        </w:numPr>
        <w:tabs>
          <w:tab w:val="left" w:pos="900"/>
        </w:tabs>
        <w:jc w:val="both"/>
        <w:rPr>
          <w:iCs/>
        </w:rPr>
      </w:pPr>
      <w:r>
        <w:rPr>
          <w:iCs/>
        </w:rPr>
        <w:t>Подобряване на бизнес средата, стимулиране на икономическата активност и намаляване дела на сивата икономика;</w:t>
      </w:r>
    </w:p>
    <w:p w:rsidR="006E5AE0" w:rsidRDefault="006E5AE0" w:rsidP="00781B85">
      <w:pPr>
        <w:numPr>
          <w:ilvl w:val="0"/>
          <w:numId w:val="26"/>
        </w:numPr>
        <w:tabs>
          <w:tab w:val="left" w:pos="900"/>
        </w:tabs>
        <w:jc w:val="both"/>
        <w:rPr>
          <w:iCs/>
        </w:rPr>
      </w:pPr>
      <w:r>
        <w:rPr>
          <w:iCs/>
        </w:rPr>
        <w:t>Подобряване на митническия контрол, повишаване на ефективността в борбата с митническите и валутни нарушения, контрабандата и незаконния трафик на наркотични вещества, прекурсори и оръжия, изделия и технологии с двойна употреба и защита на права върху интелектуалната собственост; участието на Българската митническа администрация по програма “Митници 2015” на Европейската комисия;</w:t>
      </w:r>
    </w:p>
    <w:p w:rsidR="006E5AE0" w:rsidRDefault="006E5AE0" w:rsidP="00781B85">
      <w:pPr>
        <w:numPr>
          <w:ilvl w:val="0"/>
          <w:numId w:val="26"/>
        </w:numPr>
        <w:tabs>
          <w:tab w:val="left" w:pos="900"/>
        </w:tabs>
        <w:jc w:val="both"/>
        <w:rPr>
          <w:iCs/>
        </w:rPr>
      </w:pPr>
      <w:r>
        <w:rPr>
          <w:iCs/>
        </w:rPr>
        <w:t>Ефективно събиране и превеждане на приходите от акцизи в държавния бюджет;</w:t>
      </w:r>
    </w:p>
    <w:p w:rsidR="006E5AE0" w:rsidRDefault="006E5AE0" w:rsidP="00781B85">
      <w:pPr>
        <w:numPr>
          <w:ilvl w:val="0"/>
          <w:numId w:val="26"/>
        </w:numPr>
        <w:tabs>
          <w:tab w:val="left" w:pos="900"/>
        </w:tabs>
        <w:jc w:val="both"/>
        <w:rPr>
          <w:iCs/>
        </w:rPr>
      </w:pPr>
      <w:r>
        <w:rPr>
          <w:iCs/>
        </w:rPr>
        <w:t>Предоставяне на софтуерна осигуровка за програмни продукти на Майкрософт с придобит лиценз с безсрочно право на ползване за нуждите на държавната администрация;</w:t>
      </w:r>
    </w:p>
    <w:p w:rsidR="006E5AE0" w:rsidRDefault="006E5AE0" w:rsidP="00781B85">
      <w:pPr>
        <w:numPr>
          <w:ilvl w:val="0"/>
          <w:numId w:val="26"/>
        </w:numPr>
        <w:tabs>
          <w:tab w:val="left" w:pos="900"/>
        </w:tabs>
        <w:jc w:val="both"/>
        <w:rPr>
          <w:iCs/>
        </w:rPr>
      </w:pPr>
      <w:r>
        <w:rPr>
          <w:iCs/>
        </w:rPr>
        <w:t>Подготовка и произвеждане на изборите за общински съветници, за кметове и на национален референдум с въпрос „Подкрепяте ли да може да се гласува и дистанционно по електронен път при произвеждане на изборите и референдумите?“;</w:t>
      </w:r>
    </w:p>
    <w:p w:rsidR="006E5AE0" w:rsidRDefault="006E5AE0" w:rsidP="00781B85">
      <w:pPr>
        <w:numPr>
          <w:ilvl w:val="0"/>
          <w:numId w:val="26"/>
        </w:numPr>
        <w:tabs>
          <w:tab w:val="left" w:pos="900"/>
        </w:tabs>
        <w:jc w:val="both"/>
        <w:rPr>
          <w:iCs/>
        </w:rPr>
      </w:pPr>
      <w:r>
        <w:rPr>
          <w:iCs/>
        </w:rPr>
        <w:t>Изграждане на временно възпрепятстващо съоръжение по българо-турската граница;</w:t>
      </w:r>
    </w:p>
    <w:p w:rsidR="006E5AE0" w:rsidRDefault="006E5AE0" w:rsidP="00781B85">
      <w:pPr>
        <w:numPr>
          <w:ilvl w:val="0"/>
          <w:numId w:val="26"/>
        </w:numPr>
        <w:tabs>
          <w:tab w:val="left" w:pos="900"/>
        </w:tabs>
        <w:spacing w:after="120"/>
        <w:jc w:val="both"/>
        <w:rPr>
          <w:iCs/>
        </w:rPr>
      </w:pPr>
      <w:r>
        <w:rPr>
          <w:iCs/>
        </w:rPr>
        <w:t>Осигуряване на необходимия финансов ресурс за работни заплати, социални осигуровки и средства за издръжка за нормалното функциониране на държавната администрация.</w:t>
      </w:r>
    </w:p>
    <w:p w:rsidR="006E5AE0" w:rsidRDefault="006E5AE0" w:rsidP="006E5AE0">
      <w:pPr>
        <w:spacing w:after="120"/>
        <w:ind w:firstLine="540"/>
        <w:jc w:val="both"/>
      </w:pPr>
      <w:r>
        <w:t xml:space="preserve">С разчетите към ЗДБРБ за 2015 г. за група “Изпълнителни и законодателни органи” </w:t>
      </w:r>
      <w:r>
        <w:rPr>
          <w:b/>
        </w:rPr>
        <w:t>за общинските бюджети</w:t>
      </w:r>
      <w:r>
        <w:t xml:space="preserve"> са предвидени общо средства в размер на 484,8 млн. лв. </w:t>
      </w:r>
      <w:r>
        <w:lastRenderedPageBreak/>
        <w:t>Отчетените разходи за годината са в размер на 483,6 млн. лв.</w:t>
      </w:r>
      <w:r>
        <w:rPr>
          <w:lang w:val="en-US"/>
        </w:rPr>
        <w:t xml:space="preserve"> </w:t>
      </w:r>
      <w:r>
        <w:t>или 99,</w:t>
      </w:r>
      <w:r w:rsidR="00147068">
        <w:t xml:space="preserve">8 </w:t>
      </w:r>
      <w:r>
        <w:t xml:space="preserve">% от разчетите към ЗДБРБ за 2015 г. Отчетените </w:t>
      </w:r>
      <w:r>
        <w:rPr>
          <w:i/>
        </w:rPr>
        <w:t>текущи разходи</w:t>
      </w:r>
      <w:r>
        <w:t xml:space="preserve"> по общинските бюджети за група „Изпълнителни и законодателни органи” са в размер на 463,</w:t>
      </w:r>
      <w:r w:rsidR="00644A73">
        <w:rPr>
          <w:lang w:val="en-US"/>
        </w:rPr>
        <w:t>7</w:t>
      </w:r>
      <w:r w:rsidR="00644A73">
        <w:t xml:space="preserve"> </w:t>
      </w:r>
      <w:r>
        <w:t>млн. лв., което е 100,4 % спрямо разчетените със закона и 88,</w:t>
      </w:r>
      <w:r w:rsidR="00147068">
        <w:t xml:space="preserve">1 </w:t>
      </w:r>
      <w:r>
        <w:t xml:space="preserve">% спрямо 2014 г. Отчетените </w:t>
      </w:r>
      <w:r>
        <w:rPr>
          <w:i/>
        </w:rPr>
        <w:t>капиталови разходи</w:t>
      </w:r>
      <w:r>
        <w:t xml:space="preserve"> в тази група са в размер на 19,9 млн. лв. или 86,</w:t>
      </w:r>
      <w:r w:rsidR="00147068">
        <w:t xml:space="preserve">7 </w:t>
      </w:r>
      <w:r>
        <w:t>% спрямо разчета.</w:t>
      </w:r>
    </w:p>
    <w:p w:rsidR="006E5AE0" w:rsidRDefault="006E5AE0" w:rsidP="006E5AE0">
      <w:pPr>
        <w:ind w:firstLine="540"/>
        <w:jc w:val="both"/>
      </w:pPr>
      <w:r w:rsidRPr="009E509D">
        <w:t xml:space="preserve">В делегираните от държавата дейности за текущи </w:t>
      </w:r>
      <w:r w:rsidRPr="00B91E73">
        <w:t>разходи са разчетени средства по закон в размер на 217,2 млн. лв., а извършените разходи са 252,</w:t>
      </w:r>
      <w:r w:rsidR="003B3F3D" w:rsidRPr="004A0792">
        <w:rPr>
          <w:lang w:val="en-US"/>
        </w:rPr>
        <w:t>1</w:t>
      </w:r>
      <w:r w:rsidR="003B3F3D" w:rsidRPr="009E509D">
        <w:t xml:space="preserve"> </w:t>
      </w:r>
      <w:r w:rsidRPr="00B91E73">
        <w:t>млн.лв. или с 34,</w:t>
      </w:r>
      <w:r w:rsidR="003B3F3D" w:rsidRPr="004A0792">
        <w:rPr>
          <w:lang w:val="en-US"/>
        </w:rPr>
        <w:t>9</w:t>
      </w:r>
      <w:r w:rsidR="003B3F3D" w:rsidRPr="009E509D">
        <w:t xml:space="preserve"> </w:t>
      </w:r>
      <w:r w:rsidRPr="009E509D">
        <w:t>млн. лв. повече.</w:t>
      </w:r>
      <w:r>
        <w:t xml:space="preserve"> </w:t>
      </w:r>
    </w:p>
    <w:p w:rsidR="006E5AE0" w:rsidRDefault="006E5AE0" w:rsidP="006E5AE0">
      <w:pPr>
        <w:ind w:firstLine="540"/>
        <w:jc w:val="both"/>
      </w:pPr>
      <w:r>
        <w:t>През 2015 г. общините са дофинансирали държавните дейности със собствени приходи в размер на 84,6 млн. лв.</w:t>
      </w:r>
    </w:p>
    <w:p w:rsidR="006E5AE0" w:rsidRDefault="006E5AE0" w:rsidP="006E5AE0">
      <w:pPr>
        <w:ind w:firstLine="540"/>
        <w:jc w:val="both"/>
      </w:pPr>
      <w:r w:rsidRPr="009E509D">
        <w:t>В местните дейности за група “Изпълнителни и законодателни органи” са отчетени текущи разходи в размер на 127,0 млн. лв., което представлява 51,9 % от предвидените със закона и 56,0 % спрямо отчетените за 2014 г. средства.</w:t>
      </w:r>
      <w:r w:rsidRPr="00B91E73">
        <w:t xml:space="preserve"> В тази група са отчетени възнагражденията на председателите на общинските съвети и на общинските съветници и</w:t>
      </w:r>
      <w:r>
        <w:t xml:space="preserve"> издръжката на общинската администрация. </w:t>
      </w:r>
    </w:p>
    <w:p w:rsidR="006E5AE0" w:rsidRDefault="006E5AE0" w:rsidP="006E5AE0">
      <w:pPr>
        <w:ind w:firstLine="540"/>
        <w:jc w:val="both"/>
        <w:rPr>
          <w:color w:val="0070C0"/>
          <w:sz w:val="8"/>
          <w:szCs w:val="8"/>
        </w:rPr>
      </w:pPr>
    </w:p>
    <w:p w:rsidR="006E5AE0" w:rsidRDefault="006E5AE0" w:rsidP="006E5AE0">
      <w:pPr>
        <w:pStyle w:val="BodyTextIndent2"/>
        <w:spacing w:line="240" w:lineRule="auto"/>
        <w:ind w:left="0" w:firstLine="539"/>
        <w:jc w:val="both"/>
      </w:pPr>
      <w:r>
        <w:rPr>
          <w:b/>
        </w:rPr>
        <w:t>Европейски средства</w:t>
      </w:r>
      <w:r>
        <w:t xml:space="preserve"> – изразходваните средства в групата са в размер на </w:t>
      </w:r>
      <w:r>
        <w:rPr>
          <w:lang w:val="en-US"/>
        </w:rPr>
        <w:t>164</w:t>
      </w:r>
      <w:r>
        <w:t>,</w:t>
      </w:r>
      <w:r>
        <w:rPr>
          <w:lang w:val="en-US"/>
        </w:rPr>
        <w:t>7</w:t>
      </w:r>
      <w:r>
        <w:t xml:space="preserve"> млн. лв. и са основно по следните оперативни програми: </w:t>
      </w:r>
    </w:p>
    <w:p w:rsidR="006E5AE0" w:rsidRDefault="006E5AE0" w:rsidP="006E5AE0">
      <w:pPr>
        <w:pStyle w:val="BodyTextIndent2"/>
        <w:spacing w:line="240" w:lineRule="auto"/>
        <w:ind w:left="0" w:firstLine="540"/>
        <w:jc w:val="both"/>
      </w:pPr>
      <w:r>
        <w:rPr>
          <w:b/>
          <w:i/>
        </w:rPr>
        <w:t xml:space="preserve">Оперативна програма „Административен капацитет” - </w:t>
      </w:r>
      <w:r>
        <w:t xml:space="preserve">програмата финансира дейности за подкрепа на доброто държавно управление, развитието на човешките ресурси в структурите на държавната администрация, съдебната система и гражданското общество, подобряване качеството на административните услуги и развитие на електронно правителство. Бенефициенти на програмата са държавната администрация, съдебната система и гражданското общество. Изразходваните средства по </w:t>
      </w:r>
      <w:r>
        <w:rPr>
          <w:i/>
        </w:rPr>
        <w:t xml:space="preserve">Оперативна програма „Административен капацитет” </w:t>
      </w:r>
      <w:r>
        <w:t xml:space="preserve">за група  “Изпълнителни и законодателни органи” са в размер на 34,8 млн. лв. </w:t>
      </w:r>
    </w:p>
    <w:p w:rsidR="006E5AE0" w:rsidRDefault="006E5AE0" w:rsidP="006E5AE0">
      <w:pPr>
        <w:pStyle w:val="BodyTextIndent2"/>
        <w:spacing w:line="240" w:lineRule="auto"/>
        <w:ind w:left="0" w:firstLine="540"/>
        <w:jc w:val="both"/>
      </w:pPr>
      <w:r>
        <w:rPr>
          <w:b/>
          <w:i/>
        </w:rPr>
        <w:t xml:space="preserve">Оперативна програма „Развитие на човешките ресурси” - </w:t>
      </w:r>
      <w:r>
        <w:t xml:space="preserve">програмата финансира дейности за развитието на човешките ресурси в структурите на държавната администрация и гражданското общество. Оперативната програма цели да се подобри качеството на живот на хората в България чрез развитие на човешкия капитал,  постигане на високи нива на заетост, повишаване на производителността, осигуряване на равен достъп до качествени образователни услуги за всички и учене през целия живот. Бенефициент на програмата е основно държавната администрация. Изразходваните средства по </w:t>
      </w:r>
      <w:r>
        <w:rPr>
          <w:i/>
        </w:rPr>
        <w:t xml:space="preserve">Оперативна програма „Развитие на човешките ресурси” </w:t>
      </w:r>
      <w:r>
        <w:t>за група  “Изпълнителни и законодателни органи” са в размер на 33,4 млн. лв.</w:t>
      </w:r>
    </w:p>
    <w:p w:rsidR="006E5AE0" w:rsidRDefault="006E5AE0" w:rsidP="006E5AE0">
      <w:pPr>
        <w:pStyle w:val="BodyTextIndent2"/>
        <w:spacing w:line="240" w:lineRule="auto"/>
        <w:ind w:left="0" w:firstLine="540"/>
        <w:jc w:val="both"/>
      </w:pPr>
      <w:r>
        <w:rPr>
          <w:b/>
          <w:i/>
        </w:rPr>
        <w:t xml:space="preserve">Оперативна програма „Регионално развитие” </w:t>
      </w:r>
      <w:r>
        <w:t>– обща цел на програмата е подобряване на качеството на живот и работната среда с по-добър достъп до основните услуги и нови възможности за повишена регионална конкурентоспособност и устойчиво развитие. Програмата е свързана с мобилизиране на регионалните и местни технически и институционални възможности и ресурси за осъществяване на политиките за регионално развитие. Изразходваните средства по Оперативна програма „Регионално развитие” за група  “Изпълнителни и законодателни органи” са в размер на 28,7 млн. лв.</w:t>
      </w:r>
    </w:p>
    <w:p w:rsidR="006E5AE0" w:rsidRDefault="006E5AE0" w:rsidP="006E5AE0">
      <w:pPr>
        <w:ind w:firstLine="539"/>
        <w:jc w:val="both"/>
      </w:pPr>
      <w:r>
        <w:rPr>
          <w:b/>
          <w:i/>
        </w:rPr>
        <w:t xml:space="preserve">Оперативна програма „Техническа помощ” – </w:t>
      </w:r>
      <w:r>
        <w:t xml:space="preserve">програмата финансира дейности за укрепване капацитета на структури за управление на средствата от ЕС на централно и местно ниво. Тази оперативна програма осигурява инструменти и финансови средства за покриване на всички потребности на институциите, които участват в координацията, наблюдението, управлението, контрола и сертифицирането на дейности по извършване на одити и оценка на структурните инструменти. Финансират се дейности за изграждане на информационна система за управление и наблюдение на структурните фондове в България </w:t>
      </w:r>
      <w:r>
        <w:lastRenderedPageBreak/>
        <w:t>и за популяризиране на европейската кохезионна политика и нейните цели в България и осигуряване на обща и статистическа информация.</w:t>
      </w:r>
    </w:p>
    <w:p w:rsidR="006E5AE0" w:rsidRDefault="006E5AE0" w:rsidP="006E5AE0">
      <w:pPr>
        <w:pStyle w:val="BodyTextIndent2"/>
        <w:spacing w:line="240" w:lineRule="auto"/>
        <w:ind w:left="0" w:firstLine="539"/>
        <w:jc w:val="both"/>
      </w:pPr>
      <w:r>
        <w:t xml:space="preserve">Оперативната програма има конкретни бенефициенти - Сертифициращ орган, Одитен орган, Централно координационно звено, Централен информационен офис, Управляващ орган на Оперативна програма „Техническа помощ”, дирекция „Координация на борбата с измамите със средствата на Европейския съюз” в МВР и общините, на чиято територия са административните центрове на 28-те области в България. Изразходваните средства по </w:t>
      </w:r>
      <w:r>
        <w:rPr>
          <w:i/>
        </w:rPr>
        <w:t xml:space="preserve">Оперативна програма „Техническа помощ” </w:t>
      </w:r>
      <w:r>
        <w:t>за група  “Изпълнителни и законодателни органи” са в размер на 26,3 млн. лв.</w:t>
      </w:r>
    </w:p>
    <w:p w:rsidR="006E5AE0" w:rsidRDefault="006E5AE0" w:rsidP="006E5AE0">
      <w:pPr>
        <w:ind w:firstLine="540"/>
        <w:rPr>
          <w:b/>
          <w:color w:val="0070C0"/>
          <w:sz w:val="14"/>
          <w:szCs w:val="14"/>
        </w:rPr>
      </w:pPr>
    </w:p>
    <w:p w:rsidR="006E5AE0" w:rsidRDefault="006E5AE0" w:rsidP="006E5AE0">
      <w:pPr>
        <w:ind w:firstLine="540"/>
        <w:rPr>
          <w:b/>
        </w:rPr>
      </w:pPr>
      <w:r>
        <w:rPr>
          <w:b/>
        </w:rPr>
        <w:t xml:space="preserve">Група Б: </w:t>
      </w:r>
      <w:r>
        <w:rPr>
          <w:b/>
          <w:i/>
        </w:rPr>
        <w:t>„Общи служби”</w:t>
      </w:r>
    </w:p>
    <w:p w:rsidR="006E5AE0" w:rsidRDefault="006E5AE0" w:rsidP="006E5AE0">
      <w:pPr>
        <w:ind w:right="-157" w:firstLine="540"/>
        <w:jc w:val="both"/>
      </w:pPr>
      <w:r>
        <w:t>С разчетите към ЗДБРБ за 2015 г. за група “Общи служби“ на консолидирано ниво са планирани 8</w:t>
      </w:r>
      <w:r w:rsidR="004905C2">
        <w:rPr>
          <w:lang w:val="en-US"/>
        </w:rPr>
        <w:t>6</w:t>
      </w:r>
      <w:r>
        <w:t>,</w:t>
      </w:r>
      <w:r w:rsidR="004905C2">
        <w:rPr>
          <w:lang w:val="en-US"/>
        </w:rPr>
        <w:t>7</w:t>
      </w:r>
      <w:r>
        <w:t xml:space="preserve"> млн. лв. (вкл. нетния прираст на държавния резерв), а отчетените разходи за групата са 76,5 млн. лв. (8</w:t>
      </w:r>
      <w:r w:rsidR="004905C2">
        <w:rPr>
          <w:lang w:val="en-US"/>
        </w:rPr>
        <w:t>8</w:t>
      </w:r>
      <w:r>
        <w:t>,</w:t>
      </w:r>
      <w:r w:rsidR="004905C2">
        <w:rPr>
          <w:lang w:val="en-US"/>
        </w:rPr>
        <w:t>2</w:t>
      </w:r>
      <w:r>
        <w:t xml:space="preserve"> % от годишния разчет). </w:t>
      </w:r>
    </w:p>
    <w:p w:rsidR="006E5AE0" w:rsidRDefault="006E5AE0" w:rsidP="006E5AE0">
      <w:pPr>
        <w:ind w:right="-157" w:firstLine="540"/>
        <w:jc w:val="both"/>
      </w:pPr>
      <w:r>
        <w:t>Отговорните администрации, ангажирани с изпълнението на функции, дейности и задачи в група „Общи служби” през 2015 г., са първостепенните разпоредители с бюджет - Министерски съвет, Министерство на финансите, Министерство на вътрешните работи, Министерство на правосъдието, Министерство на икономиката, Министерство на регионалното развитие и благоустройството, Министерство на младежта и спорта, Националния статистически институт, Държавната агенция „Държавен резерв и военновременни запаси” и Народното събрание.</w:t>
      </w:r>
    </w:p>
    <w:p w:rsidR="006E5AE0" w:rsidRDefault="006E5AE0" w:rsidP="006E5AE0">
      <w:pPr>
        <w:ind w:right="-157" w:firstLine="540"/>
        <w:jc w:val="both"/>
      </w:pPr>
      <w:r>
        <w:t xml:space="preserve">С най-голям относителен дял в разходите за група „Общи служби” са разходите по системите </w:t>
      </w:r>
      <w:r>
        <w:rPr>
          <w:b/>
        </w:rPr>
        <w:t>на министерствата и ведомствата</w:t>
      </w:r>
      <w:r w:rsidR="008A6035">
        <w:rPr>
          <w:b/>
        </w:rPr>
        <w:t xml:space="preserve"> </w:t>
      </w:r>
      <w:r w:rsidR="008A6035" w:rsidRPr="004A0792">
        <w:t>(вкл. Народното събрание)</w:t>
      </w:r>
      <w:r w:rsidR="008A6035">
        <w:rPr>
          <w:b/>
        </w:rPr>
        <w:t xml:space="preserve"> </w:t>
      </w:r>
      <w:r>
        <w:t xml:space="preserve"> – отчетените разходи за годината са в размер на 70,6 млн. лв., което е </w:t>
      </w:r>
      <w:r w:rsidR="00714825">
        <w:t>8</w:t>
      </w:r>
      <w:r w:rsidR="00232A6C">
        <w:rPr>
          <w:lang w:val="en-US"/>
        </w:rPr>
        <w:t>2</w:t>
      </w:r>
      <w:r>
        <w:t>,</w:t>
      </w:r>
      <w:r w:rsidR="00232A6C">
        <w:rPr>
          <w:lang w:val="en-US"/>
        </w:rPr>
        <w:t>3</w:t>
      </w:r>
      <w:r>
        <w:t xml:space="preserve"> % от общо разходите за групата. Разходи</w:t>
      </w:r>
      <w:r w:rsidR="00232A6C">
        <w:t>те</w:t>
      </w:r>
      <w:r>
        <w:t xml:space="preserve"> в групата са за:</w:t>
      </w:r>
    </w:p>
    <w:p w:rsidR="006E5AE0" w:rsidRDefault="006E5AE0" w:rsidP="00781B85">
      <w:pPr>
        <w:pStyle w:val="ListParagraph"/>
        <w:numPr>
          <w:ilvl w:val="0"/>
          <w:numId w:val="27"/>
        </w:numPr>
        <w:ind w:left="720" w:right="-157" w:hanging="180"/>
        <w:jc w:val="both"/>
      </w:pPr>
      <w:r>
        <w:t>изпълнението на Националната статистическа програма;</w:t>
      </w:r>
    </w:p>
    <w:p w:rsidR="006E5AE0" w:rsidRDefault="006E5AE0" w:rsidP="00781B85">
      <w:pPr>
        <w:pStyle w:val="ListParagraph"/>
        <w:numPr>
          <w:ilvl w:val="0"/>
          <w:numId w:val="27"/>
        </w:numPr>
        <w:ind w:left="720" w:right="-157" w:hanging="180"/>
        <w:jc w:val="both"/>
      </w:pPr>
      <w:r>
        <w:t xml:space="preserve">осигуряване на правна сигурност на процесите, свързани с кредитирането и стимулиране на инвестициите, за привличане на чуждестранни инвестиции чрез организиране и участие в бизнес и инвестиционни форуми, информационни кампании и др.; </w:t>
      </w:r>
    </w:p>
    <w:p w:rsidR="006E5AE0" w:rsidRDefault="006E5AE0" w:rsidP="00781B85">
      <w:pPr>
        <w:pStyle w:val="ListParagraph"/>
        <w:numPr>
          <w:ilvl w:val="0"/>
          <w:numId w:val="27"/>
        </w:numPr>
        <w:ind w:left="720" w:right="-157" w:hanging="180"/>
        <w:jc w:val="both"/>
      </w:pPr>
      <w:r>
        <w:t xml:space="preserve">натрупване, съхраняване и използване на държавните резерви и военновременните запаси на страната в съответствие с изискванията на националната сигурност, както и за създаване на задължителни запаси от нефт и нефтопродукти; </w:t>
      </w:r>
    </w:p>
    <w:p w:rsidR="006E5AE0" w:rsidRDefault="006E5AE0" w:rsidP="00781B85">
      <w:pPr>
        <w:pStyle w:val="ListParagraph"/>
        <w:numPr>
          <w:ilvl w:val="0"/>
          <w:numId w:val="27"/>
        </w:numPr>
        <w:ind w:left="720" w:right="-157" w:hanging="180"/>
        <w:jc w:val="both"/>
      </w:pPr>
      <w:r>
        <w:t>финансиране на концесионната дейност;</w:t>
      </w:r>
    </w:p>
    <w:p w:rsidR="006E5AE0" w:rsidRDefault="006E5AE0" w:rsidP="00781B85">
      <w:pPr>
        <w:pStyle w:val="ListParagraph"/>
        <w:numPr>
          <w:ilvl w:val="0"/>
          <w:numId w:val="27"/>
        </w:numPr>
        <w:ind w:left="720" w:right="-157" w:hanging="180"/>
        <w:jc w:val="both"/>
      </w:pPr>
      <w:r>
        <w:t>осъществяване на методическото ръководство и контрола на дейностите, свързани с гражданското състояние, гражданската регистрация и автоматизираните информационни фондове;</w:t>
      </w:r>
    </w:p>
    <w:p w:rsidR="006E5AE0" w:rsidRDefault="006E5AE0" w:rsidP="00781B85">
      <w:pPr>
        <w:pStyle w:val="ListParagraph"/>
        <w:numPr>
          <w:ilvl w:val="0"/>
          <w:numId w:val="27"/>
        </w:numPr>
        <w:spacing w:after="120"/>
        <w:ind w:left="720" w:right="-157" w:hanging="180"/>
        <w:jc w:val="both"/>
      </w:pPr>
      <w:r>
        <w:t>предоставяне на особена закрила на чужденци на територията на Република България - в изпълнение на приетия от МС план за овладяване на кризисната ситуация, възникнала вследствие на засиления миграционен натиск към територията на Република България. Средствата са изразходвани за осигуряване на необходимите</w:t>
      </w:r>
      <w:r>
        <w:rPr>
          <w:color w:val="0070C0"/>
        </w:rPr>
        <w:t xml:space="preserve"> </w:t>
      </w:r>
      <w:r>
        <w:t>условия за живот в местата за настаняване на чуждите граждани, потърсили закрила, за разширяване капацитета на Държавната агенция за закрила на чужденците за прием на многократно увеличения брой на бежанците, за осигуряване на необходимите преводачески услуги, с цел съкращаване на времето за процедурите за даване на статут и др.</w:t>
      </w:r>
    </w:p>
    <w:p w:rsidR="006E5AE0" w:rsidRDefault="006E5AE0" w:rsidP="006E5AE0">
      <w:pPr>
        <w:tabs>
          <w:tab w:val="left" w:pos="0"/>
        </w:tabs>
        <w:spacing w:after="120"/>
        <w:ind w:firstLine="540"/>
        <w:jc w:val="both"/>
        <w:rPr>
          <w:lang w:val="en-US"/>
        </w:rPr>
      </w:pPr>
      <w:r>
        <w:t xml:space="preserve">Разходите на Държавната агенция „ Държавен резерв и военновременни запаси” през 2015 г. за попълване на държавния резерв са в размер на </w:t>
      </w:r>
      <w:r>
        <w:rPr>
          <w:lang w:val="ru-RU"/>
        </w:rPr>
        <w:t>110,1</w:t>
      </w:r>
      <w:r>
        <w:t xml:space="preserve"> млн. лв., а отчетеният нетен прираст на държавния резерв е </w:t>
      </w:r>
      <w:r>
        <w:rPr>
          <w:lang w:val="ru-RU"/>
        </w:rPr>
        <w:t>18,1</w:t>
      </w:r>
      <w:r>
        <w:t xml:space="preserve"> млн. лв.</w:t>
      </w:r>
    </w:p>
    <w:p w:rsidR="00392639" w:rsidRDefault="00392639" w:rsidP="006E5AE0">
      <w:pPr>
        <w:tabs>
          <w:tab w:val="left" w:pos="0"/>
        </w:tabs>
        <w:spacing w:after="120"/>
        <w:ind w:firstLine="540"/>
        <w:jc w:val="both"/>
        <w:rPr>
          <w:lang w:val="en-US"/>
        </w:rPr>
      </w:pPr>
    </w:p>
    <w:p w:rsidR="00392639" w:rsidRDefault="00392639" w:rsidP="006E5AE0">
      <w:pPr>
        <w:tabs>
          <w:tab w:val="left" w:pos="0"/>
        </w:tabs>
        <w:spacing w:after="120"/>
        <w:ind w:firstLine="540"/>
        <w:jc w:val="both"/>
        <w:rPr>
          <w:lang w:val="en-US"/>
        </w:rPr>
      </w:pPr>
    </w:p>
    <w:p w:rsidR="00392639" w:rsidRPr="00392639" w:rsidRDefault="00392639" w:rsidP="006E5AE0">
      <w:pPr>
        <w:tabs>
          <w:tab w:val="left" w:pos="0"/>
        </w:tabs>
        <w:spacing w:after="120"/>
        <w:ind w:firstLine="540"/>
        <w:jc w:val="both"/>
        <w:rPr>
          <w:lang w:val="en-US"/>
        </w:rPr>
      </w:pPr>
    </w:p>
    <w:p w:rsidR="006E5AE0" w:rsidRDefault="006E5AE0" w:rsidP="00A957DB">
      <w:pPr>
        <w:ind w:firstLine="539"/>
        <w:rPr>
          <w:b/>
          <w:i/>
          <w:lang w:val="ru-RU"/>
        </w:rPr>
      </w:pPr>
      <w:r>
        <w:rPr>
          <w:b/>
        </w:rPr>
        <w:t xml:space="preserve">Група В: </w:t>
      </w:r>
      <w:r>
        <w:rPr>
          <w:b/>
          <w:i/>
        </w:rPr>
        <w:t>„Наука”</w:t>
      </w:r>
    </w:p>
    <w:p w:rsidR="006E5AE0" w:rsidRDefault="006E5AE0" w:rsidP="00A957DB">
      <w:pPr>
        <w:ind w:firstLine="539"/>
        <w:jc w:val="both"/>
        <w:rPr>
          <w:bCs/>
        </w:rPr>
      </w:pPr>
      <w:r>
        <w:rPr>
          <w:bCs/>
        </w:rPr>
        <w:t>Група „Наука” включва разходите за финансиране на науката и научните изследвания. С финансирането на тези дейности държавата има за цел развитието на българската наука в съответствие с националните интереси и общочовешките ценности.</w:t>
      </w:r>
    </w:p>
    <w:p w:rsidR="006E5AE0" w:rsidRDefault="006E5AE0" w:rsidP="00A957DB">
      <w:pPr>
        <w:ind w:firstLine="540"/>
        <w:jc w:val="both"/>
        <w:rPr>
          <w:bCs/>
        </w:rPr>
      </w:pPr>
      <w:r>
        <w:t>Общата сума на изразходваните средства по тази група за 2015 г. е 191,</w:t>
      </w:r>
      <w:r w:rsidR="00221C61">
        <w:t xml:space="preserve">9 </w:t>
      </w:r>
      <w:r>
        <w:t xml:space="preserve">млн. лв. </w:t>
      </w:r>
      <w:r>
        <w:rPr>
          <w:bCs/>
        </w:rPr>
        <w:t xml:space="preserve">Със ЗДБРБ за 2015 г. по група „Наука” </w:t>
      </w:r>
      <w:r>
        <w:rPr>
          <w:b/>
        </w:rPr>
        <w:t>за министерствата и ведомствата</w:t>
      </w:r>
      <w:r>
        <w:rPr>
          <w:bCs/>
        </w:rPr>
        <w:t xml:space="preserve"> са предвидени средства в размер на </w:t>
      </w:r>
      <w:r w:rsidR="00C50CF5">
        <w:t>55,7</w:t>
      </w:r>
      <w:r>
        <w:t xml:space="preserve">  </w:t>
      </w:r>
      <w:r>
        <w:rPr>
          <w:bCs/>
        </w:rPr>
        <w:t>млн. лв.</w:t>
      </w:r>
      <w:r w:rsidR="00EE7583">
        <w:rPr>
          <w:bCs/>
          <w:lang w:val="en-US"/>
        </w:rPr>
        <w:t xml:space="preserve"> </w:t>
      </w:r>
      <w:r w:rsidR="00EE7583">
        <w:rPr>
          <w:lang w:val="ru-RU"/>
        </w:rPr>
        <w:t>(</w:t>
      </w:r>
      <w:r w:rsidR="00EE7583">
        <w:t>с резерва за непредвидени и неотложни разходи</w:t>
      </w:r>
      <w:r w:rsidR="00EE7583">
        <w:rPr>
          <w:lang w:val="ru-RU"/>
        </w:rPr>
        <w:t>)</w:t>
      </w:r>
      <w:r>
        <w:rPr>
          <w:bCs/>
        </w:rPr>
        <w:t xml:space="preserve">, като отчетените разходи за годината възлизат на </w:t>
      </w:r>
      <w:r>
        <w:t xml:space="preserve">44,8 </w:t>
      </w:r>
      <w:r>
        <w:rPr>
          <w:bCs/>
        </w:rPr>
        <w:t xml:space="preserve">млн. лв. </w:t>
      </w:r>
    </w:p>
    <w:p w:rsidR="006E5AE0" w:rsidRDefault="006E5AE0" w:rsidP="006E5AE0">
      <w:pPr>
        <w:ind w:firstLine="540"/>
        <w:jc w:val="both"/>
        <w:rPr>
          <w:bCs/>
          <w:lang w:val="ru-RU"/>
        </w:rPr>
      </w:pPr>
      <w:r>
        <w:rPr>
          <w:bCs/>
        </w:rPr>
        <w:t>С отчетените средства са осигурени следните дейности</w:t>
      </w:r>
      <w:r>
        <w:rPr>
          <w:bCs/>
          <w:lang w:val="ru-RU"/>
        </w:rPr>
        <w:t>:</w:t>
      </w:r>
    </w:p>
    <w:p w:rsidR="006E5AE0" w:rsidRDefault="006E5AE0" w:rsidP="00781B85">
      <w:pPr>
        <w:pStyle w:val="ListParagraph"/>
        <w:numPr>
          <w:ilvl w:val="0"/>
          <w:numId w:val="28"/>
        </w:numPr>
        <w:ind w:left="709" w:hanging="142"/>
        <w:jc w:val="both"/>
        <w:rPr>
          <w:bCs/>
          <w:lang w:val="ru-RU"/>
        </w:rPr>
      </w:pPr>
      <w:r>
        <w:rPr>
          <w:bCs/>
        </w:rPr>
        <w:t>осъществяване на националната политика в областта на науката, технологичното развитие и иновациите; разработване и предлагане за утвърждаване на научни програми в съответствие с националните приоритети и приоритетите на Европейския съюз, както и програми и проекти с регионално значение (дирекция „Наука“ към Министерството на образованите и науката);</w:t>
      </w:r>
    </w:p>
    <w:p w:rsidR="006E5AE0" w:rsidRDefault="006E5AE0" w:rsidP="00781B85">
      <w:pPr>
        <w:pStyle w:val="ListParagraph"/>
        <w:numPr>
          <w:ilvl w:val="0"/>
          <w:numId w:val="28"/>
        </w:numPr>
        <w:ind w:left="709" w:hanging="142"/>
        <w:jc w:val="both"/>
        <w:rPr>
          <w:bCs/>
        </w:rPr>
      </w:pPr>
      <w:r>
        <w:rPr>
          <w:bCs/>
        </w:rPr>
        <w:t>научни изследвания, информационно обслужване, приложни и спомагателни дейности в областта на земеделието, животновъдството и хранително-вкусовата промишленост (Селскостопанската академия и Националната служба за съвети в земеделието към Министерството на земеделието и храните);</w:t>
      </w:r>
    </w:p>
    <w:p w:rsidR="006E5AE0" w:rsidRDefault="006E5AE0" w:rsidP="00781B85">
      <w:pPr>
        <w:pStyle w:val="ListParagraph"/>
        <w:numPr>
          <w:ilvl w:val="0"/>
          <w:numId w:val="28"/>
        </w:numPr>
        <w:ind w:left="709" w:hanging="142"/>
        <w:jc w:val="both"/>
        <w:rPr>
          <w:bCs/>
        </w:rPr>
      </w:pPr>
      <w:r>
        <w:rPr>
          <w:bCs/>
        </w:rPr>
        <w:t>конкурсно-проектно финансиране на научните изследвания (Фонд „Научни изследвания” към Министерството на образованието и науката);</w:t>
      </w:r>
    </w:p>
    <w:p w:rsidR="006E5AE0" w:rsidRDefault="006E5AE0" w:rsidP="00781B85">
      <w:pPr>
        <w:pStyle w:val="ListParagraph"/>
        <w:numPr>
          <w:ilvl w:val="0"/>
          <w:numId w:val="28"/>
        </w:numPr>
        <w:ind w:left="709" w:hanging="142"/>
        <w:jc w:val="both"/>
        <w:rPr>
          <w:bCs/>
        </w:rPr>
      </w:pPr>
      <w:r>
        <w:rPr>
          <w:bCs/>
        </w:rPr>
        <w:t xml:space="preserve">участие на България в Европейската организация за ядрени изследвания (ЦЕРН) и в Международния център за научна и техническа информация </w:t>
      </w:r>
      <w:r>
        <w:rPr>
          <w:bCs/>
          <w:lang w:val="en-US"/>
        </w:rPr>
        <w:t>(</w:t>
      </w:r>
      <w:r>
        <w:rPr>
          <w:bCs/>
        </w:rPr>
        <w:t>МОН</w:t>
      </w:r>
      <w:r>
        <w:rPr>
          <w:bCs/>
          <w:lang w:val="en-US"/>
        </w:rPr>
        <w:t>)</w:t>
      </w:r>
      <w:r>
        <w:rPr>
          <w:bCs/>
        </w:rPr>
        <w:t>;</w:t>
      </w:r>
    </w:p>
    <w:p w:rsidR="006E5AE0" w:rsidRDefault="006E5AE0" w:rsidP="00781B85">
      <w:pPr>
        <w:pStyle w:val="ListParagraph"/>
        <w:numPr>
          <w:ilvl w:val="0"/>
          <w:numId w:val="28"/>
        </w:numPr>
        <w:spacing w:after="120"/>
        <w:ind w:left="709" w:hanging="142"/>
        <w:jc w:val="both"/>
        <w:rPr>
          <w:bCs/>
        </w:rPr>
      </w:pPr>
      <w:r>
        <w:rPr>
          <w:bCs/>
        </w:rPr>
        <w:t>събиране, обработка и съхранение на научно-техническа информация и документация (Национален център за информация и документация към МОН).</w:t>
      </w:r>
    </w:p>
    <w:p w:rsidR="006E5AE0" w:rsidRDefault="006E5AE0" w:rsidP="006E5AE0">
      <w:pPr>
        <w:spacing w:after="120"/>
        <w:ind w:firstLine="720"/>
        <w:jc w:val="both"/>
        <w:rPr>
          <w:snapToGrid w:val="0"/>
          <w:lang w:val="en-US"/>
        </w:rPr>
      </w:pPr>
      <w:r>
        <w:t xml:space="preserve">Основна част от извършените разходи през 2015 г. </w:t>
      </w:r>
      <w:r>
        <w:rPr>
          <w:b/>
        </w:rPr>
        <w:t>по бюджета на БАН</w:t>
      </w:r>
      <w:r>
        <w:t xml:space="preserve"> са свързани с осигуряването на дейността на поделенията в системата на БАН. Разходите за </w:t>
      </w:r>
      <w:r>
        <w:rPr>
          <w:bCs/>
        </w:rPr>
        <w:t xml:space="preserve">група „Наука” </w:t>
      </w:r>
      <w:r>
        <w:t xml:space="preserve">са в размер на 108,6 млн. лв. Отчетените разходи в групата са </w:t>
      </w:r>
      <w:r>
        <w:rPr>
          <w:snapToGrid w:val="0"/>
        </w:rPr>
        <w:t xml:space="preserve">с 1,3 млн. лв. (1,2 %) по-малко спрямо предходната година. </w:t>
      </w:r>
    </w:p>
    <w:p w:rsidR="00392639" w:rsidRPr="00392639" w:rsidRDefault="00392639" w:rsidP="006E5AE0">
      <w:pPr>
        <w:spacing w:after="120"/>
        <w:ind w:firstLine="720"/>
        <w:jc w:val="both"/>
        <w:rPr>
          <w:snapToGrid w:val="0"/>
          <w:lang w:val="en-US"/>
        </w:rPr>
      </w:pPr>
    </w:p>
    <w:p w:rsidR="006E5AE0" w:rsidRDefault="006E5AE0" w:rsidP="006E5AE0">
      <w:pPr>
        <w:ind w:firstLine="539"/>
        <w:jc w:val="both"/>
        <w:rPr>
          <w:color w:val="0070C0"/>
          <w:sz w:val="14"/>
          <w:szCs w:val="14"/>
        </w:rPr>
      </w:pPr>
    </w:p>
    <w:p w:rsidR="006E5AE0" w:rsidRDefault="006E5AE0" w:rsidP="00781B85">
      <w:pPr>
        <w:pStyle w:val="Heading3"/>
        <w:numPr>
          <w:ilvl w:val="2"/>
          <w:numId w:val="15"/>
        </w:numPr>
        <w:spacing w:before="0" w:after="120"/>
        <w:rPr>
          <w:rFonts w:ascii="Times New Roman" w:hAnsi="Times New Roman"/>
          <w:sz w:val="24"/>
          <w:lang w:val="en-US"/>
        </w:rPr>
      </w:pPr>
      <w:bookmarkStart w:id="234" w:name="_Toc326315915"/>
      <w:bookmarkStart w:id="235" w:name="_Toc324863423"/>
      <w:bookmarkStart w:id="236" w:name="_Toc261276587"/>
      <w:bookmarkStart w:id="237" w:name="_Toc462146123"/>
      <w:r>
        <w:rPr>
          <w:rFonts w:ascii="Times New Roman" w:hAnsi="Times New Roman"/>
          <w:sz w:val="24"/>
          <w:lang w:val="bg-BG"/>
        </w:rPr>
        <w:t>Отбрана и сигурност</w:t>
      </w:r>
      <w:bookmarkEnd w:id="234"/>
      <w:bookmarkEnd w:id="235"/>
      <w:bookmarkEnd w:id="236"/>
      <w:bookmarkEnd w:id="237"/>
    </w:p>
    <w:p w:rsidR="006E5AE0" w:rsidRDefault="006E5AE0" w:rsidP="006E5AE0">
      <w:pPr>
        <w:ind w:firstLine="540"/>
        <w:jc w:val="both"/>
        <w:rPr>
          <w:lang w:val="en-US"/>
        </w:rPr>
      </w:pPr>
      <w:r>
        <w:t xml:space="preserve">Разходите по </w:t>
      </w:r>
      <w:r>
        <w:rPr>
          <w:bCs/>
        </w:rPr>
        <w:t>функция „Отбрана и сигурност” по</w:t>
      </w:r>
      <w:r>
        <w:t xml:space="preserve"> консолидираната фискална програма са предназначени за обезпечаване на дейностите по осигуряването на националната сигурност и отбрана, опазването на обществения и правовия ред, поддържането на отбранителния потенциал на страната и за издръжка на съдебната власт и администрацията на затворите. Отчетените разходи за 201</w:t>
      </w:r>
      <w:r>
        <w:rPr>
          <w:lang w:val="en-US"/>
        </w:rPr>
        <w:t>5</w:t>
      </w:r>
      <w:r>
        <w:t xml:space="preserve"> г. за отбрана и сигурност са в размер на </w:t>
      </w:r>
      <w:r>
        <w:rPr>
          <w:lang w:val="ru-RU"/>
        </w:rPr>
        <w:t>3</w:t>
      </w:r>
      <w:r>
        <w:rPr>
          <w:lang w:val="en-US"/>
        </w:rPr>
        <w:t> 306</w:t>
      </w:r>
      <w:r>
        <w:t>,</w:t>
      </w:r>
      <w:r>
        <w:rPr>
          <w:lang w:val="en-US"/>
        </w:rPr>
        <w:t>9</w:t>
      </w:r>
      <w:r>
        <w:t xml:space="preserve"> млн. лв., което представлява </w:t>
      </w:r>
      <w:r>
        <w:rPr>
          <w:lang w:val="ru-RU"/>
        </w:rPr>
        <w:t>3,8</w:t>
      </w:r>
      <w:r>
        <w:t xml:space="preserve"> % от БВП.</w:t>
      </w:r>
    </w:p>
    <w:p w:rsidR="00392639" w:rsidRDefault="00392639" w:rsidP="006E5AE0">
      <w:pPr>
        <w:ind w:firstLine="540"/>
        <w:jc w:val="both"/>
        <w:rPr>
          <w:lang w:val="en-US"/>
        </w:rPr>
      </w:pPr>
    </w:p>
    <w:p w:rsidR="00392639" w:rsidRDefault="00392639" w:rsidP="006E5AE0">
      <w:pPr>
        <w:ind w:firstLine="540"/>
        <w:jc w:val="both"/>
        <w:rPr>
          <w:lang w:val="en-US"/>
        </w:rPr>
      </w:pPr>
    </w:p>
    <w:p w:rsidR="00392639" w:rsidRDefault="00392639" w:rsidP="006E5AE0">
      <w:pPr>
        <w:ind w:firstLine="540"/>
        <w:jc w:val="both"/>
        <w:rPr>
          <w:lang w:val="en-US"/>
        </w:rPr>
      </w:pPr>
    </w:p>
    <w:p w:rsidR="00392639" w:rsidRDefault="00392639" w:rsidP="006E5AE0">
      <w:pPr>
        <w:ind w:firstLine="540"/>
        <w:jc w:val="both"/>
        <w:rPr>
          <w:lang w:val="en-US"/>
        </w:rPr>
      </w:pPr>
    </w:p>
    <w:p w:rsidR="00392639" w:rsidRDefault="00392639" w:rsidP="006E5AE0">
      <w:pPr>
        <w:ind w:firstLine="540"/>
        <w:jc w:val="both"/>
        <w:rPr>
          <w:lang w:val="en-US"/>
        </w:rPr>
      </w:pPr>
    </w:p>
    <w:p w:rsidR="00392639" w:rsidRDefault="00392639" w:rsidP="006E5AE0">
      <w:pPr>
        <w:ind w:firstLine="540"/>
        <w:jc w:val="both"/>
        <w:rPr>
          <w:lang w:val="en-US"/>
        </w:rPr>
      </w:pPr>
    </w:p>
    <w:p w:rsidR="00392639" w:rsidRDefault="00392639" w:rsidP="006E5AE0">
      <w:pPr>
        <w:ind w:firstLine="540"/>
        <w:jc w:val="both"/>
        <w:rPr>
          <w:lang w:val="en-US"/>
        </w:rPr>
      </w:pPr>
    </w:p>
    <w:p w:rsidR="00392639" w:rsidRDefault="00392639" w:rsidP="006E5AE0">
      <w:pPr>
        <w:ind w:firstLine="540"/>
        <w:jc w:val="both"/>
        <w:rPr>
          <w:lang w:val="en-US"/>
        </w:rPr>
      </w:pPr>
    </w:p>
    <w:p w:rsidR="00392639" w:rsidRDefault="00392639" w:rsidP="006E5AE0">
      <w:pPr>
        <w:ind w:firstLine="540"/>
        <w:jc w:val="both"/>
        <w:rPr>
          <w:lang w:val="en-US"/>
        </w:rPr>
      </w:pPr>
    </w:p>
    <w:p w:rsidR="00392639" w:rsidRPr="00392639" w:rsidRDefault="00392639" w:rsidP="006E5AE0">
      <w:pPr>
        <w:ind w:firstLine="540"/>
        <w:jc w:val="both"/>
        <w:rPr>
          <w:lang w:val="en-US"/>
        </w:rPr>
      </w:pPr>
    </w:p>
    <w:p w:rsidR="006E5AE0" w:rsidRDefault="006E5AE0" w:rsidP="006E5AE0">
      <w:pPr>
        <w:ind w:firstLine="8252"/>
        <w:rPr>
          <w:b/>
          <w:sz w:val="18"/>
          <w:szCs w:val="18"/>
        </w:rPr>
      </w:pPr>
      <w:r>
        <w:rPr>
          <w:b/>
          <w:sz w:val="18"/>
          <w:szCs w:val="18"/>
        </w:rPr>
        <w:t>(млн. лв.)</w:t>
      </w:r>
    </w:p>
    <w:tbl>
      <w:tblPr>
        <w:tblW w:w="10080" w:type="dxa"/>
        <w:tblInd w:w="-650" w:type="dxa"/>
        <w:tblLayout w:type="fixed"/>
        <w:tblCellMar>
          <w:left w:w="70" w:type="dxa"/>
          <w:right w:w="70" w:type="dxa"/>
        </w:tblCellMar>
        <w:tblLook w:val="04A0" w:firstRow="1" w:lastRow="0" w:firstColumn="1" w:lastColumn="0" w:noHBand="0" w:noVBand="1"/>
      </w:tblPr>
      <w:tblGrid>
        <w:gridCol w:w="2707"/>
        <w:gridCol w:w="710"/>
        <w:gridCol w:w="709"/>
        <w:gridCol w:w="709"/>
        <w:gridCol w:w="567"/>
        <w:gridCol w:w="567"/>
        <w:gridCol w:w="567"/>
        <w:gridCol w:w="992"/>
        <w:gridCol w:w="851"/>
        <w:gridCol w:w="709"/>
        <w:gridCol w:w="992"/>
      </w:tblGrid>
      <w:tr w:rsidR="006E5AE0" w:rsidTr="005D3807">
        <w:trPr>
          <w:trHeight w:val="615"/>
        </w:trPr>
        <w:tc>
          <w:tcPr>
            <w:tcW w:w="2707" w:type="dxa"/>
            <w:tcBorders>
              <w:top w:val="double" w:sz="6" w:space="0" w:color="800000"/>
              <w:left w:val="double" w:sz="6" w:space="0" w:color="800000"/>
              <w:bottom w:val="nil"/>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ОТЧЕТ 2015 г.</w:t>
            </w:r>
          </w:p>
        </w:tc>
        <w:tc>
          <w:tcPr>
            <w:tcW w:w="710" w:type="dxa"/>
            <w:tcBorders>
              <w:top w:val="double" w:sz="6" w:space="0" w:color="800000"/>
              <w:left w:val="nil"/>
              <w:bottom w:val="nil"/>
              <w:right w:val="single" w:sz="4" w:space="0" w:color="FFFFFF"/>
            </w:tcBorders>
            <w:shd w:val="clear" w:color="auto" w:fill="800000"/>
            <w:noWrap/>
            <w:vAlign w:val="center"/>
            <w:hideMark/>
          </w:tcPr>
          <w:p w:rsidR="006E5AE0" w:rsidRPr="006E5AE0" w:rsidRDefault="006E5AE0">
            <w:pPr>
              <w:jc w:val="center"/>
              <w:rPr>
                <w:b/>
                <w:bCs/>
                <w:color w:val="FFFFFF"/>
                <w:sz w:val="16"/>
                <w:szCs w:val="16"/>
              </w:rPr>
            </w:pPr>
            <w:r w:rsidRPr="006E5AE0">
              <w:rPr>
                <w:b/>
                <w:bCs/>
                <w:color w:val="FFFFFF"/>
                <w:sz w:val="16"/>
                <w:szCs w:val="16"/>
              </w:rPr>
              <w:t>КФП</w:t>
            </w:r>
          </w:p>
        </w:tc>
        <w:tc>
          <w:tcPr>
            <w:tcW w:w="709" w:type="dxa"/>
            <w:tcBorders>
              <w:top w:val="double" w:sz="6" w:space="0" w:color="800000"/>
              <w:left w:val="nil"/>
              <w:bottom w:val="nil"/>
              <w:right w:val="single" w:sz="4" w:space="0" w:color="FFFFFF"/>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ДБ</w:t>
            </w:r>
          </w:p>
        </w:tc>
        <w:tc>
          <w:tcPr>
            <w:tcW w:w="709" w:type="dxa"/>
            <w:tcBorders>
              <w:top w:val="double" w:sz="6" w:space="0" w:color="800000"/>
              <w:left w:val="nil"/>
              <w:bottom w:val="nil"/>
              <w:right w:val="single" w:sz="4" w:space="0" w:color="FFFFFF"/>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Соц. осигу</w:t>
            </w:r>
          </w:p>
          <w:p w:rsidR="006E5AE0" w:rsidRPr="006E5AE0" w:rsidRDefault="006E5AE0">
            <w:pPr>
              <w:jc w:val="center"/>
              <w:rPr>
                <w:b/>
                <w:bCs/>
                <w:color w:val="FFFFFF"/>
                <w:sz w:val="16"/>
                <w:szCs w:val="16"/>
              </w:rPr>
            </w:pPr>
            <w:r w:rsidRPr="006E5AE0">
              <w:rPr>
                <w:b/>
                <w:bCs/>
                <w:color w:val="FFFFFF"/>
                <w:sz w:val="16"/>
                <w:szCs w:val="16"/>
              </w:rPr>
              <w:t>ряване</w:t>
            </w:r>
          </w:p>
        </w:tc>
        <w:tc>
          <w:tcPr>
            <w:tcW w:w="567" w:type="dxa"/>
            <w:tcBorders>
              <w:top w:val="double" w:sz="6" w:space="0" w:color="800000"/>
              <w:left w:val="nil"/>
              <w:bottom w:val="nil"/>
              <w:right w:val="single" w:sz="4" w:space="0" w:color="FFFFFF"/>
            </w:tcBorders>
            <w:shd w:val="clear" w:color="auto" w:fill="800000"/>
            <w:noWrap/>
            <w:vAlign w:val="center"/>
            <w:hideMark/>
          </w:tcPr>
          <w:p w:rsidR="006E5AE0" w:rsidRPr="006E5AE0" w:rsidRDefault="006E5AE0">
            <w:pPr>
              <w:jc w:val="center"/>
              <w:rPr>
                <w:b/>
                <w:bCs/>
                <w:color w:val="FFFFFF"/>
                <w:sz w:val="16"/>
                <w:szCs w:val="16"/>
              </w:rPr>
            </w:pPr>
            <w:r w:rsidRPr="006E5AE0">
              <w:rPr>
                <w:b/>
                <w:bCs/>
                <w:color w:val="FFFFFF"/>
                <w:sz w:val="16"/>
                <w:szCs w:val="16"/>
              </w:rPr>
              <w:t>ДВУ</w:t>
            </w:r>
          </w:p>
        </w:tc>
        <w:tc>
          <w:tcPr>
            <w:tcW w:w="567" w:type="dxa"/>
            <w:tcBorders>
              <w:top w:val="double" w:sz="6" w:space="0" w:color="800000"/>
              <w:left w:val="nil"/>
              <w:bottom w:val="nil"/>
              <w:right w:val="single" w:sz="4" w:space="0" w:color="FFFFFF"/>
            </w:tcBorders>
            <w:shd w:val="clear" w:color="auto" w:fill="800000"/>
            <w:noWrap/>
            <w:vAlign w:val="center"/>
            <w:hideMark/>
          </w:tcPr>
          <w:p w:rsidR="006E5AE0" w:rsidRPr="006E5AE0" w:rsidRDefault="006E5AE0">
            <w:pPr>
              <w:jc w:val="center"/>
              <w:rPr>
                <w:b/>
                <w:bCs/>
                <w:color w:val="FFFFFF"/>
                <w:sz w:val="16"/>
                <w:szCs w:val="16"/>
              </w:rPr>
            </w:pPr>
            <w:r w:rsidRPr="006E5AE0">
              <w:rPr>
                <w:b/>
                <w:bCs/>
                <w:color w:val="FFFFFF"/>
                <w:sz w:val="16"/>
                <w:szCs w:val="16"/>
              </w:rPr>
              <w:t>БАН</w:t>
            </w:r>
          </w:p>
        </w:tc>
        <w:tc>
          <w:tcPr>
            <w:tcW w:w="567" w:type="dxa"/>
            <w:tcBorders>
              <w:top w:val="double" w:sz="6" w:space="0" w:color="800000"/>
              <w:left w:val="nil"/>
              <w:bottom w:val="nil"/>
              <w:right w:val="double" w:sz="6" w:space="0" w:color="800000"/>
            </w:tcBorders>
            <w:shd w:val="clear" w:color="auto" w:fill="800000"/>
          </w:tcPr>
          <w:p w:rsidR="006E5AE0" w:rsidRPr="006E5AE0" w:rsidRDefault="006E5AE0">
            <w:pPr>
              <w:jc w:val="center"/>
              <w:rPr>
                <w:b/>
                <w:bCs/>
                <w:color w:val="FFFFFF"/>
                <w:sz w:val="16"/>
                <w:szCs w:val="16"/>
              </w:rPr>
            </w:pPr>
          </w:p>
          <w:p w:rsidR="006E5AE0" w:rsidRPr="006E5AE0" w:rsidRDefault="006E5AE0">
            <w:pPr>
              <w:jc w:val="center"/>
              <w:rPr>
                <w:b/>
                <w:bCs/>
                <w:color w:val="FFFFFF"/>
                <w:sz w:val="4"/>
                <w:szCs w:val="16"/>
              </w:rPr>
            </w:pPr>
          </w:p>
          <w:p w:rsidR="006E5AE0" w:rsidRPr="006E5AE0" w:rsidRDefault="006E5AE0">
            <w:pPr>
              <w:jc w:val="center"/>
              <w:rPr>
                <w:b/>
                <w:bCs/>
                <w:color w:val="FFFFFF"/>
                <w:sz w:val="16"/>
                <w:szCs w:val="16"/>
              </w:rPr>
            </w:pPr>
            <w:r w:rsidRPr="006E5AE0">
              <w:rPr>
                <w:b/>
                <w:bCs/>
                <w:color w:val="FFFFFF"/>
                <w:sz w:val="16"/>
                <w:szCs w:val="16"/>
              </w:rPr>
              <w:t>БНР</w:t>
            </w:r>
          </w:p>
        </w:tc>
        <w:tc>
          <w:tcPr>
            <w:tcW w:w="992" w:type="dxa"/>
            <w:tcBorders>
              <w:top w:val="double" w:sz="6" w:space="0" w:color="800000"/>
              <w:left w:val="double" w:sz="6" w:space="0" w:color="800000"/>
              <w:bottom w:val="nil"/>
              <w:right w:val="double" w:sz="6" w:space="0" w:color="800000"/>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БНТ</w:t>
            </w:r>
          </w:p>
        </w:tc>
        <w:tc>
          <w:tcPr>
            <w:tcW w:w="851" w:type="dxa"/>
            <w:tcBorders>
              <w:top w:val="double" w:sz="6" w:space="0" w:color="800000"/>
              <w:left w:val="double" w:sz="6" w:space="0" w:color="800000"/>
              <w:bottom w:val="nil"/>
              <w:right w:val="single" w:sz="4" w:space="0" w:color="FFFFFF"/>
            </w:tcBorders>
            <w:shd w:val="clear" w:color="auto" w:fill="800000"/>
            <w:noWrap/>
            <w:vAlign w:val="center"/>
            <w:hideMark/>
          </w:tcPr>
          <w:p w:rsidR="006E5AE0" w:rsidRPr="006E5AE0" w:rsidRDefault="006E5AE0">
            <w:pPr>
              <w:jc w:val="center"/>
              <w:rPr>
                <w:b/>
                <w:bCs/>
                <w:color w:val="FFFFFF"/>
                <w:sz w:val="16"/>
                <w:szCs w:val="16"/>
              </w:rPr>
            </w:pPr>
            <w:r w:rsidRPr="006E5AE0">
              <w:rPr>
                <w:b/>
                <w:bCs/>
                <w:color w:val="FFFFFF"/>
                <w:sz w:val="16"/>
                <w:szCs w:val="16"/>
              </w:rPr>
              <w:t>Общи -</w:t>
            </w:r>
          </w:p>
          <w:p w:rsidR="006E5AE0" w:rsidRPr="006E5AE0" w:rsidRDefault="006E5AE0">
            <w:pPr>
              <w:jc w:val="center"/>
              <w:rPr>
                <w:b/>
                <w:bCs/>
                <w:color w:val="FFFFFF"/>
                <w:sz w:val="16"/>
                <w:szCs w:val="16"/>
              </w:rPr>
            </w:pPr>
            <w:r w:rsidRPr="006E5AE0">
              <w:rPr>
                <w:b/>
                <w:bCs/>
                <w:color w:val="FFFFFF"/>
                <w:sz w:val="16"/>
                <w:szCs w:val="16"/>
              </w:rPr>
              <w:t>ни</w:t>
            </w:r>
          </w:p>
        </w:tc>
        <w:tc>
          <w:tcPr>
            <w:tcW w:w="709" w:type="dxa"/>
            <w:tcBorders>
              <w:top w:val="double" w:sz="6" w:space="0" w:color="800000"/>
              <w:left w:val="nil"/>
              <w:bottom w:val="nil"/>
              <w:right w:val="double" w:sz="6" w:space="0" w:color="800000"/>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ДМП</w:t>
            </w:r>
          </w:p>
        </w:tc>
        <w:tc>
          <w:tcPr>
            <w:tcW w:w="992" w:type="dxa"/>
            <w:tcBorders>
              <w:top w:val="double" w:sz="2" w:space="0" w:color="800000"/>
              <w:left w:val="single" w:sz="4" w:space="0" w:color="FFFFFF"/>
              <w:bottom w:val="single" w:sz="4" w:space="0" w:color="FFFFFF"/>
              <w:right w:val="double" w:sz="2" w:space="0" w:color="800000"/>
            </w:tcBorders>
            <w:shd w:val="clear" w:color="auto" w:fill="800000"/>
            <w:vAlign w:val="center"/>
            <w:hideMark/>
          </w:tcPr>
          <w:p w:rsidR="006E5AE0" w:rsidRPr="006E5AE0" w:rsidRDefault="006E5AE0">
            <w:pPr>
              <w:jc w:val="center"/>
              <w:rPr>
                <w:b/>
                <w:bCs/>
                <w:color w:val="FFFFFF"/>
                <w:sz w:val="14"/>
                <w:szCs w:val="14"/>
              </w:rPr>
            </w:pPr>
            <w:r w:rsidRPr="006E5AE0">
              <w:rPr>
                <w:b/>
                <w:bCs/>
                <w:color w:val="FFFFFF"/>
                <w:sz w:val="14"/>
                <w:szCs w:val="14"/>
              </w:rPr>
              <w:t xml:space="preserve">Европ. </w:t>
            </w:r>
          </w:p>
          <w:p w:rsidR="006E5AE0" w:rsidRPr="006E5AE0" w:rsidRDefault="006E5AE0">
            <w:pPr>
              <w:jc w:val="center"/>
              <w:rPr>
                <w:b/>
                <w:bCs/>
                <w:color w:val="FFFFFF"/>
                <w:sz w:val="16"/>
                <w:szCs w:val="16"/>
                <w:highlight w:val="yellow"/>
              </w:rPr>
            </w:pPr>
            <w:r w:rsidRPr="006E5AE0">
              <w:rPr>
                <w:b/>
                <w:bCs/>
                <w:color w:val="FFFFFF"/>
                <w:sz w:val="14"/>
                <w:szCs w:val="14"/>
              </w:rPr>
              <w:t>ср-ва</w:t>
            </w:r>
            <w:r w:rsidRPr="006E5AE0">
              <w:rPr>
                <w:b/>
                <w:bCs/>
                <w:color w:val="FFFFFF"/>
                <w:sz w:val="14"/>
                <w:szCs w:val="14"/>
                <w:highlight w:val="yellow"/>
              </w:rPr>
              <w:t xml:space="preserve"> </w:t>
            </w:r>
          </w:p>
        </w:tc>
      </w:tr>
      <w:tr w:rsidR="006E5AE0"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b/>
                <w:bCs/>
                <w:sz w:val="18"/>
                <w:szCs w:val="18"/>
              </w:rPr>
            </w:pPr>
            <w:r>
              <w:rPr>
                <w:b/>
                <w:bCs/>
                <w:sz w:val="18"/>
                <w:szCs w:val="18"/>
              </w:rPr>
              <w:t>II. ОТБРАНА И СИГУРНОСТ</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3 306,9</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3 013,7</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0,0</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0,0</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0,1</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b/>
                <w:bCs/>
                <w:sz w:val="18"/>
                <w:szCs w:val="18"/>
              </w:rPr>
            </w:pPr>
            <w:r>
              <w:rPr>
                <w:b/>
                <w:bCs/>
                <w:sz w:val="18"/>
                <w:szCs w:val="18"/>
              </w:rPr>
              <w:t>0,1</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0,0</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119,9</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39,4</w:t>
            </w:r>
          </w:p>
        </w:tc>
        <w:tc>
          <w:tcPr>
            <w:tcW w:w="992" w:type="dxa"/>
            <w:tcBorders>
              <w:top w:val="single" w:sz="4" w:space="0" w:color="FFFFFF"/>
              <w:left w:val="nil"/>
              <w:bottom w:val="nil"/>
              <w:right w:val="double" w:sz="6" w:space="0" w:color="800000"/>
            </w:tcBorders>
            <w:shd w:val="clear" w:color="auto" w:fill="FFFFCC"/>
            <w:noWrap/>
            <w:vAlign w:val="bottom"/>
            <w:hideMark/>
          </w:tcPr>
          <w:p w:rsidR="006E5AE0" w:rsidRDefault="006E5AE0">
            <w:pPr>
              <w:jc w:val="right"/>
              <w:rPr>
                <w:b/>
                <w:bCs/>
                <w:sz w:val="18"/>
                <w:szCs w:val="18"/>
              </w:rPr>
            </w:pPr>
            <w:r>
              <w:rPr>
                <w:b/>
                <w:bCs/>
                <w:sz w:val="18"/>
                <w:szCs w:val="18"/>
              </w:rPr>
              <w:t>133,7</w:t>
            </w:r>
          </w:p>
        </w:tc>
      </w:tr>
      <w:tr w:rsidR="006E5AE0"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b/>
                <w:bCs/>
                <w:sz w:val="18"/>
                <w:szCs w:val="18"/>
              </w:rPr>
            </w:pPr>
            <w:r>
              <w:rPr>
                <w:b/>
                <w:bCs/>
                <w:sz w:val="18"/>
                <w:szCs w:val="18"/>
              </w:rPr>
              <w:t xml:space="preserve">А. ОТБРАНА </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954,9</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924,3</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0,0</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b/>
                <w:bCs/>
                <w:sz w:val="18"/>
                <w:szCs w:val="18"/>
              </w:rPr>
            </w:pPr>
            <w:r>
              <w:rPr>
                <w:b/>
                <w:bCs/>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0,0</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0,1</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28,4</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b/>
                <w:bCs/>
                <w:sz w:val="18"/>
                <w:szCs w:val="18"/>
              </w:rPr>
            </w:pPr>
            <w:r>
              <w:rPr>
                <w:b/>
                <w:bCs/>
                <w:sz w:val="18"/>
                <w:szCs w:val="18"/>
              </w:rPr>
              <w:t>2,0</w:t>
            </w:r>
          </w:p>
        </w:tc>
      </w:tr>
      <w:tr w:rsidR="006E5AE0" w:rsidTr="005D3807">
        <w:trPr>
          <w:trHeight w:val="102"/>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sz w:val="18"/>
                <w:szCs w:val="18"/>
              </w:rPr>
            </w:pPr>
            <w:r>
              <w:rPr>
                <w:sz w:val="18"/>
                <w:szCs w:val="18"/>
              </w:rPr>
              <w:t xml:space="preserve">    Текущи нелихвени разходи</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859,6</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858,0</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0,0</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sz w:val="18"/>
                <w:szCs w:val="18"/>
              </w:rPr>
            </w:pPr>
            <w:r>
              <w:rPr>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0,0</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0,1</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0,1</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sz w:val="18"/>
                <w:szCs w:val="18"/>
              </w:rPr>
            </w:pPr>
            <w:r>
              <w:rPr>
                <w:sz w:val="18"/>
                <w:szCs w:val="18"/>
              </w:rPr>
              <w:t>1,4</w:t>
            </w:r>
          </w:p>
        </w:tc>
      </w:tr>
      <w:tr w:rsidR="006E5AE0" w:rsidTr="005D3807">
        <w:trPr>
          <w:trHeight w:val="80"/>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sz w:val="18"/>
                <w:szCs w:val="18"/>
              </w:rPr>
            </w:pPr>
            <w:r>
              <w:rPr>
                <w:sz w:val="18"/>
                <w:szCs w:val="18"/>
              </w:rPr>
              <w:t xml:space="preserve">    Капиталови разходи</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95,2</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66,3</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sz w:val="18"/>
                <w:szCs w:val="18"/>
              </w:rPr>
            </w:pPr>
            <w:r>
              <w:rPr>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28,3</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sz w:val="18"/>
                <w:szCs w:val="18"/>
              </w:rPr>
            </w:pPr>
            <w:r>
              <w:rPr>
                <w:sz w:val="18"/>
                <w:szCs w:val="18"/>
              </w:rPr>
              <w:t>0,7</w:t>
            </w:r>
          </w:p>
        </w:tc>
      </w:tr>
      <w:tr w:rsidR="006E5AE0"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b/>
                <w:bCs/>
                <w:sz w:val="18"/>
                <w:szCs w:val="18"/>
              </w:rPr>
            </w:pPr>
            <w:r>
              <w:rPr>
                <w:b/>
                <w:bCs/>
                <w:sz w:val="18"/>
                <w:szCs w:val="18"/>
              </w:rPr>
              <w:t>Б. ПОЛИЦИЯ, ВЪТРЕШЕН РЕД И СИГУРНОСТ</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1 531,8</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1 396,2</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b/>
                <w:bCs/>
                <w:sz w:val="18"/>
                <w:szCs w:val="18"/>
              </w:rPr>
            </w:pPr>
            <w:r>
              <w:rPr>
                <w:b/>
                <w:bCs/>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20,2</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1,3</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b/>
                <w:bCs/>
                <w:sz w:val="18"/>
                <w:szCs w:val="18"/>
              </w:rPr>
            </w:pPr>
            <w:r>
              <w:rPr>
                <w:b/>
                <w:bCs/>
                <w:sz w:val="18"/>
                <w:szCs w:val="18"/>
              </w:rPr>
              <w:t>114,1</w:t>
            </w:r>
          </w:p>
        </w:tc>
      </w:tr>
      <w:tr w:rsidR="006E5AE0" w:rsidTr="005D3807">
        <w:trPr>
          <w:trHeight w:val="148"/>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sz w:val="18"/>
                <w:szCs w:val="18"/>
              </w:rPr>
            </w:pPr>
            <w:r>
              <w:rPr>
                <w:sz w:val="18"/>
                <w:szCs w:val="18"/>
              </w:rPr>
              <w:t xml:space="preserve">    Текущи нелихвени разходи</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1 409,5</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1 376,6</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sz w:val="18"/>
                <w:szCs w:val="18"/>
              </w:rPr>
            </w:pPr>
            <w:r>
              <w:rPr>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17,8</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0,9</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sz w:val="18"/>
                <w:szCs w:val="18"/>
              </w:rPr>
            </w:pPr>
            <w:r>
              <w:rPr>
                <w:sz w:val="18"/>
                <w:szCs w:val="18"/>
              </w:rPr>
              <w:t>14,3</w:t>
            </w:r>
          </w:p>
        </w:tc>
      </w:tr>
      <w:tr w:rsidR="006E5AE0" w:rsidTr="005D3807">
        <w:trPr>
          <w:trHeight w:val="80"/>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sz w:val="18"/>
                <w:szCs w:val="18"/>
              </w:rPr>
            </w:pPr>
            <w:r>
              <w:rPr>
                <w:sz w:val="18"/>
                <w:szCs w:val="18"/>
              </w:rPr>
              <w:t xml:space="preserve">    Капиталови разходи</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122,3</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19,6</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sz w:val="18"/>
                <w:szCs w:val="18"/>
              </w:rPr>
            </w:pPr>
            <w:r>
              <w:rPr>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2,4</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0,5</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sz w:val="18"/>
                <w:szCs w:val="18"/>
              </w:rPr>
            </w:pPr>
            <w:r>
              <w:rPr>
                <w:sz w:val="18"/>
                <w:szCs w:val="18"/>
              </w:rPr>
              <w:t>99,8</w:t>
            </w:r>
          </w:p>
        </w:tc>
      </w:tr>
      <w:tr w:rsidR="006E5AE0" w:rsidTr="005D3807">
        <w:trPr>
          <w:trHeight w:val="102"/>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b/>
                <w:bCs/>
                <w:sz w:val="18"/>
                <w:szCs w:val="18"/>
              </w:rPr>
            </w:pPr>
            <w:r>
              <w:rPr>
                <w:b/>
                <w:bCs/>
                <w:sz w:val="18"/>
                <w:szCs w:val="18"/>
              </w:rPr>
              <w:t>В. СЪДЕБНА ВЛАСТ</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552,4</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543,7</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b/>
                <w:bCs/>
                <w:sz w:val="18"/>
                <w:szCs w:val="18"/>
              </w:rPr>
            </w:pPr>
            <w:r>
              <w:rPr>
                <w:b/>
                <w:bCs/>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1,7</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b/>
                <w:bCs/>
                <w:sz w:val="18"/>
                <w:szCs w:val="18"/>
              </w:rPr>
            </w:pPr>
            <w:r>
              <w:rPr>
                <w:b/>
                <w:bCs/>
                <w:sz w:val="18"/>
                <w:szCs w:val="18"/>
              </w:rPr>
              <w:t>7,0</w:t>
            </w:r>
          </w:p>
        </w:tc>
      </w:tr>
      <w:tr w:rsidR="006E5AE0" w:rsidTr="005D3807">
        <w:trPr>
          <w:trHeight w:val="80"/>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sz w:val="18"/>
                <w:szCs w:val="18"/>
              </w:rPr>
            </w:pPr>
            <w:r>
              <w:rPr>
                <w:sz w:val="18"/>
                <w:szCs w:val="18"/>
              </w:rPr>
              <w:t xml:space="preserve">    Текущи нелихвени разходи</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526,6</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520,0</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sz w:val="18"/>
                <w:szCs w:val="18"/>
              </w:rPr>
            </w:pPr>
            <w:r>
              <w:rPr>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1,4</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sz w:val="18"/>
                <w:szCs w:val="18"/>
              </w:rPr>
            </w:pPr>
            <w:r>
              <w:rPr>
                <w:sz w:val="18"/>
                <w:szCs w:val="18"/>
              </w:rPr>
              <w:t>5,2</w:t>
            </w:r>
          </w:p>
        </w:tc>
      </w:tr>
      <w:tr w:rsidR="006E5AE0"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sz w:val="18"/>
                <w:szCs w:val="18"/>
              </w:rPr>
            </w:pPr>
            <w:r>
              <w:rPr>
                <w:sz w:val="18"/>
                <w:szCs w:val="18"/>
              </w:rPr>
              <w:t xml:space="preserve">    Капиталови разходи</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25,8</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23,7</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sz w:val="18"/>
                <w:szCs w:val="18"/>
              </w:rPr>
            </w:pPr>
            <w:r>
              <w:rPr>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0,3</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sz w:val="18"/>
                <w:szCs w:val="18"/>
              </w:rPr>
            </w:pPr>
            <w:r>
              <w:rPr>
                <w:sz w:val="18"/>
                <w:szCs w:val="18"/>
              </w:rPr>
              <w:t>1,8</w:t>
            </w:r>
          </w:p>
        </w:tc>
      </w:tr>
      <w:tr w:rsidR="006E5AE0"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b/>
                <w:bCs/>
                <w:sz w:val="18"/>
                <w:szCs w:val="18"/>
              </w:rPr>
            </w:pPr>
            <w:r>
              <w:rPr>
                <w:b/>
                <w:bCs/>
                <w:sz w:val="18"/>
                <w:szCs w:val="18"/>
              </w:rPr>
              <w:t>Г. АДМИНИСТРАЦИЯ НА ЗАТВОРИТЕ</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137,1</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129,1</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b/>
                <w:bCs/>
                <w:sz w:val="18"/>
                <w:szCs w:val="18"/>
              </w:rPr>
            </w:pPr>
            <w:r>
              <w:rPr>
                <w:b/>
                <w:bCs/>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b/>
                <w:bCs/>
                <w:sz w:val="18"/>
                <w:szCs w:val="18"/>
              </w:rPr>
            </w:pPr>
            <w:r>
              <w:rPr>
                <w:b/>
                <w:bCs/>
                <w:sz w:val="18"/>
                <w:szCs w:val="18"/>
              </w:rPr>
              <w:t> </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b/>
                <w:bCs/>
                <w:sz w:val="18"/>
                <w:szCs w:val="18"/>
              </w:rPr>
            </w:pPr>
            <w:r>
              <w:rPr>
                <w:b/>
                <w:bCs/>
                <w:sz w:val="18"/>
                <w:szCs w:val="18"/>
              </w:rPr>
              <w:t>8,0</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sz w:val="18"/>
                <w:szCs w:val="18"/>
              </w:rPr>
            </w:pPr>
            <w:r>
              <w:rPr>
                <w:sz w:val="18"/>
                <w:szCs w:val="18"/>
              </w:rPr>
              <w:t>0,1</w:t>
            </w:r>
          </w:p>
        </w:tc>
      </w:tr>
      <w:tr w:rsidR="006E5AE0"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sz w:val="18"/>
                <w:szCs w:val="18"/>
              </w:rPr>
            </w:pPr>
            <w:r>
              <w:rPr>
                <w:sz w:val="18"/>
                <w:szCs w:val="18"/>
              </w:rPr>
              <w:t xml:space="preserve">    Текущи нелихвени разходи</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128,9</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127,5</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sz w:val="18"/>
                <w:szCs w:val="18"/>
              </w:rPr>
            </w:pPr>
            <w:r>
              <w:rPr>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1,4</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sz w:val="18"/>
                <w:szCs w:val="18"/>
              </w:rPr>
            </w:pPr>
            <w:r>
              <w:rPr>
                <w:sz w:val="18"/>
                <w:szCs w:val="18"/>
              </w:rPr>
              <w:t>0,1</w:t>
            </w:r>
          </w:p>
        </w:tc>
      </w:tr>
      <w:tr w:rsidR="006E5AE0"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6E5AE0" w:rsidRDefault="006E5AE0">
            <w:pPr>
              <w:rPr>
                <w:sz w:val="18"/>
                <w:szCs w:val="18"/>
              </w:rPr>
            </w:pPr>
            <w:r>
              <w:rPr>
                <w:sz w:val="18"/>
                <w:szCs w:val="18"/>
              </w:rPr>
              <w:t xml:space="preserve">    Капиталови разходи</w:t>
            </w:r>
          </w:p>
        </w:tc>
        <w:tc>
          <w:tcPr>
            <w:tcW w:w="710"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8,2</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1,6</w:t>
            </w:r>
          </w:p>
        </w:tc>
        <w:tc>
          <w:tcPr>
            <w:tcW w:w="709"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567" w:type="dxa"/>
            <w:tcBorders>
              <w:top w:val="nil"/>
              <w:left w:val="nil"/>
              <w:bottom w:val="nil"/>
              <w:right w:val="single" w:sz="4" w:space="0" w:color="993300"/>
            </w:tcBorders>
            <w:shd w:val="clear" w:color="auto" w:fill="FFFFCC"/>
            <w:vAlign w:val="bottom"/>
            <w:hideMark/>
          </w:tcPr>
          <w:p w:rsidR="006E5AE0" w:rsidRDefault="006E5AE0">
            <w:pPr>
              <w:jc w:val="right"/>
              <w:rPr>
                <w:sz w:val="18"/>
                <w:szCs w:val="18"/>
              </w:rPr>
            </w:pPr>
            <w:r>
              <w:rPr>
                <w:sz w:val="18"/>
                <w:szCs w:val="18"/>
              </w:rPr>
              <w:t> </w:t>
            </w:r>
          </w:p>
        </w:tc>
        <w:tc>
          <w:tcPr>
            <w:tcW w:w="992" w:type="dxa"/>
            <w:tcBorders>
              <w:top w:val="nil"/>
              <w:left w:val="single" w:sz="4" w:space="0" w:color="993300"/>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6E5AE0" w:rsidRDefault="006E5AE0">
            <w:pPr>
              <w:jc w:val="right"/>
              <w:rPr>
                <w:sz w:val="18"/>
                <w:szCs w:val="18"/>
              </w:rPr>
            </w:pPr>
            <w:r>
              <w:rPr>
                <w:sz w:val="18"/>
                <w:szCs w:val="18"/>
              </w:rPr>
              <w:t> </w:t>
            </w:r>
          </w:p>
        </w:tc>
        <w:tc>
          <w:tcPr>
            <w:tcW w:w="709" w:type="dxa"/>
            <w:tcBorders>
              <w:top w:val="nil"/>
              <w:left w:val="nil"/>
              <w:bottom w:val="nil"/>
              <w:right w:val="single" w:sz="4" w:space="0" w:color="800000"/>
            </w:tcBorders>
            <w:shd w:val="clear" w:color="auto" w:fill="FFFFCC"/>
            <w:vAlign w:val="bottom"/>
            <w:hideMark/>
          </w:tcPr>
          <w:p w:rsidR="006E5AE0" w:rsidRDefault="006E5AE0">
            <w:pPr>
              <w:jc w:val="right"/>
              <w:rPr>
                <w:sz w:val="18"/>
                <w:szCs w:val="18"/>
              </w:rPr>
            </w:pPr>
            <w:r>
              <w:rPr>
                <w:sz w:val="18"/>
                <w:szCs w:val="18"/>
              </w:rPr>
              <w:t>6,6</w:t>
            </w:r>
          </w:p>
        </w:tc>
        <w:tc>
          <w:tcPr>
            <w:tcW w:w="992" w:type="dxa"/>
            <w:tcBorders>
              <w:top w:val="nil"/>
              <w:left w:val="nil"/>
              <w:bottom w:val="nil"/>
              <w:right w:val="double" w:sz="6" w:space="0" w:color="800000"/>
            </w:tcBorders>
            <w:shd w:val="clear" w:color="auto" w:fill="FFFFCC"/>
            <w:noWrap/>
            <w:vAlign w:val="bottom"/>
            <w:hideMark/>
          </w:tcPr>
          <w:p w:rsidR="006E5AE0" w:rsidRDefault="006E5AE0">
            <w:pPr>
              <w:jc w:val="right"/>
              <w:rPr>
                <w:sz w:val="18"/>
                <w:szCs w:val="18"/>
              </w:rPr>
            </w:pPr>
            <w:r>
              <w:rPr>
                <w:sz w:val="18"/>
                <w:szCs w:val="18"/>
              </w:rPr>
              <w:t> </w:t>
            </w:r>
          </w:p>
        </w:tc>
      </w:tr>
      <w:tr w:rsidR="00232A6C"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232A6C" w:rsidRDefault="00232A6C">
            <w:pPr>
              <w:rPr>
                <w:b/>
                <w:bCs/>
                <w:sz w:val="18"/>
                <w:szCs w:val="18"/>
              </w:rPr>
            </w:pPr>
            <w:r>
              <w:rPr>
                <w:b/>
                <w:bCs/>
                <w:sz w:val="18"/>
                <w:szCs w:val="18"/>
              </w:rPr>
              <w:t>Д. ЗАЩИТА НА НАСЕЛЕНИЕТО , УПРАВЛЕНИЕ И ДЕЙНОСТИ ПРИ СТИХИЙНИ БЕДСТВИЯ И АВАРИИ</w:t>
            </w:r>
          </w:p>
        </w:tc>
        <w:tc>
          <w:tcPr>
            <w:tcW w:w="710" w:type="dxa"/>
            <w:tcBorders>
              <w:top w:val="nil"/>
              <w:left w:val="nil"/>
              <w:bottom w:val="nil"/>
              <w:right w:val="single" w:sz="4" w:space="0" w:color="800000"/>
            </w:tcBorders>
            <w:shd w:val="clear" w:color="auto" w:fill="FFFFCC"/>
            <w:noWrap/>
            <w:vAlign w:val="bottom"/>
            <w:hideMark/>
          </w:tcPr>
          <w:p w:rsidR="00232A6C" w:rsidRDefault="00232A6C">
            <w:pPr>
              <w:jc w:val="right"/>
              <w:rPr>
                <w:b/>
                <w:bCs/>
                <w:sz w:val="18"/>
                <w:szCs w:val="18"/>
              </w:rPr>
            </w:pPr>
            <w:r>
              <w:rPr>
                <w:b/>
                <w:bCs/>
                <w:color w:val="000000"/>
                <w:sz w:val="18"/>
                <w:szCs w:val="18"/>
              </w:rPr>
              <w:t>130,7</w:t>
            </w:r>
          </w:p>
        </w:tc>
        <w:tc>
          <w:tcPr>
            <w:tcW w:w="709" w:type="dxa"/>
            <w:tcBorders>
              <w:top w:val="nil"/>
              <w:left w:val="nil"/>
              <w:bottom w:val="nil"/>
              <w:right w:val="single" w:sz="4" w:space="0" w:color="800000"/>
            </w:tcBorders>
            <w:shd w:val="clear" w:color="auto" w:fill="FFFFCC"/>
            <w:noWrap/>
            <w:vAlign w:val="bottom"/>
            <w:hideMark/>
          </w:tcPr>
          <w:p w:rsidR="00232A6C" w:rsidRDefault="00232A6C">
            <w:pPr>
              <w:jc w:val="right"/>
              <w:rPr>
                <w:b/>
                <w:bCs/>
                <w:sz w:val="18"/>
                <w:szCs w:val="18"/>
              </w:rPr>
            </w:pPr>
            <w:r>
              <w:rPr>
                <w:b/>
                <w:bCs/>
                <w:color w:val="000000"/>
                <w:sz w:val="18"/>
                <w:szCs w:val="18"/>
              </w:rPr>
              <w:t>20,4</w:t>
            </w:r>
          </w:p>
        </w:tc>
        <w:tc>
          <w:tcPr>
            <w:tcW w:w="709" w:type="dxa"/>
            <w:tcBorders>
              <w:top w:val="nil"/>
              <w:left w:val="nil"/>
              <w:bottom w:val="nil"/>
              <w:right w:val="single" w:sz="4" w:space="0" w:color="800000"/>
            </w:tcBorders>
            <w:shd w:val="clear" w:color="auto" w:fill="FFFFCC"/>
            <w:noWrap/>
            <w:vAlign w:val="bottom"/>
            <w:hideMark/>
          </w:tcPr>
          <w:p w:rsidR="00232A6C" w:rsidRDefault="00232A6C">
            <w:pPr>
              <w:jc w:val="right"/>
              <w:rPr>
                <w:b/>
                <w:bCs/>
                <w:sz w:val="18"/>
                <w:szCs w:val="18"/>
              </w:rPr>
            </w:pPr>
            <w:r>
              <w:rPr>
                <w:b/>
                <w:bCs/>
                <w:color w:val="000000"/>
                <w:sz w:val="18"/>
                <w:szCs w:val="18"/>
              </w:rPr>
              <w:t>0,0</w:t>
            </w:r>
          </w:p>
        </w:tc>
        <w:tc>
          <w:tcPr>
            <w:tcW w:w="567" w:type="dxa"/>
            <w:tcBorders>
              <w:top w:val="nil"/>
              <w:left w:val="nil"/>
              <w:bottom w:val="nil"/>
              <w:right w:val="single" w:sz="4" w:space="0" w:color="800000"/>
            </w:tcBorders>
            <w:shd w:val="clear" w:color="auto" w:fill="FFFFCC"/>
            <w:noWrap/>
            <w:vAlign w:val="bottom"/>
            <w:hideMark/>
          </w:tcPr>
          <w:p w:rsidR="00232A6C" w:rsidRDefault="00232A6C">
            <w:pPr>
              <w:jc w:val="right"/>
              <w:rPr>
                <w:b/>
                <w:bCs/>
                <w:sz w:val="18"/>
                <w:szCs w:val="18"/>
              </w:rPr>
            </w:pPr>
            <w:r>
              <w:rPr>
                <w:b/>
                <w:bCs/>
                <w:color w:val="000000"/>
                <w:sz w:val="18"/>
                <w:szCs w:val="18"/>
              </w:rPr>
              <w:t>0,0</w:t>
            </w:r>
          </w:p>
        </w:tc>
        <w:tc>
          <w:tcPr>
            <w:tcW w:w="567" w:type="dxa"/>
            <w:tcBorders>
              <w:top w:val="nil"/>
              <w:left w:val="nil"/>
              <w:bottom w:val="nil"/>
              <w:right w:val="single" w:sz="4" w:space="0" w:color="800000"/>
            </w:tcBorders>
            <w:shd w:val="clear" w:color="auto" w:fill="FFFFCC"/>
            <w:noWrap/>
            <w:vAlign w:val="bottom"/>
            <w:hideMark/>
          </w:tcPr>
          <w:p w:rsidR="00232A6C" w:rsidRDefault="00232A6C">
            <w:pPr>
              <w:jc w:val="right"/>
              <w:rPr>
                <w:b/>
                <w:bCs/>
                <w:sz w:val="18"/>
                <w:szCs w:val="18"/>
              </w:rPr>
            </w:pPr>
            <w:r>
              <w:rPr>
                <w:b/>
                <w:bCs/>
                <w:color w:val="000000"/>
                <w:sz w:val="18"/>
                <w:szCs w:val="18"/>
              </w:rPr>
              <w:t>0,1</w:t>
            </w:r>
          </w:p>
        </w:tc>
        <w:tc>
          <w:tcPr>
            <w:tcW w:w="567" w:type="dxa"/>
            <w:tcBorders>
              <w:top w:val="nil"/>
              <w:left w:val="nil"/>
              <w:bottom w:val="nil"/>
              <w:right w:val="single" w:sz="4" w:space="0" w:color="993300"/>
            </w:tcBorders>
            <w:shd w:val="clear" w:color="auto" w:fill="FFFFCC"/>
            <w:vAlign w:val="bottom"/>
            <w:hideMark/>
          </w:tcPr>
          <w:p w:rsidR="00232A6C" w:rsidRDefault="00232A6C">
            <w:pPr>
              <w:jc w:val="right"/>
              <w:rPr>
                <w:b/>
                <w:bCs/>
                <w:sz w:val="18"/>
                <w:szCs w:val="18"/>
              </w:rPr>
            </w:pPr>
            <w:r>
              <w:rPr>
                <w:b/>
                <w:bCs/>
                <w:color w:val="000000"/>
                <w:sz w:val="18"/>
                <w:szCs w:val="18"/>
              </w:rPr>
              <w:t>0,1</w:t>
            </w:r>
          </w:p>
        </w:tc>
        <w:tc>
          <w:tcPr>
            <w:tcW w:w="992" w:type="dxa"/>
            <w:tcBorders>
              <w:top w:val="nil"/>
              <w:left w:val="single" w:sz="4" w:space="0" w:color="993300"/>
              <w:bottom w:val="nil"/>
              <w:right w:val="single" w:sz="4" w:space="0" w:color="800000"/>
            </w:tcBorders>
            <w:shd w:val="clear" w:color="auto" w:fill="FFFFCC"/>
            <w:vAlign w:val="bottom"/>
            <w:hideMark/>
          </w:tcPr>
          <w:p w:rsidR="00232A6C" w:rsidRDefault="00232A6C">
            <w:pPr>
              <w:jc w:val="right"/>
              <w:rPr>
                <w:b/>
                <w:bCs/>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232A6C" w:rsidRDefault="00232A6C">
            <w:pPr>
              <w:jc w:val="right"/>
              <w:rPr>
                <w:b/>
                <w:bCs/>
                <w:sz w:val="18"/>
                <w:szCs w:val="18"/>
              </w:rPr>
            </w:pPr>
            <w:r>
              <w:rPr>
                <w:b/>
                <w:bCs/>
                <w:color w:val="000000"/>
                <w:sz w:val="18"/>
                <w:szCs w:val="18"/>
              </w:rPr>
              <w:t>99,6</w:t>
            </w:r>
          </w:p>
        </w:tc>
        <w:tc>
          <w:tcPr>
            <w:tcW w:w="709" w:type="dxa"/>
            <w:tcBorders>
              <w:top w:val="nil"/>
              <w:left w:val="nil"/>
              <w:bottom w:val="nil"/>
              <w:right w:val="single" w:sz="4" w:space="0" w:color="800000"/>
            </w:tcBorders>
            <w:shd w:val="clear" w:color="auto" w:fill="FFFFCC"/>
            <w:vAlign w:val="bottom"/>
            <w:hideMark/>
          </w:tcPr>
          <w:p w:rsidR="00232A6C" w:rsidRDefault="00232A6C">
            <w:pPr>
              <w:jc w:val="right"/>
              <w:rPr>
                <w:b/>
                <w:bCs/>
                <w:sz w:val="18"/>
                <w:szCs w:val="18"/>
              </w:rPr>
            </w:pPr>
            <w:r>
              <w:rPr>
                <w:b/>
                <w:bCs/>
                <w:color w:val="000000"/>
                <w:sz w:val="18"/>
                <w:szCs w:val="18"/>
              </w:rPr>
              <w:t> </w:t>
            </w:r>
          </w:p>
        </w:tc>
        <w:tc>
          <w:tcPr>
            <w:tcW w:w="992" w:type="dxa"/>
            <w:tcBorders>
              <w:top w:val="nil"/>
              <w:left w:val="nil"/>
              <w:bottom w:val="nil"/>
              <w:right w:val="double" w:sz="6" w:space="0" w:color="800000"/>
            </w:tcBorders>
            <w:shd w:val="clear" w:color="auto" w:fill="FFFFCC"/>
            <w:noWrap/>
            <w:vAlign w:val="bottom"/>
            <w:hideMark/>
          </w:tcPr>
          <w:p w:rsidR="00232A6C" w:rsidRDefault="00232A6C">
            <w:pPr>
              <w:jc w:val="right"/>
              <w:rPr>
                <w:b/>
                <w:bCs/>
                <w:sz w:val="18"/>
                <w:szCs w:val="18"/>
              </w:rPr>
            </w:pPr>
            <w:r>
              <w:rPr>
                <w:b/>
                <w:bCs/>
                <w:color w:val="000000"/>
                <w:sz w:val="18"/>
                <w:szCs w:val="18"/>
              </w:rPr>
              <w:t>10,5</w:t>
            </w:r>
          </w:p>
        </w:tc>
      </w:tr>
      <w:tr w:rsidR="00232A6C"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232A6C" w:rsidRDefault="00232A6C">
            <w:pPr>
              <w:rPr>
                <w:sz w:val="18"/>
                <w:szCs w:val="18"/>
              </w:rPr>
            </w:pPr>
            <w:r>
              <w:rPr>
                <w:sz w:val="18"/>
                <w:szCs w:val="18"/>
              </w:rPr>
              <w:t xml:space="preserve">    Текущи нелихвени разходи</w:t>
            </w:r>
          </w:p>
        </w:tc>
        <w:tc>
          <w:tcPr>
            <w:tcW w:w="710"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17,4</w:t>
            </w:r>
          </w:p>
        </w:tc>
        <w:tc>
          <w:tcPr>
            <w:tcW w:w="709"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0,0</w:t>
            </w:r>
          </w:p>
        </w:tc>
        <w:tc>
          <w:tcPr>
            <w:tcW w:w="709"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0,1</w:t>
            </w:r>
          </w:p>
        </w:tc>
        <w:tc>
          <w:tcPr>
            <w:tcW w:w="567" w:type="dxa"/>
            <w:tcBorders>
              <w:top w:val="nil"/>
              <w:left w:val="nil"/>
              <w:bottom w:val="nil"/>
              <w:right w:val="single" w:sz="4" w:space="0" w:color="993300"/>
            </w:tcBorders>
            <w:shd w:val="clear" w:color="auto" w:fill="FFFFCC"/>
            <w:vAlign w:val="bottom"/>
            <w:hideMark/>
          </w:tcPr>
          <w:p w:rsidR="00232A6C" w:rsidRDefault="00232A6C">
            <w:pPr>
              <w:jc w:val="right"/>
              <w:rPr>
                <w:sz w:val="18"/>
                <w:szCs w:val="18"/>
              </w:rPr>
            </w:pPr>
            <w:r>
              <w:rPr>
                <w:color w:val="000000"/>
                <w:sz w:val="18"/>
                <w:szCs w:val="18"/>
              </w:rPr>
              <w:t>0,1</w:t>
            </w:r>
          </w:p>
        </w:tc>
        <w:tc>
          <w:tcPr>
            <w:tcW w:w="992" w:type="dxa"/>
            <w:tcBorders>
              <w:top w:val="nil"/>
              <w:left w:val="single" w:sz="4" w:space="0" w:color="993300"/>
              <w:bottom w:val="nil"/>
              <w:right w:val="single" w:sz="4" w:space="0" w:color="800000"/>
            </w:tcBorders>
            <w:shd w:val="clear" w:color="auto" w:fill="FFFFCC"/>
            <w:vAlign w:val="bottom"/>
            <w:hideMark/>
          </w:tcPr>
          <w:p w:rsidR="00232A6C" w:rsidRDefault="00232A6C">
            <w:pPr>
              <w:jc w:val="right"/>
              <w:rPr>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17,3</w:t>
            </w:r>
          </w:p>
        </w:tc>
        <w:tc>
          <w:tcPr>
            <w:tcW w:w="709" w:type="dxa"/>
            <w:tcBorders>
              <w:top w:val="nil"/>
              <w:left w:val="nil"/>
              <w:bottom w:val="nil"/>
              <w:right w:val="single" w:sz="4" w:space="0" w:color="800000"/>
            </w:tcBorders>
            <w:shd w:val="clear" w:color="auto" w:fill="FFFFCC"/>
            <w:vAlign w:val="bottom"/>
            <w:hideMark/>
          </w:tcPr>
          <w:p w:rsidR="00232A6C" w:rsidRDefault="00232A6C">
            <w:pPr>
              <w:jc w:val="right"/>
              <w:rPr>
                <w:sz w:val="18"/>
                <w:szCs w:val="18"/>
              </w:rPr>
            </w:pPr>
            <w:r>
              <w:rPr>
                <w:color w:val="000000"/>
                <w:sz w:val="18"/>
                <w:szCs w:val="18"/>
              </w:rPr>
              <w:t> </w:t>
            </w:r>
          </w:p>
        </w:tc>
        <w:tc>
          <w:tcPr>
            <w:tcW w:w="992" w:type="dxa"/>
            <w:tcBorders>
              <w:top w:val="nil"/>
              <w:left w:val="nil"/>
              <w:bottom w:val="nil"/>
              <w:right w:val="double" w:sz="6" w:space="0" w:color="800000"/>
            </w:tcBorders>
            <w:shd w:val="clear" w:color="auto" w:fill="FFFFCC"/>
            <w:noWrap/>
            <w:vAlign w:val="bottom"/>
            <w:hideMark/>
          </w:tcPr>
          <w:p w:rsidR="00232A6C" w:rsidRDefault="00232A6C">
            <w:pPr>
              <w:jc w:val="right"/>
              <w:rPr>
                <w:sz w:val="18"/>
                <w:szCs w:val="18"/>
              </w:rPr>
            </w:pPr>
            <w:r>
              <w:rPr>
                <w:color w:val="000000"/>
                <w:sz w:val="18"/>
                <w:szCs w:val="18"/>
              </w:rPr>
              <w:t> </w:t>
            </w:r>
          </w:p>
        </w:tc>
      </w:tr>
      <w:tr w:rsidR="00232A6C" w:rsidTr="005D3807">
        <w:trPr>
          <w:trHeight w:val="255"/>
        </w:trPr>
        <w:tc>
          <w:tcPr>
            <w:tcW w:w="2707" w:type="dxa"/>
            <w:tcBorders>
              <w:top w:val="nil"/>
              <w:left w:val="double" w:sz="6" w:space="0" w:color="800000"/>
              <w:bottom w:val="nil"/>
              <w:right w:val="single" w:sz="4" w:space="0" w:color="800000"/>
            </w:tcBorders>
            <w:shd w:val="clear" w:color="auto" w:fill="FFFFCC"/>
            <w:noWrap/>
            <w:vAlign w:val="bottom"/>
            <w:hideMark/>
          </w:tcPr>
          <w:p w:rsidR="00232A6C" w:rsidRDefault="00232A6C">
            <w:pPr>
              <w:rPr>
                <w:sz w:val="18"/>
                <w:szCs w:val="18"/>
              </w:rPr>
            </w:pPr>
            <w:r>
              <w:rPr>
                <w:sz w:val="18"/>
                <w:szCs w:val="18"/>
              </w:rPr>
              <w:t xml:space="preserve">    Капиталови разходи</w:t>
            </w:r>
          </w:p>
        </w:tc>
        <w:tc>
          <w:tcPr>
            <w:tcW w:w="710"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54,2</w:t>
            </w:r>
          </w:p>
        </w:tc>
        <w:tc>
          <w:tcPr>
            <w:tcW w:w="709"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0,0</w:t>
            </w:r>
          </w:p>
        </w:tc>
        <w:tc>
          <w:tcPr>
            <w:tcW w:w="709"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 </w:t>
            </w:r>
          </w:p>
        </w:tc>
        <w:tc>
          <w:tcPr>
            <w:tcW w:w="567" w:type="dxa"/>
            <w:tcBorders>
              <w:top w:val="nil"/>
              <w:left w:val="nil"/>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 </w:t>
            </w:r>
          </w:p>
        </w:tc>
        <w:tc>
          <w:tcPr>
            <w:tcW w:w="567" w:type="dxa"/>
            <w:tcBorders>
              <w:top w:val="nil"/>
              <w:left w:val="nil"/>
              <w:bottom w:val="nil"/>
              <w:right w:val="single" w:sz="4" w:space="0" w:color="993300"/>
            </w:tcBorders>
            <w:shd w:val="clear" w:color="auto" w:fill="FFFFCC"/>
            <w:vAlign w:val="bottom"/>
            <w:hideMark/>
          </w:tcPr>
          <w:p w:rsidR="00232A6C" w:rsidRDefault="00232A6C">
            <w:pPr>
              <w:jc w:val="right"/>
              <w:rPr>
                <w:sz w:val="18"/>
                <w:szCs w:val="18"/>
              </w:rPr>
            </w:pPr>
            <w:r>
              <w:rPr>
                <w:color w:val="000000"/>
                <w:sz w:val="18"/>
                <w:szCs w:val="18"/>
              </w:rPr>
              <w:t>0,0</w:t>
            </w:r>
          </w:p>
        </w:tc>
        <w:tc>
          <w:tcPr>
            <w:tcW w:w="992" w:type="dxa"/>
            <w:tcBorders>
              <w:top w:val="nil"/>
              <w:left w:val="single" w:sz="4" w:space="0" w:color="993300"/>
              <w:bottom w:val="nil"/>
              <w:right w:val="single" w:sz="4" w:space="0" w:color="800000"/>
            </w:tcBorders>
            <w:shd w:val="clear" w:color="auto" w:fill="FFFFCC"/>
            <w:vAlign w:val="bottom"/>
            <w:hideMark/>
          </w:tcPr>
          <w:p w:rsidR="00232A6C" w:rsidRDefault="00232A6C">
            <w:pPr>
              <w:jc w:val="right"/>
              <w:rPr>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47,4</w:t>
            </w:r>
          </w:p>
        </w:tc>
        <w:tc>
          <w:tcPr>
            <w:tcW w:w="709" w:type="dxa"/>
            <w:tcBorders>
              <w:top w:val="nil"/>
              <w:left w:val="nil"/>
              <w:bottom w:val="nil"/>
              <w:right w:val="single" w:sz="4" w:space="0" w:color="800000"/>
            </w:tcBorders>
            <w:shd w:val="clear" w:color="auto" w:fill="FFFFCC"/>
            <w:vAlign w:val="bottom"/>
            <w:hideMark/>
          </w:tcPr>
          <w:p w:rsidR="00232A6C" w:rsidRDefault="00232A6C">
            <w:pPr>
              <w:jc w:val="right"/>
              <w:rPr>
                <w:sz w:val="18"/>
                <w:szCs w:val="18"/>
              </w:rPr>
            </w:pPr>
            <w:r>
              <w:rPr>
                <w:color w:val="000000"/>
                <w:sz w:val="18"/>
                <w:szCs w:val="18"/>
              </w:rPr>
              <w:t> </w:t>
            </w:r>
          </w:p>
        </w:tc>
        <w:tc>
          <w:tcPr>
            <w:tcW w:w="992" w:type="dxa"/>
            <w:tcBorders>
              <w:top w:val="nil"/>
              <w:left w:val="nil"/>
              <w:bottom w:val="nil"/>
              <w:right w:val="double" w:sz="6" w:space="0" w:color="800000"/>
            </w:tcBorders>
            <w:shd w:val="clear" w:color="auto" w:fill="FFFFCC"/>
            <w:noWrap/>
            <w:vAlign w:val="bottom"/>
            <w:hideMark/>
          </w:tcPr>
          <w:p w:rsidR="00232A6C" w:rsidRDefault="00232A6C">
            <w:pPr>
              <w:jc w:val="right"/>
              <w:rPr>
                <w:sz w:val="18"/>
                <w:szCs w:val="18"/>
              </w:rPr>
            </w:pPr>
            <w:r>
              <w:rPr>
                <w:color w:val="000000"/>
                <w:sz w:val="18"/>
                <w:szCs w:val="18"/>
              </w:rPr>
              <w:t>6,7</w:t>
            </w:r>
          </w:p>
        </w:tc>
      </w:tr>
      <w:tr w:rsidR="00232A6C" w:rsidTr="005D3807">
        <w:trPr>
          <w:trHeight w:val="270"/>
        </w:trPr>
        <w:tc>
          <w:tcPr>
            <w:tcW w:w="2707" w:type="dxa"/>
            <w:tcBorders>
              <w:top w:val="nil"/>
              <w:left w:val="double" w:sz="6" w:space="0" w:color="800000"/>
              <w:bottom w:val="double" w:sz="6" w:space="0" w:color="800000"/>
              <w:right w:val="single" w:sz="4" w:space="0" w:color="800000"/>
            </w:tcBorders>
            <w:shd w:val="clear" w:color="auto" w:fill="FFFFCC"/>
            <w:noWrap/>
            <w:vAlign w:val="bottom"/>
            <w:hideMark/>
          </w:tcPr>
          <w:p w:rsidR="00232A6C" w:rsidRDefault="00232A6C">
            <w:pPr>
              <w:rPr>
                <w:sz w:val="18"/>
                <w:szCs w:val="18"/>
              </w:rPr>
            </w:pPr>
            <w:r>
              <w:rPr>
                <w:sz w:val="18"/>
                <w:szCs w:val="18"/>
              </w:rPr>
              <w:t xml:space="preserve">    Предотвратяване и ликвидиране на последиците от бедствия и аварии</w:t>
            </w:r>
          </w:p>
        </w:tc>
        <w:tc>
          <w:tcPr>
            <w:tcW w:w="710" w:type="dxa"/>
            <w:tcBorders>
              <w:top w:val="nil"/>
              <w:left w:val="nil"/>
              <w:bottom w:val="double" w:sz="6" w:space="0" w:color="800000"/>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59,1</w:t>
            </w:r>
          </w:p>
        </w:tc>
        <w:tc>
          <w:tcPr>
            <w:tcW w:w="709" w:type="dxa"/>
            <w:tcBorders>
              <w:top w:val="nil"/>
              <w:left w:val="nil"/>
              <w:bottom w:val="double" w:sz="6" w:space="0" w:color="800000"/>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20,4</w:t>
            </w:r>
          </w:p>
        </w:tc>
        <w:tc>
          <w:tcPr>
            <w:tcW w:w="709" w:type="dxa"/>
            <w:tcBorders>
              <w:top w:val="nil"/>
              <w:left w:val="nil"/>
              <w:bottom w:val="double" w:sz="6" w:space="0" w:color="800000"/>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0,0</w:t>
            </w:r>
          </w:p>
        </w:tc>
        <w:tc>
          <w:tcPr>
            <w:tcW w:w="567" w:type="dxa"/>
            <w:tcBorders>
              <w:top w:val="nil"/>
              <w:left w:val="nil"/>
              <w:bottom w:val="double" w:sz="6" w:space="0" w:color="800000"/>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0,0</w:t>
            </w:r>
          </w:p>
        </w:tc>
        <w:tc>
          <w:tcPr>
            <w:tcW w:w="567" w:type="dxa"/>
            <w:tcBorders>
              <w:top w:val="nil"/>
              <w:left w:val="nil"/>
              <w:bottom w:val="double" w:sz="6" w:space="0" w:color="800000"/>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 </w:t>
            </w:r>
          </w:p>
        </w:tc>
        <w:tc>
          <w:tcPr>
            <w:tcW w:w="567" w:type="dxa"/>
            <w:tcBorders>
              <w:top w:val="nil"/>
              <w:left w:val="nil"/>
              <w:bottom w:val="double" w:sz="6" w:space="0" w:color="800000"/>
              <w:right w:val="single" w:sz="4" w:space="0" w:color="993300"/>
            </w:tcBorders>
            <w:shd w:val="clear" w:color="auto" w:fill="FFFFCC"/>
            <w:vAlign w:val="bottom"/>
            <w:hideMark/>
          </w:tcPr>
          <w:p w:rsidR="00232A6C" w:rsidRDefault="00232A6C">
            <w:pPr>
              <w:jc w:val="right"/>
              <w:rPr>
                <w:sz w:val="18"/>
                <w:szCs w:val="18"/>
              </w:rPr>
            </w:pPr>
            <w:r>
              <w:rPr>
                <w:color w:val="000000"/>
                <w:sz w:val="18"/>
                <w:szCs w:val="18"/>
              </w:rPr>
              <w:t> </w:t>
            </w:r>
          </w:p>
        </w:tc>
        <w:tc>
          <w:tcPr>
            <w:tcW w:w="992" w:type="dxa"/>
            <w:tcBorders>
              <w:top w:val="nil"/>
              <w:left w:val="single" w:sz="4" w:space="0" w:color="993300"/>
              <w:bottom w:val="double" w:sz="6" w:space="0" w:color="800000"/>
              <w:right w:val="single" w:sz="4" w:space="0" w:color="800000"/>
            </w:tcBorders>
            <w:shd w:val="clear" w:color="auto" w:fill="FFFFCC"/>
            <w:vAlign w:val="bottom"/>
            <w:hideMark/>
          </w:tcPr>
          <w:p w:rsidR="00232A6C" w:rsidRDefault="00232A6C">
            <w:pPr>
              <w:jc w:val="right"/>
              <w:rPr>
                <w:sz w:val="18"/>
                <w:szCs w:val="18"/>
              </w:rPr>
            </w:pPr>
            <w:r>
              <w:rPr>
                <w:color w:val="000000"/>
                <w:sz w:val="18"/>
                <w:szCs w:val="18"/>
              </w:rPr>
              <w:t> </w:t>
            </w:r>
          </w:p>
        </w:tc>
        <w:tc>
          <w:tcPr>
            <w:tcW w:w="851" w:type="dxa"/>
            <w:tcBorders>
              <w:top w:val="nil"/>
              <w:left w:val="single" w:sz="4" w:space="0" w:color="800000"/>
              <w:bottom w:val="double" w:sz="6" w:space="0" w:color="800000"/>
              <w:right w:val="single" w:sz="4" w:space="0" w:color="800000"/>
            </w:tcBorders>
            <w:shd w:val="clear" w:color="auto" w:fill="FFFFCC"/>
            <w:noWrap/>
            <w:vAlign w:val="bottom"/>
            <w:hideMark/>
          </w:tcPr>
          <w:p w:rsidR="00232A6C" w:rsidRDefault="00232A6C">
            <w:pPr>
              <w:jc w:val="right"/>
              <w:rPr>
                <w:sz w:val="18"/>
                <w:szCs w:val="18"/>
              </w:rPr>
            </w:pPr>
            <w:r>
              <w:rPr>
                <w:color w:val="000000"/>
                <w:sz w:val="18"/>
                <w:szCs w:val="18"/>
              </w:rPr>
              <w:t>34,9</w:t>
            </w:r>
          </w:p>
        </w:tc>
        <w:tc>
          <w:tcPr>
            <w:tcW w:w="709" w:type="dxa"/>
            <w:tcBorders>
              <w:top w:val="nil"/>
              <w:left w:val="nil"/>
              <w:bottom w:val="double" w:sz="6" w:space="0" w:color="800000"/>
              <w:right w:val="single" w:sz="4" w:space="0" w:color="800000"/>
            </w:tcBorders>
            <w:shd w:val="clear" w:color="auto" w:fill="FFFFCC"/>
            <w:vAlign w:val="bottom"/>
            <w:hideMark/>
          </w:tcPr>
          <w:p w:rsidR="00232A6C" w:rsidRDefault="00232A6C">
            <w:pPr>
              <w:jc w:val="right"/>
              <w:rPr>
                <w:sz w:val="18"/>
                <w:szCs w:val="18"/>
              </w:rPr>
            </w:pPr>
            <w:r>
              <w:rPr>
                <w:color w:val="000000"/>
                <w:sz w:val="18"/>
                <w:szCs w:val="18"/>
              </w:rPr>
              <w:t> </w:t>
            </w:r>
          </w:p>
        </w:tc>
        <w:tc>
          <w:tcPr>
            <w:tcW w:w="992" w:type="dxa"/>
            <w:tcBorders>
              <w:top w:val="nil"/>
              <w:left w:val="nil"/>
              <w:bottom w:val="double" w:sz="6" w:space="0" w:color="800000"/>
              <w:right w:val="double" w:sz="6" w:space="0" w:color="800000"/>
            </w:tcBorders>
            <w:shd w:val="clear" w:color="auto" w:fill="FFFFCC"/>
            <w:noWrap/>
            <w:vAlign w:val="bottom"/>
            <w:hideMark/>
          </w:tcPr>
          <w:p w:rsidR="00232A6C" w:rsidRDefault="00232A6C">
            <w:pPr>
              <w:jc w:val="right"/>
              <w:rPr>
                <w:sz w:val="18"/>
                <w:szCs w:val="18"/>
              </w:rPr>
            </w:pPr>
            <w:r>
              <w:rPr>
                <w:color w:val="000000"/>
                <w:sz w:val="18"/>
                <w:szCs w:val="18"/>
              </w:rPr>
              <w:t>3,8</w:t>
            </w:r>
          </w:p>
        </w:tc>
      </w:tr>
    </w:tbl>
    <w:p w:rsidR="006E5AE0" w:rsidRDefault="006E5AE0" w:rsidP="006E5AE0">
      <w:pPr>
        <w:ind w:firstLine="540"/>
        <w:rPr>
          <w:b/>
          <w:color w:val="0070C0"/>
        </w:rPr>
      </w:pPr>
    </w:p>
    <w:p w:rsidR="006E5AE0" w:rsidRDefault="006E5AE0" w:rsidP="006E5AE0">
      <w:pPr>
        <w:ind w:firstLine="540"/>
        <w:rPr>
          <w:b/>
          <w:color w:val="0070C0"/>
          <w:lang w:val="en-US"/>
        </w:rPr>
      </w:pPr>
    </w:p>
    <w:p w:rsidR="006E5AE0" w:rsidRDefault="006E5AE0" w:rsidP="006E5AE0">
      <w:pPr>
        <w:ind w:firstLine="540"/>
        <w:rPr>
          <w:b/>
          <w:i/>
        </w:rPr>
      </w:pPr>
      <w:r>
        <w:rPr>
          <w:b/>
        </w:rPr>
        <w:t xml:space="preserve">Група А: </w:t>
      </w:r>
      <w:r>
        <w:rPr>
          <w:b/>
          <w:i/>
        </w:rPr>
        <w:t>„Отбрана”</w:t>
      </w:r>
    </w:p>
    <w:p w:rsidR="006E5AE0" w:rsidRDefault="006E5AE0" w:rsidP="006E5AE0">
      <w:pPr>
        <w:ind w:firstLine="540"/>
        <w:jc w:val="both"/>
        <w:rPr>
          <w:color w:val="0070C0"/>
          <w:sz w:val="12"/>
          <w:szCs w:val="12"/>
        </w:rPr>
      </w:pPr>
    </w:p>
    <w:p w:rsidR="006E5AE0" w:rsidRDefault="006E5AE0" w:rsidP="006E5AE0">
      <w:pPr>
        <w:spacing w:after="120"/>
        <w:ind w:firstLine="540"/>
        <w:jc w:val="both"/>
      </w:pPr>
      <w:r>
        <w:t xml:space="preserve">Извършените разходи </w:t>
      </w:r>
      <w:r>
        <w:rPr>
          <w:bCs/>
        </w:rPr>
        <w:t>по</w:t>
      </w:r>
      <w:r>
        <w:t xml:space="preserve"> консолидираната фискална програма за група </w:t>
      </w:r>
      <w:r>
        <w:rPr>
          <w:b/>
          <w:i/>
        </w:rPr>
        <w:t xml:space="preserve">„Отбрана” </w:t>
      </w:r>
      <w:r>
        <w:t>през 201</w:t>
      </w:r>
      <w:r>
        <w:rPr>
          <w:lang w:val="ru-RU"/>
        </w:rPr>
        <w:t>5</w:t>
      </w:r>
      <w:r>
        <w:t xml:space="preserve"> г. са в размер на </w:t>
      </w:r>
      <w:r>
        <w:rPr>
          <w:lang w:val="ru-RU"/>
        </w:rPr>
        <w:t>954,9</w:t>
      </w:r>
      <w:r>
        <w:t xml:space="preserve"> млн. лв. От тях </w:t>
      </w:r>
      <w:r>
        <w:rPr>
          <w:lang w:val="ru-RU"/>
        </w:rPr>
        <w:t>924,3</w:t>
      </w:r>
      <w:r>
        <w:t xml:space="preserve"> млн. лв. са изразходвани по бюджетите на </w:t>
      </w:r>
      <w:r>
        <w:rPr>
          <w:b/>
        </w:rPr>
        <w:t xml:space="preserve">министерства и ведомства, </w:t>
      </w:r>
      <w:r>
        <w:t xml:space="preserve">при разчетени със ЗДБРБ за 2015 г. разходи в размер на </w:t>
      </w:r>
      <w:r>
        <w:rPr>
          <w:lang w:val="ru-RU"/>
        </w:rPr>
        <w:t>924,5</w:t>
      </w:r>
      <w:r>
        <w:t xml:space="preserve"> млн. лв. </w:t>
      </w:r>
      <w:r>
        <w:rPr>
          <w:lang w:val="ru-RU"/>
        </w:rPr>
        <w:t>(</w:t>
      </w:r>
      <w:r>
        <w:t>с резерва за непредвидени и неотложни разходи</w:t>
      </w:r>
      <w:r>
        <w:rPr>
          <w:lang w:val="ru-RU"/>
        </w:rPr>
        <w:t>)</w:t>
      </w:r>
      <w:r>
        <w:t>. Най-голям</w:t>
      </w:r>
      <w:r>
        <w:rPr>
          <w:color w:val="0070C0"/>
        </w:rPr>
        <w:t xml:space="preserve"> </w:t>
      </w:r>
      <w:r>
        <w:t xml:space="preserve">относителен дял имат разходите, отчетени по бюджета на МО – 923,0 млн. лв. </w:t>
      </w:r>
    </w:p>
    <w:p w:rsidR="006E5AE0" w:rsidRDefault="006E5AE0" w:rsidP="006E5AE0">
      <w:pPr>
        <w:spacing w:after="120"/>
        <w:ind w:firstLine="540"/>
        <w:jc w:val="both"/>
      </w:pPr>
      <w:r>
        <w:t xml:space="preserve">Отбранителната политика през 2015 г. се основаваше на приемственост и устойчивост в следваните национални приоритети в рамките на колективната отбрана на НАТО и Общата политика за сигурност и отбрана на ЕС. Тя се осъществяваше в съответствие с Конституцията, законите и утвърдените от Народното събрание и Министерския съвет стратегически документи в областта на сигурността и отбраната. </w:t>
      </w:r>
    </w:p>
    <w:p w:rsidR="006E5AE0" w:rsidRDefault="006E5AE0" w:rsidP="006E5AE0">
      <w:pPr>
        <w:spacing w:after="120"/>
        <w:ind w:firstLine="540"/>
        <w:jc w:val="both"/>
      </w:pPr>
      <w:r>
        <w:t xml:space="preserve">В рамките на утвърдения бюджет на Министерството на отбраната за 2015 г. българските въоръжени сили успешно изпълняваха задачите си по мисиите „Отбрана“, „Подкрепа на международния мир и сигурност” и „Принос към националната сигурност в мирно време“, произтичащи от конституционните им задължения. </w:t>
      </w:r>
    </w:p>
    <w:p w:rsidR="006E5AE0" w:rsidRDefault="006E5AE0" w:rsidP="006E5AE0">
      <w:pPr>
        <w:spacing w:after="120"/>
        <w:ind w:firstLine="540"/>
        <w:jc w:val="both"/>
      </w:pPr>
      <w:r>
        <w:t>През 2015 г. Народното събрание прие Програма за развитие на отбранителните способности на въоръжените сили на Република България 2020, въз основа на която Министерският съвет прие План за развитие на въоръжените сили 2020. С тези документи основният фокус бе преместен от структурни и организационно-щатни промени към развитието на отбранителните способности чрез модернизация. Този процес е съпътстван от по-нататъшни стъпки за ефективно и ефикасно изразходване на ресурсите и подобряване на отбранителния мениджмънт.</w:t>
      </w:r>
    </w:p>
    <w:p w:rsidR="006E5AE0" w:rsidRDefault="006E5AE0" w:rsidP="006E5AE0">
      <w:pPr>
        <w:spacing w:after="120"/>
        <w:ind w:firstLine="540"/>
        <w:jc w:val="both"/>
      </w:pPr>
      <w:r>
        <w:lastRenderedPageBreak/>
        <w:t>В изпълнение на пакета „Цели за способности 2013“ на НАТО през 2015 г. продължи изграждането на батальонни бойни групи, като всичките планирани шест бяха сертифицирани на национално ниво.</w:t>
      </w:r>
    </w:p>
    <w:p w:rsidR="006E5AE0" w:rsidRDefault="006E5AE0" w:rsidP="006E5AE0">
      <w:pPr>
        <w:spacing w:after="120"/>
        <w:ind w:firstLine="540"/>
        <w:jc w:val="both"/>
      </w:pPr>
      <w:r>
        <w:t xml:space="preserve">Основен приоритет остана всестранното осигуряване на българските контингенти зад граница, провеждане на ротациите и своевременното решаване на възникнали въпроси в районите на мисиите. През 2015 г. формирования и отделни военнослужещи участваха в 14 мисии и операции зад граница. </w:t>
      </w:r>
    </w:p>
    <w:p w:rsidR="006E5AE0" w:rsidRPr="004126A8" w:rsidRDefault="006E5AE0" w:rsidP="004126A8">
      <w:pPr>
        <w:spacing w:after="120"/>
        <w:ind w:firstLine="540"/>
        <w:jc w:val="both"/>
        <w:rPr>
          <w:lang w:val="en-US"/>
        </w:rPr>
      </w:pPr>
      <w:r>
        <w:t>Общо 98 формирования поддържаха постоянна готовност и провеждаха операции по оказване на помощ на населението при бедствия, аварии и катастрофи. Въоръжените сили участваха в 182 операции в подкрепа на населението с около 1 256 военнослужещи и над 340 единици техника. Военни формирования оказваха логистична поддръжка и на Главна дирекция „Гранична полиция“ при охраната на южната ни граница, с цел противодействие на миграционния натиск.</w:t>
      </w:r>
    </w:p>
    <w:p w:rsidR="006E5AE0" w:rsidRDefault="006E5AE0" w:rsidP="006E5AE0">
      <w:pPr>
        <w:ind w:firstLine="540"/>
        <w:rPr>
          <w:b/>
        </w:rPr>
      </w:pPr>
      <w:r>
        <w:rPr>
          <w:b/>
        </w:rPr>
        <w:t xml:space="preserve">Група Б: </w:t>
      </w:r>
      <w:r>
        <w:rPr>
          <w:b/>
          <w:i/>
        </w:rPr>
        <w:t>„Полиция, вътрешен ред и сигурност”</w:t>
      </w:r>
    </w:p>
    <w:p w:rsidR="006E5AE0" w:rsidRDefault="006E5AE0" w:rsidP="006E5AE0">
      <w:pPr>
        <w:ind w:right="-108" w:firstLine="540"/>
        <w:rPr>
          <w:sz w:val="12"/>
          <w:szCs w:val="12"/>
        </w:rPr>
      </w:pPr>
    </w:p>
    <w:p w:rsidR="006E5AE0" w:rsidRDefault="006E5AE0" w:rsidP="006E5AE0">
      <w:pPr>
        <w:pStyle w:val="BodyText"/>
        <w:ind w:firstLine="540"/>
        <w:jc w:val="both"/>
      </w:pPr>
      <w:r>
        <w:t xml:space="preserve">Разходите за група „Полиция, вътрешен ред и сигурност” по КФП са в размер на 1 531,8 млн. лв. </w:t>
      </w:r>
    </w:p>
    <w:p w:rsidR="006E5AE0" w:rsidRDefault="006E5AE0" w:rsidP="006E5AE0">
      <w:pPr>
        <w:pStyle w:val="BodyText"/>
        <w:ind w:firstLine="540"/>
        <w:jc w:val="both"/>
      </w:pPr>
      <w:r>
        <w:t xml:space="preserve">Със ЗДБРБ за 2015 г. по бюджетите </w:t>
      </w:r>
      <w:r>
        <w:rPr>
          <w:b/>
        </w:rPr>
        <w:t>на министерствата и ведомствата</w:t>
      </w:r>
      <w:r>
        <w:t xml:space="preserve"> са утвърдени </w:t>
      </w:r>
      <w:r w:rsidR="00D241A6">
        <w:t>1 382,3</w:t>
      </w:r>
      <w:r>
        <w:t xml:space="preserve"> млн. лв. </w:t>
      </w:r>
      <w:r>
        <w:rPr>
          <w:lang w:val="ru-RU"/>
        </w:rPr>
        <w:t>(</w:t>
      </w:r>
      <w:r>
        <w:t>вкл.  резерва за непредвидени и неотложни разходи</w:t>
      </w:r>
      <w:r>
        <w:rPr>
          <w:lang w:val="ru-RU"/>
        </w:rPr>
        <w:t>).</w:t>
      </w:r>
      <w:r>
        <w:t xml:space="preserve"> </w:t>
      </w:r>
    </w:p>
    <w:p w:rsidR="006E5AE0" w:rsidRDefault="006E5AE0" w:rsidP="006E5AE0">
      <w:pPr>
        <w:pStyle w:val="BodyText"/>
        <w:ind w:firstLine="540"/>
        <w:jc w:val="both"/>
      </w:pPr>
      <w:r>
        <w:t xml:space="preserve">По отчет разходите на министерствата и ведомствата са 1 396,2 млн. лв. </w:t>
      </w:r>
      <w:r>
        <w:rPr>
          <w:lang w:val="en-US"/>
        </w:rPr>
        <w:t>(10</w:t>
      </w:r>
      <w:r>
        <w:t>1,0 % спрямо предвидените за годината</w:t>
      </w:r>
      <w:r>
        <w:rPr>
          <w:lang w:val="en-US"/>
        </w:rPr>
        <w:t>)</w:t>
      </w:r>
      <w:r>
        <w:t>, в т.ч. на Министерството на вътрешните работи –         1 194,3 млн. лв., на  Държавна агенция „Национална сигурност” – 96,8 млн. лв., на Националната служба за охрана – 38,3 млн. лв., на Държавна агенция „Разузнаване“ – 20,4 млн. лв., на Националното бюро за контрол на специалните разузнавателни средства –  0,9 млн. лв., на Държавна агенция „Технически операции“ – 43,8 млн. лв. и на Министерски съвет – 1,8 млн. лева.</w:t>
      </w:r>
    </w:p>
    <w:p w:rsidR="006E5AE0" w:rsidRDefault="006E5AE0" w:rsidP="006E5AE0">
      <w:pPr>
        <w:pStyle w:val="BodyText"/>
        <w:ind w:firstLine="540"/>
        <w:jc w:val="both"/>
      </w:pPr>
      <w:r>
        <w:t>В рамките на предоставените през годината средства, бе реализирано изпълнението на националните приоритети в областта на сигурността и вътрешния ред на страната, а именно – повишаване ефективността в процеса на противодействие на престъпността, защита на националната сигурност, опазване на обществения ред и борба с корупцията, охрана и контрол на държавната граница, осигуряване на държавен противопожарен контрол, пожарогасителна и аварийно-спасителна дейност, намаляване щетите за икономиката на страната от дейността на организираните престъпни групи и недопускане извършването на терористични действия.</w:t>
      </w:r>
    </w:p>
    <w:p w:rsidR="006E5AE0" w:rsidRDefault="006E5AE0" w:rsidP="006E5AE0">
      <w:pPr>
        <w:tabs>
          <w:tab w:val="left" w:pos="-180"/>
          <w:tab w:val="left" w:pos="0"/>
          <w:tab w:val="left" w:pos="567"/>
        </w:tabs>
        <w:ind w:right="23"/>
        <w:jc w:val="both"/>
      </w:pPr>
      <w:r>
        <w:rPr>
          <w:bCs/>
        </w:rPr>
        <w:tab/>
        <w:t xml:space="preserve">Отчетените </w:t>
      </w:r>
      <w:r>
        <w:t xml:space="preserve">разходи по </w:t>
      </w:r>
      <w:r>
        <w:rPr>
          <w:b/>
        </w:rPr>
        <w:t>общинските бюджети за</w:t>
      </w:r>
      <w:r>
        <w:t xml:space="preserve"> група „Полиция, вътрешен ред и сигурност” за 2015 г. са в размер на 20,2 млн. лв. Извършените текущи разходи за тази група са в размер на 17,8 млн. лв., което е 65,5 % от разчетите към закона и 86,9 % от отчетените за 201</w:t>
      </w:r>
      <w:r w:rsidR="003C058F">
        <w:t>4</w:t>
      </w:r>
      <w:r>
        <w:t xml:space="preserve"> г. В </w:t>
      </w:r>
      <w:r>
        <w:rPr>
          <w:i/>
        </w:rPr>
        <w:t>делегираните от държавата дейности</w:t>
      </w:r>
      <w:r>
        <w:t xml:space="preserve"> за текущи разходи са разчетени средства по закон в размер на 11,8 млн. лв., а извършените разходи са 9,1 млн. лв. или 77,1 % от плана. Изпълнението е 113,6 % спрямо отчета за 2014 г. Тук се отчитат разходите за персонал и издръжка на местните комисии за борба срещу противообществените прояви на малолетните и непълнолетните, на центровете за социална превенция и консултативни кабинети, на областните съвети по наркотични вещества и на превантивно-информационните центрове, на детските педагогически стаи, районните инспектори, разходите за персонал на секретарите на местните комисии за борба с трафика на хора.</w:t>
      </w:r>
    </w:p>
    <w:p w:rsidR="006E5AE0" w:rsidRDefault="006E5AE0" w:rsidP="006E5AE0">
      <w:pPr>
        <w:tabs>
          <w:tab w:val="left" w:pos="-180"/>
          <w:tab w:val="left" w:pos="0"/>
        </w:tabs>
        <w:ind w:right="23"/>
        <w:jc w:val="both"/>
      </w:pPr>
      <w:r>
        <w:t xml:space="preserve">По отчетни данни за 2015 г. общините са дофинансирали държавните дейности със собствени приходи в размер на 0,6 млн. лв. </w:t>
      </w:r>
    </w:p>
    <w:p w:rsidR="006E5AE0" w:rsidRDefault="006E5AE0" w:rsidP="006E5AE0">
      <w:pPr>
        <w:tabs>
          <w:tab w:val="left" w:pos="-180"/>
          <w:tab w:val="left" w:pos="0"/>
        </w:tabs>
        <w:ind w:right="23"/>
        <w:jc w:val="both"/>
      </w:pPr>
      <w:r>
        <w:lastRenderedPageBreak/>
        <w:t xml:space="preserve">В </w:t>
      </w:r>
      <w:r>
        <w:rPr>
          <w:i/>
        </w:rPr>
        <w:t>местните дейности</w:t>
      </w:r>
      <w:r>
        <w:t xml:space="preserve"> за текущи разходи са разчетени средства по закон в размер на 15,4 млн. лв., а извършените разходи са 8,1 млн. лв. или 52,6 </w:t>
      </w:r>
      <w:r w:rsidR="004126A8">
        <w:t>% от плана. Изпълнението е 68,9</w:t>
      </w:r>
      <w:r w:rsidR="004126A8">
        <w:rPr>
          <w:lang w:val="en-US"/>
        </w:rPr>
        <w:t> </w:t>
      </w:r>
      <w:r>
        <w:t xml:space="preserve">% от отчета за 2014 г. Тук се отчитат разходите за звената „Общинска полиция”. </w:t>
      </w:r>
    </w:p>
    <w:p w:rsidR="006E5AE0" w:rsidRDefault="006E5AE0" w:rsidP="006E5AE0">
      <w:pPr>
        <w:tabs>
          <w:tab w:val="left" w:pos="-180"/>
          <w:tab w:val="left" w:pos="0"/>
        </w:tabs>
        <w:spacing w:after="120"/>
        <w:ind w:right="23"/>
        <w:jc w:val="both"/>
        <w:rPr>
          <w:color w:val="0070C0"/>
          <w:sz w:val="8"/>
          <w:szCs w:val="8"/>
        </w:rPr>
      </w:pPr>
    </w:p>
    <w:p w:rsidR="006E5AE0" w:rsidRPr="004126A8" w:rsidRDefault="006E5AE0" w:rsidP="006E5AE0">
      <w:pPr>
        <w:tabs>
          <w:tab w:val="left" w:pos="-180"/>
          <w:tab w:val="left" w:pos="0"/>
        </w:tabs>
        <w:spacing w:after="120"/>
        <w:ind w:right="23"/>
        <w:jc w:val="both"/>
        <w:rPr>
          <w:lang w:val="en-US"/>
        </w:rPr>
      </w:pPr>
      <w:r>
        <w:t xml:space="preserve">Отчетените капиталови разходи в тази група са в размер на 2,4 млн. лв., основно за местни дейности. </w:t>
      </w:r>
    </w:p>
    <w:p w:rsidR="00A957DB" w:rsidRPr="004126A8" w:rsidRDefault="006E5AE0" w:rsidP="004126A8">
      <w:pPr>
        <w:pStyle w:val="BodyText"/>
        <w:ind w:firstLine="540"/>
        <w:jc w:val="both"/>
        <w:rPr>
          <w:lang w:val="en-US"/>
        </w:rPr>
      </w:pPr>
      <w:r>
        <w:rPr>
          <w:b/>
        </w:rPr>
        <w:t xml:space="preserve">Европейски средства </w:t>
      </w:r>
      <w:r>
        <w:t xml:space="preserve">-  изразходваните средства в група „Полиция, вътрешен ред и сигурност” са в размер на 114,1 млн. лв. </w:t>
      </w:r>
      <w:r>
        <w:rPr>
          <w:lang w:val="ru-RU"/>
        </w:rPr>
        <w:t>(</w:t>
      </w:r>
      <w:r>
        <w:t>в т.ч. 99,8 млн. лв. капиталови разходи</w:t>
      </w:r>
      <w:r>
        <w:rPr>
          <w:lang w:val="ru-RU"/>
        </w:rPr>
        <w:t>)</w:t>
      </w:r>
      <w:r>
        <w:t xml:space="preserve"> и са основно по оперативна програма „Околна среда“ </w:t>
      </w:r>
      <w:r>
        <w:rPr>
          <w:lang w:val="en-US"/>
        </w:rPr>
        <w:t>(</w:t>
      </w:r>
      <w:r>
        <w:t>49,4</w:t>
      </w:r>
      <w:r>
        <w:rPr>
          <w:lang w:val="en-US"/>
        </w:rPr>
        <w:t xml:space="preserve"> </w:t>
      </w:r>
      <w:r>
        <w:t>млн. лв.</w:t>
      </w:r>
      <w:r>
        <w:rPr>
          <w:lang w:val="en-US"/>
        </w:rPr>
        <w:t>)</w:t>
      </w:r>
      <w:r>
        <w:t xml:space="preserve">, оперативна програма </w:t>
      </w:r>
      <w:r w:rsidRPr="00676B49">
        <w:t>„Регионално развитие“</w:t>
      </w:r>
      <w:r w:rsidRPr="00676B49">
        <w:rPr>
          <w:lang w:val="en-US"/>
        </w:rPr>
        <w:t xml:space="preserve"> (</w:t>
      </w:r>
      <w:r w:rsidRPr="00676B49">
        <w:t>28,4 млн. лв.</w:t>
      </w:r>
      <w:r w:rsidRPr="00676B49">
        <w:rPr>
          <w:lang w:val="en-US"/>
        </w:rPr>
        <w:t xml:space="preserve">) </w:t>
      </w:r>
      <w:r w:rsidRPr="00676B49">
        <w:t xml:space="preserve">и разходи по др. програми и проекти, финансирани от фондове и институции на ЕС </w:t>
      </w:r>
      <w:r w:rsidRPr="00676B49">
        <w:rPr>
          <w:lang w:val="en-US"/>
        </w:rPr>
        <w:t>(</w:t>
      </w:r>
      <w:r w:rsidRPr="00676B49">
        <w:t>33,0 млн. лв.</w:t>
      </w:r>
      <w:r w:rsidRPr="00676B49">
        <w:rPr>
          <w:lang w:val="en-US"/>
        </w:rPr>
        <w:t>)</w:t>
      </w:r>
      <w:r w:rsidRPr="00676B49">
        <w:t>. Извършените разходи по програмата са</w:t>
      </w:r>
      <w:r>
        <w:t xml:space="preserve"> предимно за придобиване на материални дълготрайни активи</w:t>
      </w:r>
      <w:r w:rsidR="004C38AD">
        <w:t xml:space="preserve"> (противопожарни автомобили и други)</w:t>
      </w:r>
      <w:r>
        <w:t>.</w:t>
      </w:r>
    </w:p>
    <w:p w:rsidR="006E5AE0" w:rsidRDefault="006E5AE0" w:rsidP="006E5AE0">
      <w:pPr>
        <w:ind w:firstLine="540"/>
        <w:rPr>
          <w:b/>
        </w:rPr>
      </w:pPr>
      <w:r>
        <w:rPr>
          <w:b/>
        </w:rPr>
        <w:t xml:space="preserve">Група В: </w:t>
      </w:r>
      <w:r>
        <w:rPr>
          <w:b/>
          <w:i/>
        </w:rPr>
        <w:t>„Съдебна власт”</w:t>
      </w:r>
    </w:p>
    <w:p w:rsidR="006E5AE0" w:rsidRDefault="006E5AE0" w:rsidP="006E5AE0">
      <w:pPr>
        <w:ind w:firstLine="540"/>
        <w:jc w:val="both"/>
        <w:rPr>
          <w:sz w:val="12"/>
          <w:szCs w:val="12"/>
        </w:rPr>
      </w:pPr>
    </w:p>
    <w:p w:rsidR="006E5AE0" w:rsidRDefault="006E5AE0" w:rsidP="006E5AE0">
      <w:pPr>
        <w:ind w:firstLine="540"/>
        <w:jc w:val="both"/>
      </w:pPr>
      <w:r>
        <w:t xml:space="preserve">Средствата в тази група са предназначени за осигуряване на дейността на органите на съдебната власт, както и за издръжка на Главна дирекция „Охрана”, Агенцията по вписванията, Националното бюро за правна помощ (второстепенни разпоредители с бюджет към министъра на правосъдието) и разходите по програма „Инвестиции на органите на съдебната власт”. Със ЗДБРБ за 2015 г. в тази група са предвидени разходи в размер на </w:t>
      </w:r>
      <w:r w:rsidR="00BC6413">
        <w:t>547,4</w:t>
      </w:r>
      <w:r>
        <w:t xml:space="preserve"> млн. лв. (с резерва за непредвидени и неотложни разходи), от които 473,0 млн. лв. по бюджета на съдебната власт </w:t>
      </w:r>
      <w:r w:rsidRPr="00BC6413">
        <w:t>и 7</w:t>
      </w:r>
      <w:r w:rsidR="003C058F">
        <w:t>2</w:t>
      </w:r>
      <w:r w:rsidRPr="00BC6413">
        <w:t>,</w:t>
      </w:r>
      <w:r w:rsidR="003C058F">
        <w:t>9</w:t>
      </w:r>
      <w:r w:rsidRPr="00BC6413">
        <w:t xml:space="preserve"> млн.</w:t>
      </w:r>
      <w:r>
        <w:t xml:space="preserve"> лв. по бюджета на МП</w:t>
      </w:r>
      <w:r>
        <w:rPr>
          <w:lang w:val="ru-RU"/>
        </w:rPr>
        <w:t>.</w:t>
      </w:r>
    </w:p>
    <w:p w:rsidR="006E5AE0" w:rsidRDefault="006E5AE0" w:rsidP="006E5AE0">
      <w:pPr>
        <w:ind w:firstLine="540"/>
        <w:jc w:val="both"/>
      </w:pPr>
      <w:r>
        <w:t xml:space="preserve">Средствата </w:t>
      </w:r>
      <w:r>
        <w:rPr>
          <w:b/>
        </w:rPr>
        <w:t>по бюджета на съдебната власт</w:t>
      </w:r>
      <w:r>
        <w:t xml:space="preserve"> са предвидени за финансово осигуряване на основните политики, заложени в Актуализираната стратегия за продължаване на реформата в съдебната система. Финансирането на дейностите при</w:t>
      </w:r>
      <w:r>
        <w:rPr>
          <w:color w:val="0070C0"/>
        </w:rPr>
        <w:t xml:space="preserve"> </w:t>
      </w:r>
      <w:r>
        <w:t>изпълнението на бюджета са насочени за обезпечаване дейността на съдебната система, която да гарантира прилагането на законите, постигането на равен достъп до правосъдие и на европейски стандарти в областта на правната помощ, подобряване на управлението и организация на работата на съдебната власт, усъвършенстване на информационните технологии, развитие на информационна стратегия на правораздавателните органи.</w:t>
      </w:r>
    </w:p>
    <w:p w:rsidR="006E5AE0" w:rsidRDefault="006E5AE0" w:rsidP="006E5AE0">
      <w:pPr>
        <w:ind w:firstLine="540"/>
        <w:jc w:val="both"/>
      </w:pPr>
      <w:r>
        <w:t>Общият размер на отчетените разходи по група „Съдебна власт” за 2015 г. е 552,4 млн. лв., от тях 466,3 млн. лв. по бюджета на съдебната власт и 77,4 млн. лв. по бюджета на МП.</w:t>
      </w:r>
    </w:p>
    <w:p w:rsidR="006E5AE0" w:rsidRDefault="006E5AE0" w:rsidP="006E5AE0">
      <w:pPr>
        <w:ind w:firstLine="540"/>
        <w:jc w:val="both"/>
      </w:pPr>
      <w:r>
        <w:t xml:space="preserve">Разходите </w:t>
      </w:r>
      <w:r>
        <w:rPr>
          <w:b/>
        </w:rPr>
        <w:t>по бюджета на съдебната власт</w:t>
      </w:r>
      <w:r>
        <w:t xml:space="preserve"> са насочени за нормалното функциониране на съдебните институции. В отчета са включени и одобрени в хода на изпълнение на бюджета допълнителни разходи на основание чл. 109 от Закона за публичните финанси.</w:t>
      </w:r>
    </w:p>
    <w:p w:rsidR="006E5AE0" w:rsidRDefault="006E5AE0" w:rsidP="006E5AE0">
      <w:pPr>
        <w:ind w:firstLine="540"/>
        <w:jc w:val="both"/>
      </w:pPr>
      <w:r>
        <w:rPr>
          <w:b/>
        </w:rPr>
        <w:t>По бюджета на МП през 2015 г. за Главна дирекция „Охрана“ (ГДО) са изразходени 30,3 млн. лв.</w:t>
      </w:r>
      <w:r>
        <w:t xml:space="preserve"> Общият брой на обектите, подлежащи на охрана от ГДО, съгласно чл.391, ал.3, т.1, от Закона за съдебната власт, към отчетния период е 231. От тях, поетите под охрана към 31.12.2015 г. са 173 обекта, а 58 обекта са без охрана. Направени са инвестиции за оборудване на 28 денонощни оперативно дежурни части за видео наблюдение и оперативно наблюдение на служебните автомобили.</w:t>
      </w:r>
    </w:p>
    <w:p w:rsidR="006E5AE0" w:rsidRDefault="006E5AE0" w:rsidP="006E5AE0">
      <w:pPr>
        <w:ind w:firstLine="540"/>
        <w:jc w:val="both"/>
      </w:pPr>
      <w:r>
        <w:t xml:space="preserve">За изпълнение на дейностите  на Агенцията по вписванията са отчетени 13,3 млн. лв. През периода Агенцията по вписванията е предоставила общо 2 334 595 броя услуги. Внедрено е и Мобилно приложение на търговския регистър, даващо бърз и лесен достъп до важна и актуална за търговците информация. През 2014 г. е внедрено предоставянето на безплатна услуга “SMS” оповестяване относно услугите, предоставяни от службите по вписванията. </w:t>
      </w:r>
    </w:p>
    <w:p w:rsidR="00A957DB" w:rsidRPr="004126A8" w:rsidRDefault="006E5AE0" w:rsidP="004126A8">
      <w:pPr>
        <w:ind w:firstLine="540"/>
        <w:jc w:val="both"/>
        <w:rPr>
          <w:lang w:val="en-US"/>
        </w:rPr>
      </w:pPr>
      <w:r>
        <w:t xml:space="preserve">През отчетната година са изразходвани и 24,3 млн. лв., от които 20 млн. лв. са за капиталови разходи и 4,3 млн. лв.  за издръжка на имотите, предоставени за управление на </w:t>
      </w:r>
      <w:r>
        <w:lastRenderedPageBreak/>
        <w:t>Министерство на правосъдието за нуждите на органите на съдебната власт. За дейностите по осигуряването на равен достъп до правосъдието, изпълнявани от Националното бюро за правна помощ (НБПП) съвместно с адвокатските съвети, през 2015 г. са изразходвани средства в размер на 9,7 млн. лв., в т.ч. по Закона за правната помощ – 9,1 млн. лв. за  адвокатски хонорари. За отчетния период е предоставена правна помощ на 37 193 лица. Изплатени са адвокатски възнаграждения за предоставена правна помощ на 36 831 лица. Забелязва се тенденция на намаляване на процесуалното представителство за сметка на предоставена първична правна помощ – изразява се в правни консултации, с оглед постигане на споразумение преди започване на съдопроизводство и завеждане на дела,подготовка на документи и завеждане на дело.</w:t>
      </w:r>
    </w:p>
    <w:p w:rsidR="00A957DB" w:rsidRPr="00A957DB" w:rsidRDefault="00A957DB" w:rsidP="006E5AE0">
      <w:pPr>
        <w:ind w:firstLine="540"/>
        <w:jc w:val="both"/>
        <w:rPr>
          <w:color w:val="0070C0"/>
          <w:lang w:val="en-US"/>
        </w:rPr>
      </w:pPr>
    </w:p>
    <w:p w:rsidR="006E5AE0" w:rsidRDefault="006E5AE0" w:rsidP="006E5AE0">
      <w:pPr>
        <w:ind w:firstLine="540"/>
        <w:rPr>
          <w:b/>
        </w:rPr>
      </w:pPr>
      <w:r>
        <w:rPr>
          <w:b/>
        </w:rPr>
        <w:t xml:space="preserve">Група Г: </w:t>
      </w:r>
      <w:r>
        <w:rPr>
          <w:b/>
          <w:i/>
        </w:rPr>
        <w:t>„Администрация на затворите”</w:t>
      </w:r>
    </w:p>
    <w:p w:rsidR="006E5AE0" w:rsidRDefault="006E5AE0" w:rsidP="006E5AE0">
      <w:pPr>
        <w:ind w:firstLine="540"/>
        <w:rPr>
          <w:b/>
          <w:color w:val="0070C0"/>
          <w:sz w:val="12"/>
          <w:szCs w:val="12"/>
        </w:rPr>
      </w:pPr>
    </w:p>
    <w:p w:rsidR="006E5AE0" w:rsidRDefault="006E5AE0" w:rsidP="006E5AE0">
      <w:pPr>
        <w:pStyle w:val="BodyTextIndent"/>
        <w:spacing w:after="0"/>
        <w:ind w:left="0" w:right="-159" w:firstLine="540"/>
        <w:jc w:val="both"/>
        <w:rPr>
          <w:lang w:val="bg-BG"/>
        </w:rPr>
      </w:pPr>
      <w:r>
        <w:rPr>
          <w:lang w:val="bg-BG"/>
        </w:rPr>
        <w:t xml:space="preserve">В тази група са включени разходите за финансово осигуряване на основните дейности и задачи, възложени със Закона за изпълнение на наказанията и задържането под стража, на Главна дирекция </w:t>
      </w:r>
      <w:r>
        <w:rPr>
          <w:lang w:val="ru-RU" w:eastAsia="bg-BG"/>
        </w:rPr>
        <w:t>„</w:t>
      </w:r>
      <w:r>
        <w:rPr>
          <w:lang w:val="bg-BG"/>
        </w:rPr>
        <w:t>Изпълнение на наказанията” към МП, както и средства за развитие на пробационната дейност в изпълнение на Наказателния кодекс. Утвърдените средства за</w:t>
      </w:r>
      <w:r>
        <w:rPr>
          <w:color w:val="0070C0"/>
          <w:lang w:val="bg-BG"/>
        </w:rPr>
        <w:t xml:space="preserve"> </w:t>
      </w:r>
      <w:r>
        <w:rPr>
          <w:lang w:val="bg-BG"/>
        </w:rPr>
        <w:t xml:space="preserve">годината по КФП са в размер на </w:t>
      </w:r>
      <w:r w:rsidR="00FC3D74">
        <w:rPr>
          <w:lang w:val="bg-BG"/>
        </w:rPr>
        <w:t>135,3</w:t>
      </w:r>
      <w:r>
        <w:rPr>
          <w:lang w:val="bg-BG"/>
        </w:rPr>
        <w:t xml:space="preserve"> млн. лв.</w:t>
      </w:r>
      <w:r>
        <w:rPr>
          <w:lang w:val="ru-RU"/>
        </w:rPr>
        <w:t xml:space="preserve"> (</w:t>
      </w:r>
      <w:r>
        <w:rPr>
          <w:lang w:val="bg-BG"/>
        </w:rPr>
        <w:t>с резерва за непредвидени и неотложни разходи</w:t>
      </w:r>
      <w:r>
        <w:rPr>
          <w:lang w:val="ru-RU"/>
        </w:rPr>
        <w:t>)</w:t>
      </w:r>
      <w:r>
        <w:rPr>
          <w:lang w:val="bg-BG"/>
        </w:rPr>
        <w:t xml:space="preserve">. </w:t>
      </w:r>
    </w:p>
    <w:p w:rsidR="006E5AE0" w:rsidRDefault="006E5AE0" w:rsidP="006E5AE0">
      <w:pPr>
        <w:pStyle w:val="BodyTextIndent"/>
        <w:spacing w:after="0"/>
        <w:ind w:left="0" w:right="-159" w:firstLine="540"/>
        <w:jc w:val="both"/>
        <w:rPr>
          <w:lang w:val="bg-BG"/>
        </w:rPr>
      </w:pPr>
      <w:r>
        <w:rPr>
          <w:lang w:val="bg-BG"/>
        </w:rPr>
        <w:t>В хода на изпълнението на държавния бюджет за 2015 г. на основание чл. 109, чл. 112 и чл. 113 от Закона за публичните финанси по бюджета на МП за група „Администрация на затворите” са осигурени допълнителни средства в размер на 22,2 млн. лв. за персонал и издръжка.</w:t>
      </w:r>
    </w:p>
    <w:p w:rsidR="006E5AE0" w:rsidRDefault="006E5AE0" w:rsidP="006E5AE0">
      <w:pPr>
        <w:pStyle w:val="BodyTextIndent"/>
        <w:spacing w:after="0"/>
        <w:ind w:left="0" w:right="-159" w:firstLine="540"/>
        <w:jc w:val="both"/>
        <w:rPr>
          <w:lang w:val="bg-BG" w:eastAsia="bg-BG"/>
        </w:rPr>
      </w:pPr>
      <w:r>
        <w:rPr>
          <w:lang w:val="bg-BG"/>
        </w:rPr>
        <w:t xml:space="preserve">Общият размер на отчетените разходи на консолидирано ниво за група „Администрация на затворите” през 2015 г. е 137,1 млн. лв., в т.ч. за текущи разходи – 128,9 млн. лв. и за капиталови разходи – 8,2 млн. лв. </w:t>
      </w:r>
      <w:r>
        <w:rPr>
          <w:lang w:val="bg-BG" w:eastAsia="bg-BG"/>
        </w:rPr>
        <w:t>П</w:t>
      </w:r>
      <w:r>
        <w:rPr>
          <w:lang w:eastAsia="bg-BG"/>
        </w:rPr>
        <w:t>о бюджета на МП</w:t>
      </w:r>
      <w:r>
        <w:rPr>
          <w:lang w:val="bg-BG" w:eastAsia="bg-BG"/>
        </w:rPr>
        <w:t xml:space="preserve"> в групата са отчетените разходи в размер на 129,1 млн. лева.</w:t>
      </w:r>
    </w:p>
    <w:p w:rsidR="006E5AE0" w:rsidRDefault="006E5AE0" w:rsidP="006E5AE0">
      <w:pPr>
        <w:pStyle w:val="BodyTextIndent"/>
        <w:spacing w:after="0"/>
        <w:ind w:left="0" w:right="-159" w:firstLine="540"/>
        <w:jc w:val="both"/>
        <w:rPr>
          <w:lang w:val="bg-BG"/>
        </w:rPr>
      </w:pPr>
      <w:r>
        <w:rPr>
          <w:lang w:val="bg-BG"/>
        </w:rPr>
        <w:t xml:space="preserve">Един от основните приоритети по отношение на системата на затворите </w:t>
      </w:r>
      <w:r w:rsidRPr="00FA4A95">
        <w:rPr>
          <w:lang w:val="bg-BG"/>
        </w:rPr>
        <w:t>(пенитенциарната система) е свързан с подобряването на жилищно-битовите условия в затворите и следствените арести. През 2015 г. за капиталови разходи на главната дирекция</w:t>
      </w:r>
      <w:r>
        <w:rPr>
          <w:lang w:val="bg-BG"/>
        </w:rPr>
        <w:t xml:space="preserve"> са разходвани 1,6 млн. лв., като 0,9 млн. лв. са за осъществяването на основни ремонти, реконструкция и модернизиране на местата за лишаване от свобода и в местата за задържане. По-съществените обекти са</w:t>
      </w:r>
      <w:r>
        <w:rPr>
          <w:lang w:val="en-US"/>
        </w:rPr>
        <w:t>;</w:t>
      </w:r>
      <w:r>
        <w:rPr>
          <w:lang w:val="bg-BG"/>
        </w:rPr>
        <w:t xml:space="preserve"> ремонт покрив на затвора Плевен; преустройство, ремонт и въвеждане в експлоатация на сграда към затвора Враца;</w:t>
      </w:r>
      <w:r>
        <w:rPr>
          <w:lang w:val="en-US"/>
        </w:rPr>
        <w:t xml:space="preserve"> </w:t>
      </w:r>
      <w:r>
        <w:rPr>
          <w:lang w:val="bg-BG"/>
        </w:rPr>
        <w:t xml:space="preserve">строително-ремонтни дейности в ПД "Бойчиновци"; ремонтни дейности в затвор гр. Сливен; непредвидени и аварийни ремонти в затворите и др. </w:t>
      </w:r>
    </w:p>
    <w:p w:rsidR="006E5AE0" w:rsidRDefault="006E5AE0" w:rsidP="006E5AE0">
      <w:pPr>
        <w:pStyle w:val="BodyTextIndent"/>
        <w:tabs>
          <w:tab w:val="left" w:pos="993"/>
        </w:tabs>
        <w:spacing w:after="0"/>
        <w:ind w:left="0" w:right="-159" w:firstLine="823"/>
        <w:jc w:val="both"/>
        <w:rPr>
          <w:color w:val="0070C0"/>
          <w:lang w:val="bg-BG"/>
        </w:rPr>
      </w:pPr>
    </w:p>
    <w:p w:rsidR="006E5AE0" w:rsidRDefault="006E5AE0" w:rsidP="006E5AE0">
      <w:pPr>
        <w:ind w:left="1620" w:hanging="1080"/>
        <w:rPr>
          <w:b/>
          <w:i/>
        </w:rPr>
      </w:pPr>
      <w:r>
        <w:rPr>
          <w:b/>
        </w:rPr>
        <w:t>Група Д:</w:t>
      </w:r>
      <w:r>
        <w:rPr>
          <w:i/>
        </w:rPr>
        <w:t>„</w:t>
      </w:r>
      <w:r>
        <w:rPr>
          <w:b/>
          <w:i/>
        </w:rPr>
        <w:t>Защита на населението, управление и дейности при стихийни бедствия и аварии”</w:t>
      </w:r>
    </w:p>
    <w:p w:rsidR="006E5AE0" w:rsidRDefault="006E5AE0" w:rsidP="006E5AE0">
      <w:pPr>
        <w:ind w:firstLine="540"/>
        <w:rPr>
          <w:b/>
          <w:color w:val="0070C0"/>
          <w:sz w:val="12"/>
          <w:szCs w:val="12"/>
        </w:rPr>
      </w:pPr>
    </w:p>
    <w:p w:rsidR="006E5AE0" w:rsidRDefault="006E5AE0" w:rsidP="006E5AE0">
      <w:pPr>
        <w:ind w:firstLine="540"/>
        <w:jc w:val="both"/>
      </w:pPr>
      <w:r>
        <w:t>Разходите за защита на населението, управление и дейности при стихийни бедствия и аварии са предназначени за осигуряване на дейностите по отбранително-мобилизационната подготовка, в изпълнение на Закона за отбраната и въоръжените сили на Република България, за изпълнение на разпоредбите на Закона за защита при бедствия, касаещи  дейностите на държавните органи и общинската администрация по управлението при кризи, стихийни бедствия и аварии, в т.ч. за изпълнението на мерки по предотвратяване на последствията от тях.</w:t>
      </w:r>
    </w:p>
    <w:p w:rsidR="006E5AE0" w:rsidRDefault="006E5AE0" w:rsidP="006E5AE0">
      <w:pPr>
        <w:tabs>
          <w:tab w:val="num" w:pos="426"/>
          <w:tab w:val="num" w:pos="962"/>
        </w:tabs>
        <w:ind w:firstLine="540"/>
        <w:jc w:val="both"/>
      </w:pPr>
      <w:r>
        <w:t xml:space="preserve">В група „Защита на населението, управление и дейности при стихийни бедствия и аварии” и през 2015 г. най-голям дял заемат средствата за предотвратяване, овладяване и преодоляване на последици от бедствия.  Разчетените средства със ЗДБРБ за 2015 г. в групата са в размер на 100,9 млн. лв. (в т. ч. средствата  от резерва за предотвратяване, овладяване и преодоляване на последиците от бедствия). </w:t>
      </w:r>
    </w:p>
    <w:p w:rsidR="006E5AE0" w:rsidRDefault="006E5AE0" w:rsidP="006E5AE0">
      <w:pPr>
        <w:tabs>
          <w:tab w:val="num" w:pos="426"/>
          <w:tab w:val="num" w:pos="962"/>
        </w:tabs>
        <w:ind w:firstLine="540"/>
        <w:jc w:val="both"/>
      </w:pPr>
      <w:r>
        <w:lastRenderedPageBreak/>
        <w:t>В хода на изпълнението на държавния бюджет, на основание чл. 109, ал. 3 и ал. 6  от Закона за публичните финанси и акт на Министерския съвет, по бюджетите на министерствата и ведомствата  са осигурени допълнителни средства, като най - голям дял имат разходите за предотвратяване, овладяване и преодоляване на последици от бедствия.</w:t>
      </w:r>
    </w:p>
    <w:p w:rsidR="006E5AE0" w:rsidRDefault="006E5AE0" w:rsidP="006E5AE0">
      <w:pPr>
        <w:tabs>
          <w:tab w:val="num" w:pos="426"/>
          <w:tab w:val="num" w:pos="962"/>
        </w:tabs>
        <w:ind w:firstLine="540"/>
        <w:jc w:val="both"/>
      </w:pPr>
      <w:r>
        <w:t>Съгласно ЗДБРБ за 2015 г., средствата  в резерва по чл. 1, ал. 2, раздел II, т. 4.1.1 за предотвратяване, овладяване и преодоляване на последиците от бедствия са в размер на 70 млн.</w:t>
      </w:r>
      <w:r>
        <w:rPr>
          <w:lang w:val="en-US"/>
        </w:rPr>
        <w:t xml:space="preserve"> </w:t>
      </w:r>
      <w:r>
        <w:t>лв. С Постановления на Министерския съвет № 26, 64, 82, 92, 210, 267 и  311 от 2015 г. са одобрени тези допълнителни разходи/трансфери от резерва. От тях 64</w:t>
      </w:r>
      <w:r w:rsidR="00631009">
        <w:t>,7</w:t>
      </w:r>
      <w:r>
        <w:t xml:space="preserve"> % са предоставени по бюджетите на общините и 3</w:t>
      </w:r>
      <w:r w:rsidR="00631009">
        <w:t>5,3</w:t>
      </w:r>
      <w:r>
        <w:t xml:space="preserve"> % за министерства и ведомства. </w:t>
      </w:r>
    </w:p>
    <w:p w:rsidR="006E5AE0" w:rsidRDefault="006E5AE0" w:rsidP="006E5AE0">
      <w:pPr>
        <w:tabs>
          <w:tab w:val="num" w:pos="426"/>
          <w:tab w:val="num" w:pos="962"/>
        </w:tabs>
        <w:ind w:firstLine="540"/>
        <w:jc w:val="both"/>
      </w:pPr>
      <w:r>
        <w:t xml:space="preserve">През 2015 г. в група „Защита на населението, управление и дейности при стихийни </w:t>
      </w:r>
      <w:r w:rsidRPr="009C7CBE">
        <w:t xml:space="preserve">бедствия и аварии” на консолидирано ниво са отчетени разходи в размер на 130,7 млн. лв., от които разходите за предотвратяване и ликвидиране на последиците от бедствия и аварии са </w:t>
      </w:r>
      <w:r w:rsidR="00631009">
        <w:rPr>
          <w:lang w:val="ru-RU"/>
        </w:rPr>
        <w:t>59</w:t>
      </w:r>
      <w:r w:rsidRPr="009C7CBE">
        <w:rPr>
          <w:lang w:val="ru-RU"/>
        </w:rPr>
        <w:t>,</w:t>
      </w:r>
      <w:r w:rsidR="00631009">
        <w:rPr>
          <w:lang w:val="ru-RU"/>
        </w:rPr>
        <w:t>1</w:t>
      </w:r>
      <w:r w:rsidRPr="009C7CBE">
        <w:t xml:space="preserve"> млн. лв. От предоставените средства за предотвратяване и ликвидиране на последиците от бедствия и аварии, </w:t>
      </w:r>
      <w:r w:rsidR="00631009">
        <w:rPr>
          <w:lang w:val="ru-RU"/>
        </w:rPr>
        <w:t>34</w:t>
      </w:r>
      <w:r w:rsidRPr="009C7CBE">
        <w:rPr>
          <w:lang w:val="ru-RU"/>
        </w:rPr>
        <w:t>,</w:t>
      </w:r>
      <w:r w:rsidR="00631009">
        <w:rPr>
          <w:lang w:val="ru-RU"/>
        </w:rPr>
        <w:t>9</w:t>
      </w:r>
      <w:r w:rsidRPr="009C7CBE">
        <w:t xml:space="preserve"> млн. лв. са отчетени по бюджетите на общините.</w:t>
      </w:r>
      <w:r>
        <w:t xml:space="preserve"> </w:t>
      </w:r>
    </w:p>
    <w:p w:rsidR="006E5AE0" w:rsidRDefault="006E5AE0" w:rsidP="006E5AE0">
      <w:pPr>
        <w:ind w:firstLine="540"/>
        <w:jc w:val="both"/>
        <w:rPr>
          <w:rFonts w:eastAsia="Calibri"/>
        </w:rPr>
      </w:pPr>
      <w:r>
        <w:rPr>
          <w:rFonts w:eastAsia="Calibri"/>
          <w:lang w:eastAsia="en-US"/>
        </w:rPr>
        <w:t>Според целевото предназначение за неотложни възстановителни работи са отпуснати 66 % от разпределените през годината средства, за разплащане на непредвидени разходи за спасителни и неотложни аварийни работи – 31 %, за превантивни дейности – 2 %, за възстановителна помощ 1%.</w:t>
      </w:r>
    </w:p>
    <w:p w:rsidR="006E5AE0" w:rsidRDefault="006E5AE0" w:rsidP="006E5AE0">
      <w:pPr>
        <w:ind w:firstLine="540"/>
        <w:jc w:val="both"/>
        <w:rPr>
          <w:rFonts w:eastAsia="Calibri"/>
        </w:rPr>
      </w:pPr>
      <w:r>
        <w:rPr>
          <w:rFonts w:eastAsia="Calibri"/>
        </w:rPr>
        <w:t>По - значителните събития, наложили използването на резерва за непредвидени и/или неотложни разходи в частта му за предотвратяване, овладяване и преодоляване на последици от бедствия  през 2015 г. са:  наводненията в периода 30.01-2.02.2015 г. в областите Смолян, Кърджали, Бургас, Хасково; наводненията през март 2015 г. в общините Пазарджик, Гълъбово, Долна баня и Столична община; снеговалежите и снегонавяванията в периода 6-17 март 2015 г. в областите Смолян, Кърджали и Пазарджик; Активизиралите се свлачища в общините Оряхово, Асеновград, Кърджали, Момчилград, Варна, Аксаково, Велико Търново, Сапарева баня, Автомагистрала „Струма” в участъка между гр. Дупница и гр. Благоевград.</w:t>
      </w:r>
      <w:r>
        <w:rPr>
          <w:rFonts w:eastAsia="Calibri"/>
          <w:lang w:eastAsia="en-US"/>
        </w:rPr>
        <w:t xml:space="preserve"> През годината продължи възстановяването на регионите, засегнати от бедствия през 2014 година: Бургас, Сунгурларе, Варна, Аксаково, Велико Търново, Габрово, Тетевен, Балчик, Лесичово, Брацигово и Пазарджик, Пловдив вследствие на наводнения през юни-юли 2014 г.; Мизия - след наводненията от 6 август; общините Хисаря, Бургас, Царево, Ветрино, Берковица, Пазарджик, Брацигово, Съединение, Гълъбово и Тунджа – вследствие на вредното въздействие на водите през есента.</w:t>
      </w:r>
    </w:p>
    <w:p w:rsidR="006E5AE0" w:rsidRDefault="006E5AE0" w:rsidP="006E5AE0">
      <w:pPr>
        <w:ind w:firstLine="567"/>
        <w:jc w:val="both"/>
        <w:rPr>
          <w:rFonts w:eastAsia="Calibri"/>
        </w:rPr>
      </w:pPr>
      <w:r>
        <w:rPr>
          <w:rFonts w:eastAsia="Calibri"/>
        </w:rPr>
        <w:t>В рамките на предоставените през годината средства</w:t>
      </w:r>
      <w:r>
        <w:rPr>
          <w:rFonts w:eastAsia="Calibri"/>
          <w:b/>
          <w:bCs/>
        </w:rPr>
        <w:t xml:space="preserve"> </w:t>
      </w:r>
      <w:r>
        <w:rPr>
          <w:rFonts w:eastAsia="Calibri"/>
          <w:bCs/>
        </w:rPr>
        <w:t>са</w:t>
      </w:r>
      <w:r>
        <w:rPr>
          <w:rFonts w:eastAsia="Calibri"/>
        </w:rPr>
        <w:t xml:space="preserve"> реализирани и дейностите по осигуряването на готовността на централната администрация за работа във военно време. Предоставените средства по дейността са разходвани основно за поддържане в готовност за използване на системата за управление; поддържане на денонощно дежурство за оповестяване и преминаване от мирно във военно положение; поддържане на индивидуалните и колективни средства за защита; подготовка на ръководния състав за работа във военно време.</w:t>
      </w:r>
    </w:p>
    <w:p w:rsidR="006E5AE0" w:rsidRDefault="006E5AE0" w:rsidP="006E5AE0">
      <w:pPr>
        <w:pStyle w:val="BodyText"/>
        <w:widowControl w:val="0"/>
        <w:spacing w:after="0"/>
        <w:ind w:firstLine="539"/>
        <w:jc w:val="both"/>
      </w:pPr>
      <w:r>
        <w:t xml:space="preserve">Разходите по </w:t>
      </w:r>
      <w:r>
        <w:rPr>
          <w:b/>
        </w:rPr>
        <w:t>общинските бюджети</w:t>
      </w:r>
      <w:r>
        <w:t xml:space="preserve"> за група „Защита на населението, управление и дейности при стихийни бедствия и аварии”  са в размер на </w:t>
      </w:r>
      <w:r>
        <w:rPr>
          <w:lang w:val="en-US"/>
        </w:rPr>
        <w:t>99</w:t>
      </w:r>
      <w:r>
        <w:t>,</w:t>
      </w:r>
      <w:r>
        <w:rPr>
          <w:lang w:val="en-US"/>
        </w:rPr>
        <w:t>6</w:t>
      </w:r>
      <w:r>
        <w:t xml:space="preserve"> млн. лв. (превишeние със </w:t>
      </w:r>
      <w:r w:rsidRPr="00A957DB">
        <w:t>73,1 млн. лв. на разчетите по закон</w:t>
      </w:r>
      <w:r w:rsidR="00631009">
        <w:t>)</w:t>
      </w:r>
      <w:r>
        <w:t>. Преизпълнението на</w:t>
      </w:r>
      <w:r>
        <w:rPr>
          <w:color w:val="0070C0"/>
        </w:rPr>
        <w:t xml:space="preserve"> </w:t>
      </w:r>
      <w:r>
        <w:t>разходите  е във връзка с предоставени допълнителни средства на общините по решения на Междуведомствената комисия за възстановяване и подпомагане (МВКВП) към Министерския съвет за превантивна дейност и за ликвидиране на последиците от стихийни бедствия и аварии, както и предоставени допълнителни средства от централния бюджет за доброволни формирования.</w:t>
      </w:r>
    </w:p>
    <w:p w:rsidR="006E5AE0" w:rsidRDefault="006E5AE0" w:rsidP="006E5AE0">
      <w:pPr>
        <w:pStyle w:val="BodyText"/>
        <w:widowControl w:val="0"/>
        <w:spacing w:after="0"/>
        <w:ind w:firstLine="539"/>
        <w:jc w:val="both"/>
      </w:pPr>
      <w:r>
        <w:t xml:space="preserve">В група „Защита на населението, управление и дейности при стихийни бедствия и аварии” при </w:t>
      </w:r>
      <w:r>
        <w:rPr>
          <w:i/>
        </w:rPr>
        <w:t xml:space="preserve">делегираните от държавата дейности </w:t>
      </w:r>
      <w:r>
        <w:t xml:space="preserve">за текущи разходи са разчетени средства по закон в размер на 17,4 млн. лв., а извършените разходи са 32,4 млн. лв. или </w:t>
      </w:r>
      <w:r>
        <w:lastRenderedPageBreak/>
        <w:t xml:space="preserve">15,0 млн. лв. повече спрямо плана. Тук се отчитат разходите за отбранително-мобилизационни мероприятия, за доброволни формирования, както и тези за превантивна дейност и за ликвидиране на последиците от стихийни бедствия и аварии. </w:t>
      </w:r>
    </w:p>
    <w:p w:rsidR="006E5AE0" w:rsidRDefault="006E5AE0" w:rsidP="006E5AE0">
      <w:pPr>
        <w:pStyle w:val="BodyText"/>
        <w:widowControl w:val="0"/>
        <w:spacing w:after="0"/>
        <w:ind w:firstLine="539"/>
        <w:jc w:val="both"/>
      </w:pPr>
      <w:r>
        <w:t>По отчетни данни за 2015 г. общините са дофинансирали държавните дейности със собствени приходи в размер на 1,6 млн. лева.</w:t>
      </w:r>
    </w:p>
    <w:p w:rsidR="006E5AE0" w:rsidRDefault="006E5AE0" w:rsidP="006E5AE0">
      <w:pPr>
        <w:pStyle w:val="BodyText"/>
        <w:widowControl w:val="0"/>
        <w:spacing w:after="0"/>
        <w:ind w:firstLine="539"/>
        <w:jc w:val="both"/>
      </w:pPr>
      <w:r>
        <w:t xml:space="preserve">В групата, за </w:t>
      </w:r>
      <w:r>
        <w:rPr>
          <w:i/>
        </w:rPr>
        <w:t>местните дейности</w:t>
      </w:r>
      <w:r>
        <w:t xml:space="preserve"> за текущи разходи са разчетени средства по закон в размер на 9,1 млн. лв., а извършените разходи са 8,8 млн. лв. Тук се отчитат разходите за осигуряване дейностите по плана за защита при бедствия и за неотложни и непредвидени разходи, свързани със защитата на населението при ликвидиране на последици от стихийни бедствия и производствени аварии.</w:t>
      </w:r>
    </w:p>
    <w:p w:rsidR="006E5AE0" w:rsidRDefault="006E5AE0" w:rsidP="006E5AE0">
      <w:pPr>
        <w:pStyle w:val="BodyText"/>
        <w:widowControl w:val="0"/>
        <w:spacing w:after="240"/>
        <w:ind w:firstLine="539"/>
        <w:jc w:val="both"/>
      </w:pPr>
      <w:r>
        <w:t>Отчетените капиталови разходи по общинските бюджети за тази група са в размер на 56,9 млн. лв. и са изразходвани основно за предотвратяване и за ликвидиране на последиците от бедствия и аварии.</w:t>
      </w:r>
    </w:p>
    <w:p w:rsidR="006E5AE0" w:rsidRDefault="006E5AE0" w:rsidP="006E5AE0">
      <w:pPr>
        <w:pStyle w:val="BodyText"/>
        <w:spacing w:after="240"/>
        <w:ind w:firstLine="540"/>
        <w:jc w:val="both"/>
        <w:rPr>
          <w:lang w:val="en-US"/>
        </w:rPr>
      </w:pPr>
      <w:r>
        <w:rPr>
          <w:b/>
        </w:rPr>
        <w:t xml:space="preserve">Европейски средства </w:t>
      </w:r>
      <w:r>
        <w:t xml:space="preserve">-  разходите в група „Защита на населението,  управление и дейности при стихийни бедствия и аварии” са в размер на 10,5 млн. лв., основно разходи </w:t>
      </w:r>
      <w:r w:rsidRPr="00B2041F">
        <w:t>на общините по др. програми и проекти, финансирани от фондове и институции на ЕС (8,8</w:t>
      </w:r>
      <w:r>
        <w:t xml:space="preserve"> млн. лв.).</w:t>
      </w:r>
    </w:p>
    <w:p w:rsidR="006E5AE0" w:rsidRDefault="006E5AE0" w:rsidP="00781B85">
      <w:pPr>
        <w:pStyle w:val="Heading3"/>
        <w:numPr>
          <w:ilvl w:val="2"/>
          <w:numId w:val="15"/>
        </w:numPr>
        <w:rPr>
          <w:rFonts w:ascii="Times New Roman" w:hAnsi="Times New Roman"/>
          <w:sz w:val="24"/>
          <w:lang w:val="bg-BG"/>
        </w:rPr>
      </w:pPr>
      <w:bookmarkStart w:id="238" w:name="_Toc326315916"/>
      <w:bookmarkStart w:id="239" w:name="_Toc324863424"/>
      <w:bookmarkStart w:id="240" w:name="_Toc261276588"/>
      <w:bookmarkStart w:id="241" w:name="_Toc462146124"/>
      <w:r>
        <w:rPr>
          <w:rFonts w:ascii="Times New Roman" w:hAnsi="Times New Roman"/>
          <w:sz w:val="24"/>
          <w:lang w:val="bg-BG"/>
        </w:rPr>
        <w:t>Образование</w:t>
      </w:r>
      <w:bookmarkEnd w:id="238"/>
      <w:bookmarkEnd w:id="239"/>
      <w:bookmarkEnd w:id="240"/>
      <w:bookmarkEnd w:id="241"/>
    </w:p>
    <w:p w:rsidR="006E5AE0" w:rsidRDefault="006E5AE0" w:rsidP="006E5AE0">
      <w:pPr>
        <w:pStyle w:val="BodyText2"/>
        <w:spacing w:before="120" w:line="240" w:lineRule="auto"/>
        <w:ind w:right="74" w:firstLine="540"/>
        <w:jc w:val="both"/>
        <w:rPr>
          <w:color w:val="0070C0"/>
          <w:sz w:val="2"/>
          <w:szCs w:val="2"/>
        </w:rPr>
      </w:pPr>
    </w:p>
    <w:p w:rsidR="006E5AE0" w:rsidRDefault="006E5AE0" w:rsidP="006E5AE0">
      <w:pPr>
        <w:pStyle w:val="BodyText2"/>
        <w:spacing w:before="120" w:line="240" w:lineRule="auto"/>
        <w:ind w:right="74" w:firstLine="540"/>
        <w:jc w:val="both"/>
      </w:pPr>
      <w:r>
        <w:t xml:space="preserve">Първостепенните разпоредители с бюджет, на които е възложено изпълнението на политики в областта на образованието и науката, са Министерството на образованието и науката, Министерството на земеделието и храните, Министерството на културата, Министерството на младежта и спорта, Министерството на отбраната, Министерството на вътрешните работи и </w:t>
      </w:r>
      <w:r>
        <w:rPr>
          <w:rFonts w:cs="TimesNewRomanPSMT"/>
        </w:rPr>
        <w:t>общините</w:t>
      </w:r>
      <w:r>
        <w:t>.</w:t>
      </w:r>
    </w:p>
    <w:p w:rsidR="006E5AE0" w:rsidRDefault="006E5AE0" w:rsidP="006E5AE0">
      <w:pPr>
        <w:pStyle w:val="BodyText2"/>
        <w:spacing w:before="120" w:line="240" w:lineRule="auto"/>
        <w:ind w:right="74" w:firstLine="540"/>
        <w:jc w:val="both"/>
      </w:pPr>
      <w:r>
        <w:t>Общата сума на изразходваните средства по функция „Образование” за 2015 г. е 3 </w:t>
      </w:r>
      <w:r w:rsidR="00221C61">
        <w:t>118,3</w:t>
      </w:r>
      <w:r>
        <w:t xml:space="preserve"> млн. лв., което представлява 3,6 % от БВП. </w:t>
      </w:r>
    </w:p>
    <w:p w:rsidR="006E5AE0" w:rsidRDefault="006E5AE0" w:rsidP="006E5AE0">
      <w:pPr>
        <w:pStyle w:val="BodyText2"/>
        <w:spacing w:before="120" w:line="240" w:lineRule="auto"/>
        <w:ind w:right="74" w:firstLine="7740"/>
        <w:jc w:val="both"/>
        <w:rPr>
          <w:b/>
          <w:sz w:val="18"/>
          <w:szCs w:val="18"/>
        </w:rPr>
      </w:pPr>
      <w:r>
        <w:rPr>
          <w:b/>
          <w:sz w:val="18"/>
          <w:szCs w:val="18"/>
        </w:rPr>
        <w:t>(млн. лв.)</w:t>
      </w:r>
    </w:p>
    <w:tbl>
      <w:tblPr>
        <w:tblW w:w="8712" w:type="dxa"/>
        <w:tblLayout w:type="fixed"/>
        <w:tblCellMar>
          <w:left w:w="70" w:type="dxa"/>
          <w:right w:w="70" w:type="dxa"/>
        </w:tblCellMar>
        <w:tblLook w:val="04A0" w:firstRow="1" w:lastRow="0" w:firstColumn="1" w:lastColumn="0" w:noHBand="0" w:noVBand="1"/>
      </w:tblPr>
      <w:tblGrid>
        <w:gridCol w:w="2901"/>
        <w:gridCol w:w="1001"/>
        <w:gridCol w:w="992"/>
        <w:gridCol w:w="708"/>
        <w:gridCol w:w="993"/>
        <w:gridCol w:w="850"/>
        <w:gridCol w:w="1267"/>
      </w:tblGrid>
      <w:tr w:rsidR="006E5AE0" w:rsidTr="00E54F23">
        <w:trPr>
          <w:trHeight w:val="480"/>
        </w:trPr>
        <w:tc>
          <w:tcPr>
            <w:tcW w:w="2901"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ОТЧЕТ 2015 г.</w:t>
            </w:r>
          </w:p>
        </w:tc>
        <w:tc>
          <w:tcPr>
            <w:tcW w:w="1001"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КФП</w:t>
            </w:r>
          </w:p>
        </w:tc>
        <w:tc>
          <w:tcPr>
            <w:tcW w:w="992"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ДБ</w:t>
            </w:r>
          </w:p>
        </w:tc>
        <w:tc>
          <w:tcPr>
            <w:tcW w:w="708"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ДВУ</w:t>
            </w:r>
          </w:p>
        </w:tc>
        <w:tc>
          <w:tcPr>
            <w:tcW w:w="993"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Общини</w:t>
            </w:r>
          </w:p>
        </w:tc>
        <w:tc>
          <w:tcPr>
            <w:tcW w:w="850" w:type="dxa"/>
            <w:tcBorders>
              <w:top w:val="double" w:sz="6" w:space="0" w:color="800000"/>
              <w:left w:val="nil"/>
              <w:bottom w:val="double" w:sz="6" w:space="0" w:color="800000"/>
              <w:right w:val="inset" w:sz="6"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ДМП</w:t>
            </w:r>
          </w:p>
        </w:tc>
        <w:tc>
          <w:tcPr>
            <w:tcW w:w="1267" w:type="dxa"/>
            <w:tcBorders>
              <w:top w:val="double" w:sz="6" w:space="0" w:color="800000"/>
              <w:left w:val="single" w:sz="4" w:space="0" w:color="FFFFFF"/>
              <w:bottom w:val="double" w:sz="6" w:space="0" w:color="800000"/>
              <w:right w:val="double" w:sz="6" w:space="0" w:color="800000"/>
            </w:tcBorders>
            <w:shd w:val="clear" w:color="auto" w:fill="800000"/>
            <w:vAlign w:val="center"/>
            <w:hideMark/>
          </w:tcPr>
          <w:p w:rsidR="006E5AE0" w:rsidRPr="006E5AE0" w:rsidRDefault="006E5AE0">
            <w:pPr>
              <w:jc w:val="center"/>
              <w:rPr>
                <w:b/>
                <w:bCs/>
                <w:color w:val="FFFFFF"/>
                <w:sz w:val="20"/>
                <w:szCs w:val="20"/>
              </w:rPr>
            </w:pPr>
            <w:r w:rsidRPr="006E5AE0">
              <w:rPr>
                <w:b/>
                <w:bCs/>
                <w:color w:val="FFFFFF"/>
                <w:sz w:val="20"/>
                <w:szCs w:val="20"/>
              </w:rPr>
              <w:t xml:space="preserve">Европ. </w:t>
            </w:r>
          </w:p>
          <w:p w:rsidR="006E5AE0" w:rsidRPr="006E5AE0" w:rsidRDefault="006E5AE0">
            <w:pPr>
              <w:jc w:val="center"/>
              <w:rPr>
                <w:b/>
                <w:bCs/>
                <w:color w:val="FFFFFF"/>
                <w:sz w:val="20"/>
                <w:szCs w:val="20"/>
              </w:rPr>
            </w:pPr>
            <w:r w:rsidRPr="006E5AE0">
              <w:rPr>
                <w:b/>
                <w:bCs/>
                <w:color w:val="FFFFFF"/>
                <w:sz w:val="20"/>
                <w:szCs w:val="20"/>
              </w:rPr>
              <w:t>ср-ва</w:t>
            </w:r>
          </w:p>
        </w:tc>
      </w:tr>
      <w:tr w:rsidR="00221C61" w:rsidTr="00E54F23">
        <w:trPr>
          <w:trHeight w:val="330"/>
        </w:trPr>
        <w:tc>
          <w:tcPr>
            <w:tcW w:w="2901" w:type="dxa"/>
            <w:tcBorders>
              <w:top w:val="double" w:sz="6" w:space="0" w:color="800000"/>
              <w:left w:val="double" w:sz="6" w:space="0" w:color="800000"/>
              <w:bottom w:val="nil"/>
              <w:right w:val="single" w:sz="4" w:space="0" w:color="800000"/>
            </w:tcBorders>
            <w:shd w:val="clear" w:color="auto" w:fill="FFFFCC"/>
            <w:noWrap/>
            <w:vAlign w:val="bottom"/>
            <w:hideMark/>
          </w:tcPr>
          <w:p w:rsidR="00221C61" w:rsidRDefault="00221C61">
            <w:pPr>
              <w:rPr>
                <w:b/>
                <w:bCs/>
                <w:sz w:val="20"/>
                <w:szCs w:val="20"/>
              </w:rPr>
            </w:pPr>
            <w:r>
              <w:rPr>
                <w:b/>
                <w:bCs/>
                <w:sz w:val="20"/>
                <w:szCs w:val="20"/>
              </w:rPr>
              <w:t>III. ОБРАЗОВАНИЕ</w:t>
            </w:r>
          </w:p>
        </w:tc>
        <w:tc>
          <w:tcPr>
            <w:tcW w:w="1001" w:type="dxa"/>
            <w:tcBorders>
              <w:top w:val="double" w:sz="6" w:space="0" w:color="800000"/>
              <w:left w:val="nil"/>
              <w:bottom w:val="nil"/>
              <w:right w:val="single" w:sz="4" w:space="0" w:color="800000"/>
            </w:tcBorders>
            <w:shd w:val="clear" w:color="auto" w:fill="FFFFCC"/>
            <w:noWrap/>
            <w:vAlign w:val="bottom"/>
            <w:hideMark/>
          </w:tcPr>
          <w:p w:rsidR="00221C61" w:rsidRDefault="00221C61">
            <w:pPr>
              <w:jc w:val="right"/>
              <w:rPr>
                <w:b/>
                <w:bCs/>
                <w:sz w:val="20"/>
                <w:szCs w:val="20"/>
              </w:rPr>
            </w:pPr>
            <w:r>
              <w:rPr>
                <w:b/>
                <w:bCs/>
                <w:color w:val="000000"/>
                <w:sz w:val="20"/>
                <w:szCs w:val="20"/>
              </w:rPr>
              <w:t>3 118,3</w:t>
            </w:r>
          </w:p>
        </w:tc>
        <w:tc>
          <w:tcPr>
            <w:tcW w:w="992" w:type="dxa"/>
            <w:tcBorders>
              <w:top w:val="double" w:sz="6" w:space="0" w:color="800000"/>
              <w:left w:val="nil"/>
              <w:bottom w:val="nil"/>
              <w:right w:val="single" w:sz="4" w:space="0" w:color="800000"/>
            </w:tcBorders>
            <w:shd w:val="clear" w:color="auto" w:fill="FFFFCC"/>
            <w:noWrap/>
            <w:vAlign w:val="bottom"/>
            <w:hideMark/>
          </w:tcPr>
          <w:p w:rsidR="00221C61" w:rsidRDefault="00221C61">
            <w:pPr>
              <w:jc w:val="right"/>
              <w:rPr>
                <w:b/>
                <w:bCs/>
                <w:sz w:val="20"/>
                <w:szCs w:val="20"/>
              </w:rPr>
            </w:pPr>
            <w:r>
              <w:rPr>
                <w:b/>
                <w:bCs/>
                <w:color w:val="000000"/>
                <w:sz w:val="20"/>
                <w:szCs w:val="20"/>
              </w:rPr>
              <w:t>385,8</w:t>
            </w:r>
          </w:p>
        </w:tc>
        <w:tc>
          <w:tcPr>
            <w:tcW w:w="708" w:type="dxa"/>
            <w:tcBorders>
              <w:top w:val="double" w:sz="6" w:space="0" w:color="800000"/>
              <w:left w:val="single" w:sz="4" w:space="0" w:color="800000"/>
              <w:bottom w:val="nil"/>
              <w:right w:val="single" w:sz="4" w:space="0" w:color="800000"/>
            </w:tcBorders>
            <w:shd w:val="clear" w:color="auto" w:fill="FFFFCC"/>
            <w:noWrap/>
            <w:vAlign w:val="bottom"/>
            <w:hideMark/>
          </w:tcPr>
          <w:p w:rsidR="00221C61" w:rsidRDefault="00221C61">
            <w:pPr>
              <w:jc w:val="right"/>
              <w:rPr>
                <w:b/>
                <w:bCs/>
                <w:sz w:val="20"/>
                <w:szCs w:val="20"/>
              </w:rPr>
            </w:pPr>
            <w:r>
              <w:rPr>
                <w:b/>
                <w:bCs/>
                <w:color w:val="000000"/>
                <w:sz w:val="20"/>
                <w:szCs w:val="20"/>
              </w:rPr>
              <w:t>711,1</w:t>
            </w:r>
          </w:p>
        </w:tc>
        <w:tc>
          <w:tcPr>
            <w:tcW w:w="993" w:type="dxa"/>
            <w:tcBorders>
              <w:top w:val="double" w:sz="6" w:space="0" w:color="800000"/>
              <w:left w:val="nil"/>
              <w:bottom w:val="nil"/>
              <w:right w:val="single" w:sz="4" w:space="0" w:color="800000"/>
            </w:tcBorders>
            <w:shd w:val="clear" w:color="auto" w:fill="FFFFCC"/>
            <w:noWrap/>
            <w:vAlign w:val="bottom"/>
            <w:hideMark/>
          </w:tcPr>
          <w:p w:rsidR="00221C61" w:rsidRDefault="00221C61">
            <w:pPr>
              <w:jc w:val="right"/>
              <w:rPr>
                <w:b/>
                <w:bCs/>
                <w:sz w:val="20"/>
                <w:szCs w:val="20"/>
              </w:rPr>
            </w:pPr>
            <w:r>
              <w:rPr>
                <w:b/>
                <w:bCs/>
                <w:color w:val="000000"/>
                <w:sz w:val="20"/>
                <w:szCs w:val="20"/>
              </w:rPr>
              <w:t>1 832,2</w:t>
            </w:r>
          </w:p>
        </w:tc>
        <w:tc>
          <w:tcPr>
            <w:tcW w:w="850" w:type="dxa"/>
            <w:tcBorders>
              <w:top w:val="double" w:sz="6" w:space="0" w:color="800000"/>
              <w:left w:val="nil"/>
              <w:bottom w:val="nil"/>
              <w:right w:val="single" w:sz="4" w:space="0" w:color="800000"/>
            </w:tcBorders>
            <w:shd w:val="clear" w:color="auto" w:fill="FFFFCC"/>
            <w:noWrap/>
            <w:vAlign w:val="bottom"/>
            <w:hideMark/>
          </w:tcPr>
          <w:p w:rsidR="00221C61" w:rsidRDefault="00221C61">
            <w:pPr>
              <w:jc w:val="right"/>
              <w:rPr>
                <w:b/>
                <w:bCs/>
                <w:sz w:val="20"/>
                <w:szCs w:val="20"/>
              </w:rPr>
            </w:pPr>
            <w:r>
              <w:rPr>
                <w:b/>
                <w:bCs/>
                <w:color w:val="000000"/>
                <w:sz w:val="20"/>
                <w:szCs w:val="20"/>
              </w:rPr>
              <w:t>9,1</w:t>
            </w:r>
          </w:p>
        </w:tc>
        <w:tc>
          <w:tcPr>
            <w:tcW w:w="1267" w:type="dxa"/>
            <w:tcBorders>
              <w:top w:val="double" w:sz="6" w:space="0" w:color="800000"/>
              <w:left w:val="single" w:sz="4" w:space="0" w:color="800000"/>
              <w:bottom w:val="nil"/>
              <w:right w:val="double" w:sz="6" w:space="0" w:color="800000"/>
            </w:tcBorders>
            <w:shd w:val="clear" w:color="auto" w:fill="FFFFCC"/>
            <w:noWrap/>
            <w:vAlign w:val="bottom"/>
            <w:hideMark/>
          </w:tcPr>
          <w:p w:rsidR="00221C61" w:rsidRDefault="00221C61">
            <w:pPr>
              <w:jc w:val="right"/>
              <w:rPr>
                <w:b/>
                <w:bCs/>
                <w:sz w:val="20"/>
                <w:szCs w:val="20"/>
              </w:rPr>
            </w:pPr>
            <w:r>
              <w:rPr>
                <w:b/>
                <w:bCs/>
                <w:color w:val="000000"/>
                <w:sz w:val="20"/>
                <w:szCs w:val="20"/>
              </w:rPr>
              <w:t>180,1</w:t>
            </w:r>
          </w:p>
        </w:tc>
      </w:tr>
      <w:tr w:rsidR="00221C61" w:rsidTr="00E54F23">
        <w:trPr>
          <w:trHeight w:val="255"/>
        </w:trPr>
        <w:tc>
          <w:tcPr>
            <w:tcW w:w="2901" w:type="dxa"/>
            <w:tcBorders>
              <w:top w:val="nil"/>
              <w:left w:val="double" w:sz="6" w:space="0" w:color="800000"/>
              <w:bottom w:val="nil"/>
              <w:right w:val="single" w:sz="4" w:space="0" w:color="800000"/>
            </w:tcBorders>
            <w:shd w:val="clear" w:color="auto" w:fill="FFFFCC"/>
            <w:noWrap/>
            <w:vAlign w:val="bottom"/>
            <w:hideMark/>
          </w:tcPr>
          <w:p w:rsidR="00221C61" w:rsidRDefault="00221C61">
            <w:pPr>
              <w:rPr>
                <w:sz w:val="20"/>
                <w:szCs w:val="20"/>
              </w:rPr>
            </w:pPr>
            <w:r>
              <w:rPr>
                <w:sz w:val="20"/>
                <w:szCs w:val="20"/>
              </w:rPr>
              <w:t xml:space="preserve">     Текущи нелихвени разходи</w:t>
            </w:r>
          </w:p>
        </w:tc>
        <w:tc>
          <w:tcPr>
            <w:tcW w:w="1001" w:type="dxa"/>
            <w:tcBorders>
              <w:top w:val="nil"/>
              <w:left w:val="nil"/>
              <w:bottom w:val="nil"/>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2 940,8</w:t>
            </w:r>
          </w:p>
        </w:tc>
        <w:tc>
          <w:tcPr>
            <w:tcW w:w="992" w:type="dxa"/>
            <w:tcBorders>
              <w:top w:val="nil"/>
              <w:left w:val="nil"/>
              <w:bottom w:val="nil"/>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369,3</w:t>
            </w:r>
          </w:p>
        </w:tc>
        <w:tc>
          <w:tcPr>
            <w:tcW w:w="708" w:type="dxa"/>
            <w:tcBorders>
              <w:top w:val="nil"/>
              <w:left w:val="single" w:sz="4" w:space="0" w:color="800000"/>
              <w:bottom w:val="nil"/>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655,2</w:t>
            </w:r>
          </w:p>
        </w:tc>
        <w:tc>
          <w:tcPr>
            <w:tcW w:w="993" w:type="dxa"/>
            <w:tcBorders>
              <w:top w:val="nil"/>
              <w:left w:val="nil"/>
              <w:bottom w:val="nil"/>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1 758,5</w:t>
            </w:r>
          </w:p>
        </w:tc>
        <w:tc>
          <w:tcPr>
            <w:tcW w:w="850" w:type="dxa"/>
            <w:tcBorders>
              <w:top w:val="nil"/>
              <w:left w:val="nil"/>
              <w:bottom w:val="nil"/>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4,9</w:t>
            </w:r>
          </w:p>
        </w:tc>
        <w:tc>
          <w:tcPr>
            <w:tcW w:w="1267" w:type="dxa"/>
            <w:tcBorders>
              <w:top w:val="nil"/>
              <w:left w:val="single" w:sz="4" w:space="0" w:color="800000"/>
              <w:bottom w:val="nil"/>
              <w:right w:val="double" w:sz="6" w:space="0" w:color="800000"/>
            </w:tcBorders>
            <w:shd w:val="clear" w:color="auto" w:fill="FFFFCC"/>
            <w:noWrap/>
            <w:vAlign w:val="bottom"/>
            <w:hideMark/>
          </w:tcPr>
          <w:p w:rsidR="00221C61" w:rsidRDefault="00221C61">
            <w:pPr>
              <w:jc w:val="right"/>
              <w:rPr>
                <w:sz w:val="20"/>
                <w:szCs w:val="20"/>
              </w:rPr>
            </w:pPr>
            <w:r>
              <w:rPr>
                <w:color w:val="000000"/>
                <w:sz w:val="20"/>
                <w:szCs w:val="20"/>
              </w:rPr>
              <w:t>152,8</w:t>
            </w:r>
          </w:p>
        </w:tc>
      </w:tr>
      <w:tr w:rsidR="00221C61" w:rsidTr="00E54F23">
        <w:trPr>
          <w:trHeight w:val="270"/>
        </w:trPr>
        <w:tc>
          <w:tcPr>
            <w:tcW w:w="2901" w:type="dxa"/>
            <w:tcBorders>
              <w:top w:val="nil"/>
              <w:left w:val="double" w:sz="6" w:space="0" w:color="800000"/>
              <w:bottom w:val="double" w:sz="6" w:space="0" w:color="800000"/>
              <w:right w:val="single" w:sz="4" w:space="0" w:color="800000"/>
            </w:tcBorders>
            <w:shd w:val="clear" w:color="auto" w:fill="FFFFCC"/>
            <w:noWrap/>
            <w:vAlign w:val="bottom"/>
            <w:hideMark/>
          </w:tcPr>
          <w:p w:rsidR="00221C61" w:rsidRDefault="00221C61">
            <w:pPr>
              <w:rPr>
                <w:sz w:val="20"/>
                <w:szCs w:val="20"/>
              </w:rPr>
            </w:pPr>
            <w:r>
              <w:rPr>
                <w:sz w:val="20"/>
                <w:szCs w:val="20"/>
              </w:rPr>
              <w:t xml:space="preserve">     Капиталови разходи</w:t>
            </w:r>
          </w:p>
        </w:tc>
        <w:tc>
          <w:tcPr>
            <w:tcW w:w="1001" w:type="dxa"/>
            <w:tcBorders>
              <w:top w:val="nil"/>
              <w:left w:val="nil"/>
              <w:bottom w:val="double" w:sz="6" w:space="0" w:color="800000"/>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177,6</w:t>
            </w:r>
          </w:p>
        </w:tc>
        <w:tc>
          <w:tcPr>
            <w:tcW w:w="992" w:type="dxa"/>
            <w:tcBorders>
              <w:top w:val="nil"/>
              <w:left w:val="nil"/>
              <w:bottom w:val="double" w:sz="6" w:space="0" w:color="800000"/>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16,5</w:t>
            </w:r>
          </w:p>
        </w:tc>
        <w:tc>
          <w:tcPr>
            <w:tcW w:w="708" w:type="dxa"/>
            <w:tcBorders>
              <w:top w:val="nil"/>
              <w:left w:val="single" w:sz="4" w:space="0" w:color="800000"/>
              <w:bottom w:val="double" w:sz="6" w:space="0" w:color="800000"/>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55,9</w:t>
            </w:r>
          </w:p>
        </w:tc>
        <w:tc>
          <w:tcPr>
            <w:tcW w:w="993" w:type="dxa"/>
            <w:tcBorders>
              <w:top w:val="nil"/>
              <w:left w:val="nil"/>
              <w:bottom w:val="double" w:sz="6" w:space="0" w:color="800000"/>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73,7</w:t>
            </w:r>
          </w:p>
        </w:tc>
        <w:tc>
          <w:tcPr>
            <w:tcW w:w="850" w:type="dxa"/>
            <w:tcBorders>
              <w:top w:val="nil"/>
              <w:left w:val="nil"/>
              <w:bottom w:val="double" w:sz="6" w:space="0" w:color="800000"/>
              <w:right w:val="single" w:sz="4" w:space="0" w:color="800000"/>
            </w:tcBorders>
            <w:shd w:val="clear" w:color="auto" w:fill="FFFFCC"/>
            <w:noWrap/>
            <w:vAlign w:val="bottom"/>
            <w:hideMark/>
          </w:tcPr>
          <w:p w:rsidR="00221C61" w:rsidRDefault="00221C61">
            <w:pPr>
              <w:jc w:val="right"/>
              <w:rPr>
                <w:sz w:val="20"/>
                <w:szCs w:val="20"/>
              </w:rPr>
            </w:pPr>
            <w:r>
              <w:rPr>
                <w:color w:val="000000"/>
                <w:sz w:val="20"/>
                <w:szCs w:val="20"/>
              </w:rPr>
              <w:t>4,2</w:t>
            </w:r>
          </w:p>
        </w:tc>
        <w:tc>
          <w:tcPr>
            <w:tcW w:w="1267" w:type="dxa"/>
            <w:tcBorders>
              <w:top w:val="nil"/>
              <w:left w:val="single" w:sz="4" w:space="0" w:color="800000"/>
              <w:bottom w:val="double" w:sz="6" w:space="0" w:color="800000"/>
              <w:right w:val="double" w:sz="6" w:space="0" w:color="800000"/>
            </w:tcBorders>
            <w:shd w:val="clear" w:color="auto" w:fill="FFFFCC"/>
            <w:noWrap/>
            <w:vAlign w:val="bottom"/>
            <w:hideMark/>
          </w:tcPr>
          <w:p w:rsidR="00221C61" w:rsidRDefault="00221C61">
            <w:pPr>
              <w:jc w:val="right"/>
              <w:rPr>
                <w:sz w:val="20"/>
                <w:szCs w:val="20"/>
              </w:rPr>
            </w:pPr>
            <w:r>
              <w:rPr>
                <w:color w:val="000000"/>
                <w:sz w:val="20"/>
                <w:szCs w:val="20"/>
              </w:rPr>
              <w:t>27,3</w:t>
            </w:r>
          </w:p>
        </w:tc>
      </w:tr>
    </w:tbl>
    <w:p w:rsidR="006E5AE0" w:rsidRDefault="006E5AE0" w:rsidP="006E5AE0">
      <w:pPr>
        <w:rPr>
          <w:b/>
          <w:color w:val="0070C0"/>
          <w:sz w:val="28"/>
          <w:szCs w:val="28"/>
          <w:u w:val="single"/>
        </w:rPr>
      </w:pPr>
    </w:p>
    <w:p w:rsidR="00631009" w:rsidRDefault="006E5AE0" w:rsidP="00631009">
      <w:pPr>
        <w:autoSpaceDE w:val="0"/>
        <w:autoSpaceDN w:val="0"/>
        <w:adjustRightInd w:val="0"/>
        <w:spacing w:after="120"/>
        <w:ind w:firstLine="539"/>
        <w:jc w:val="both"/>
        <w:rPr>
          <w:rFonts w:cs="TimesNewRomanPSMT"/>
        </w:rPr>
      </w:pPr>
      <w:r>
        <w:rPr>
          <w:rFonts w:cs="TimesNewRomanPSMT"/>
        </w:rPr>
        <w:t>Със ЗДБРБ за 2015 г. са предвидени средства за функцията в размер на 3</w:t>
      </w:r>
      <w:r w:rsidR="00AD27CB">
        <w:rPr>
          <w:rFonts w:cs="TimesNewRomanPSMT"/>
        </w:rPr>
        <w:t> 063,2</w:t>
      </w:r>
      <w:r>
        <w:rPr>
          <w:rFonts w:cs="TimesNewRomanPSMT"/>
        </w:rPr>
        <w:t xml:space="preserve"> млн. лв.</w:t>
      </w:r>
      <w:r w:rsidR="00313A94">
        <w:rPr>
          <w:rFonts w:cs="TimesNewRomanPSMT"/>
          <w:lang w:val="en-US"/>
        </w:rPr>
        <w:t xml:space="preserve"> </w:t>
      </w:r>
      <w:r w:rsidR="00313A94">
        <w:rPr>
          <w:lang w:val="ru-RU"/>
        </w:rPr>
        <w:t>(</w:t>
      </w:r>
      <w:r w:rsidR="00313A94">
        <w:t>вкл.  резерва за непредвидени и неотложни разходи</w:t>
      </w:r>
      <w:r w:rsidR="00313A94">
        <w:rPr>
          <w:lang w:val="ru-RU"/>
        </w:rPr>
        <w:t>)</w:t>
      </w:r>
      <w:r w:rsidR="00313A94">
        <w:rPr>
          <w:lang w:val="en-US"/>
        </w:rPr>
        <w:t>.</w:t>
      </w:r>
      <w:r>
        <w:rPr>
          <w:rFonts w:cs="TimesNewRomanPSMT"/>
        </w:rPr>
        <w:t xml:space="preserve"> Изпълнението на разходите за функцията на консолидирано ниво е в размер на 3 </w:t>
      </w:r>
      <w:r w:rsidR="000914C0">
        <w:rPr>
          <w:rFonts w:cs="TimesNewRomanPSMT"/>
        </w:rPr>
        <w:t>118,3</w:t>
      </w:r>
      <w:r>
        <w:rPr>
          <w:rFonts w:cs="TimesNewRomanPSMT"/>
        </w:rPr>
        <w:t xml:space="preserve"> млн. лв. (101,</w:t>
      </w:r>
      <w:r w:rsidR="000914C0">
        <w:rPr>
          <w:rFonts w:cs="TimesNewRomanPSMT"/>
        </w:rPr>
        <w:t xml:space="preserve">8 </w:t>
      </w:r>
      <w:r>
        <w:rPr>
          <w:rFonts w:cs="TimesNewRomanPSMT"/>
        </w:rPr>
        <w:t xml:space="preserve">% спрямо разчетите за 2015 г.). </w:t>
      </w:r>
      <w:r w:rsidR="00631009">
        <w:rPr>
          <w:rFonts w:cs="TimesNewRomanPSMT"/>
        </w:rPr>
        <w:t xml:space="preserve">За </w:t>
      </w:r>
      <w:r w:rsidR="00631009">
        <w:t xml:space="preserve">функция „Образование” през 2015 г. са </w:t>
      </w:r>
      <w:r w:rsidR="00631009">
        <w:rPr>
          <w:rFonts w:cs="TimesNewRomanPSMT"/>
        </w:rPr>
        <w:t>отчетени 2 </w:t>
      </w:r>
      <w:r w:rsidR="000914C0">
        <w:rPr>
          <w:rFonts w:cs="TimesNewRomanPSMT"/>
        </w:rPr>
        <w:t>940,8</w:t>
      </w:r>
      <w:r w:rsidR="00631009">
        <w:rPr>
          <w:rFonts w:cs="TimesNewRomanPSMT"/>
        </w:rPr>
        <w:t xml:space="preserve"> млн. лв. текущи разходи и </w:t>
      </w:r>
      <w:r w:rsidR="000914C0">
        <w:rPr>
          <w:rFonts w:cs="TimesNewRomanPSMT"/>
        </w:rPr>
        <w:t>177</w:t>
      </w:r>
      <w:r w:rsidR="00631009">
        <w:rPr>
          <w:rFonts w:cs="TimesNewRomanPSMT"/>
        </w:rPr>
        <w:t>,</w:t>
      </w:r>
      <w:r w:rsidR="000914C0">
        <w:rPr>
          <w:rFonts w:cs="TimesNewRomanPSMT"/>
        </w:rPr>
        <w:t xml:space="preserve">6 </w:t>
      </w:r>
      <w:r w:rsidR="00631009">
        <w:rPr>
          <w:rFonts w:cs="TimesNewRomanPSMT"/>
        </w:rPr>
        <w:t>млн. лв. капиталови разходи.</w:t>
      </w:r>
    </w:p>
    <w:p w:rsidR="006E5AE0" w:rsidRDefault="006E5AE0" w:rsidP="006E5AE0">
      <w:pPr>
        <w:autoSpaceDE w:val="0"/>
        <w:autoSpaceDN w:val="0"/>
        <w:adjustRightInd w:val="0"/>
        <w:ind w:firstLine="540"/>
        <w:jc w:val="both"/>
        <w:rPr>
          <w:rFonts w:cs="TimesNewRomanPSMT"/>
        </w:rPr>
      </w:pPr>
      <w:r>
        <w:rPr>
          <w:rFonts w:cs="TimesNewRomanPSMT"/>
        </w:rPr>
        <w:t>През 2015 г. е запазен децентрализираният подход за финансиране на сектор „Образование“ при следване на единни принципи при разходването на средства, независимо от финансиращия орган. Със средствата, предвидени по централния бюджет и бюджета на Министерството на образованието и науката, е осигурено финансирането на основните приоритети и политики в тази област, независимо, че изплащането на средствата е извършено децентрализирано.</w:t>
      </w:r>
    </w:p>
    <w:p w:rsidR="006E5AE0" w:rsidRDefault="006E5AE0" w:rsidP="006E5AE0">
      <w:pPr>
        <w:autoSpaceDE w:val="0"/>
        <w:autoSpaceDN w:val="0"/>
        <w:adjustRightInd w:val="0"/>
        <w:ind w:firstLine="540"/>
        <w:jc w:val="both"/>
        <w:rPr>
          <w:rFonts w:cs="TimesNewRomanPSMT"/>
        </w:rPr>
      </w:pPr>
      <w:r>
        <w:rPr>
          <w:rFonts w:cs="TimesNewRomanPSMT"/>
        </w:rPr>
        <w:t xml:space="preserve">По </w:t>
      </w:r>
      <w:r>
        <w:rPr>
          <w:rFonts w:cs="TimesNewRomanPSMT"/>
          <w:b/>
        </w:rPr>
        <w:t>държавния бюджет</w:t>
      </w:r>
      <w:r>
        <w:rPr>
          <w:rFonts w:cs="TimesNewRomanPSMT"/>
        </w:rPr>
        <w:t xml:space="preserve"> са отчетени разходи във функция „Образование“ в размер на 385,8 млн. лв. или 7</w:t>
      </w:r>
      <w:r w:rsidR="00930DD1">
        <w:rPr>
          <w:rFonts w:cs="TimesNewRomanPSMT"/>
        </w:rPr>
        <w:t>2</w:t>
      </w:r>
      <w:r>
        <w:rPr>
          <w:rFonts w:cs="TimesNewRomanPSMT"/>
        </w:rPr>
        <w:t>,</w:t>
      </w:r>
      <w:r w:rsidR="00930DD1">
        <w:rPr>
          <w:rFonts w:cs="TimesNewRomanPSMT"/>
        </w:rPr>
        <w:t>8</w:t>
      </w:r>
      <w:r>
        <w:rPr>
          <w:rFonts w:cs="TimesNewRomanPSMT"/>
        </w:rPr>
        <w:t xml:space="preserve"> % спрямо утвърдените със ЗДБРБ за 2015 г. Отчетените текущи разходи са в размер на 369,3 млн. лв., като от тях с най-голям относителен дял</w:t>
      </w:r>
      <w:r>
        <w:rPr>
          <w:rFonts w:cs="TimesNewRomanPSMT"/>
          <w:lang w:val="en-US"/>
        </w:rPr>
        <w:t xml:space="preserve"> (72</w:t>
      </w:r>
      <w:r>
        <w:rPr>
          <w:rFonts w:cs="TimesNewRomanPSMT"/>
        </w:rPr>
        <w:t>,</w:t>
      </w:r>
      <w:r>
        <w:rPr>
          <w:rFonts w:cs="TimesNewRomanPSMT"/>
          <w:lang w:val="en-US"/>
        </w:rPr>
        <w:t>6</w:t>
      </w:r>
      <w:r>
        <w:rPr>
          <w:rFonts w:cs="TimesNewRomanPSMT"/>
        </w:rPr>
        <w:t xml:space="preserve"> %</w:t>
      </w:r>
      <w:r>
        <w:rPr>
          <w:rFonts w:cs="TimesNewRomanPSMT"/>
          <w:lang w:val="en-US"/>
        </w:rPr>
        <w:t>)</w:t>
      </w:r>
      <w:r>
        <w:rPr>
          <w:rFonts w:cs="TimesNewRomanPSMT"/>
        </w:rPr>
        <w:t xml:space="preserve"> са </w:t>
      </w:r>
      <w:r>
        <w:rPr>
          <w:rFonts w:cs="TimesNewRomanPSMT"/>
        </w:rPr>
        <w:lastRenderedPageBreak/>
        <w:t>разходите за персонал. Предоставените текущи и капиталови трансфери за чужбина са в размер на 7,</w:t>
      </w:r>
      <w:r w:rsidR="00631009">
        <w:rPr>
          <w:rFonts w:cs="TimesNewRomanPSMT"/>
        </w:rPr>
        <w:t>0</w:t>
      </w:r>
      <w:r>
        <w:rPr>
          <w:rFonts w:cs="TimesNewRomanPSMT"/>
        </w:rPr>
        <w:t xml:space="preserve"> млн. лв., а отчетените капиталови разходи са в размер на 16,5 млн. лева.</w:t>
      </w:r>
    </w:p>
    <w:p w:rsidR="006E5AE0" w:rsidRDefault="006E5AE0" w:rsidP="006E5AE0">
      <w:pPr>
        <w:autoSpaceDE w:val="0"/>
        <w:autoSpaceDN w:val="0"/>
        <w:adjustRightInd w:val="0"/>
        <w:ind w:firstLine="540"/>
        <w:jc w:val="both"/>
        <w:rPr>
          <w:rFonts w:cs="TimesNewRomanPSMT"/>
        </w:rPr>
      </w:pPr>
      <w:r>
        <w:rPr>
          <w:rFonts w:cs="TimesNewRomanPSMT"/>
        </w:rPr>
        <w:t>През 2015 г. е осигурено приоритетно изпълнението на следните политики:</w:t>
      </w:r>
    </w:p>
    <w:p w:rsidR="006E5AE0" w:rsidRDefault="006E5AE0" w:rsidP="006E5AE0">
      <w:pPr>
        <w:autoSpaceDE w:val="0"/>
        <w:autoSpaceDN w:val="0"/>
        <w:adjustRightInd w:val="0"/>
        <w:ind w:firstLine="540"/>
        <w:jc w:val="both"/>
        <w:rPr>
          <w:rFonts w:cs="TimesNewRomanPSMT"/>
        </w:rPr>
      </w:pPr>
      <w:r>
        <w:rPr>
          <w:rFonts w:cs="TimesNewRomanPSMT"/>
        </w:rPr>
        <w:t>-</w:t>
      </w:r>
      <w:r>
        <w:rPr>
          <w:rFonts w:cs="TimesNewRomanPSMT"/>
        </w:rPr>
        <w:tab/>
        <w:t>Въведена е целодневна организация на учебния ден на учениците в V клас;</w:t>
      </w:r>
    </w:p>
    <w:p w:rsidR="006E5AE0" w:rsidRDefault="006E5AE0" w:rsidP="006E5AE0">
      <w:pPr>
        <w:autoSpaceDE w:val="0"/>
        <w:autoSpaceDN w:val="0"/>
        <w:adjustRightInd w:val="0"/>
        <w:ind w:firstLine="540"/>
        <w:jc w:val="both"/>
        <w:rPr>
          <w:rFonts w:cs="TimesNewRomanPSMT"/>
        </w:rPr>
      </w:pPr>
      <w:r>
        <w:rPr>
          <w:rFonts w:cs="TimesNewRomanPSMT"/>
        </w:rPr>
        <w:t>-</w:t>
      </w:r>
      <w:r>
        <w:rPr>
          <w:rFonts w:cs="TimesNewRomanPSMT"/>
        </w:rPr>
        <w:tab/>
        <w:t>В максимален размер са използвани възможностите за финансиране със средства от Европейския съюз на целодневната организация на учебния ден в средищните училища и на извънкласните дейности на учениците;</w:t>
      </w:r>
    </w:p>
    <w:p w:rsidR="006E5AE0" w:rsidRDefault="006E5AE0" w:rsidP="006E5AE0">
      <w:pPr>
        <w:autoSpaceDE w:val="0"/>
        <w:autoSpaceDN w:val="0"/>
        <w:adjustRightInd w:val="0"/>
        <w:ind w:firstLine="540"/>
        <w:jc w:val="both"/>
        <w:rPr>
          <w:rFonts w:cs="TimesNewRomanPSMT"/>
        </w:rPr>
      </w:pPr>
      <w:r>
        <w:rPr>
          <w:rFonts w:cs="TimesNewRomanPSMT"/>
        </w:rPr>
        <w:t>-</w:t>
      </w:r>
      <w:r>
        <w:rPr>
          <w:rFonts w:cs="TimesNewRomanPSMT"/>
        </w:rPr>
        <w:tab/>
        <w:t>Предприети са мерки за минимизиране на несъвършенствата при разпределението на средствата по единни разходни стандарти, като е въведен механизъм за осигуряване на средствата за условно-постоянни разходи на звената в системата на средното образование.</w:t>
      </w:r>
    </w:p>
    <w:p w:rsidR="006E5AE0" w:rsidRDefault="006E5AE0" w:rsidP="006E5AE0">
      <w:pPr>
        <w:pStyle w:val="BodyTextIndent"/>
        <w:widowControl w:val="0"/>
        <w:spacing w:after="0"/>
        <w:ind w:left="0" w:firstLine="539"/>
        <w:jc w:val="both"/>
        <w:rPr>
          <w:lang w:val="bg-BG"/>
        </w:rPr>
      </w:pPr>
      <w:r>
        <w:rPr>
          <w:lang w:val="bg-BG"/>
        </w:rPr>
        <w:t xml:space="preserve">Разходите по </w:t>
      </w:r>
      <w:r>
        <w:rPr>
          <w:b/>
          <w:lang w:val="bg-BG"/>
        </w:rPr>
        <w:t>общинските бюджети</w:t>
      </w:r>
      <w:r>
        <w:rPr>
          <w:lang w:val="bg-BG"/>
        </w:rPr>
        <w:t xml:space="preserve"> за функцията са 1 8</w:t>
      </w:r>
      <w:r w:rsidR="00631009">
        <w:rPr>
          <w:lang w:val="bg-BG"/>
        </w:rPr>
        <w:t>32</w:t>
      </w:r>
      <w:r>
        <w:rPr>
          <w:lang w:val="bg-BG"/>
        </w:rPr>
        <w:t>,</w:t>
      </w:r>
      <w:r w:rsidR="009E0527">
        <w:rPr>
          <w:lang w:val="bg-BG"/>
        </w:rPr>
        <w:t xml:space="preserve">2 </w:t>
      </w:r>
      <w:r>
        <w:rPr>
          <w:lang w:val="bg-BG"/>
        </w:rPr>
        <w:t>млн. лв. или 11</w:t>
      </w:r>
      <w:r w:rsidR="00631009">
        <w:rPr>
          <w:lang w:val="bg-BG"/>
        </w:rPr>
        <w:t>0</w:t>
      </w:r>
      <w:r>
        <w:rPr>
          <w:lang w:val="bg-BG"/>
        </w:rPr>
        <w:t>,</w:t>
      </w:r>
      <w:r w:rsidR="00631009">
        <w:rPr>
          <w:lang w:val="bg-BG"/>
        </w:rPr>
        <w:t>8</w:t>
      </w:r>
      <w:r>
        <w:rPr>
          <w:lang w:val="bg-BG"/>
        </w:rPr>
        <w:t xml:space="preserve"> % спрямо разчетите към ЗДБРБ за 201</w:t>
      </w:r>
      <w:r w:rsidR="00631009">
        <w:rPr>
          <w:lang w:val="bg-BG"/>
        </w:rPr>
        <w:t>5</w:t>
      </w:r>
      <w:r>
        <w:rPr>
          <w:lang w:val="bg-BG"/>
        </w:rPr>
        <w:t xml:space="preserve"> г. Текущите разходи са в размер на 1 758,</w:t>
      </w:r>
      <w:r w:rsidR="009E0527">
        <w:rPr>
          <w:lang w:val="bg-BG"/>
        </w:rPr>
        <w:t xml:space="preserve">5 </w:t>
      </w:r>
      <w:r>
        <w:rPr>
          <w:lang w:val="bg-BG"/>
        </w:rPr>
        <w:t>млн. лв. и капиталовите – 73,7 млн. лева.</w:t>
      </w:r>
    </w:p>
    <w:p w:rsidR="006E5AE0" w:rsidRDefault="006E5AE0" w:rsidP="006E5AE0">
      <w:pPr>
        <w:pStyle w:val="BodyTextIndent"/>
        <w:widowControl w:val="0"/>
        <w:spacing w:after="0"/>
        <w:ind w:left="0" w:firstLine="540"/>
        <w:jc w:val="both"/>
        <w:rPr>
          <w:lang w:val="bg-BG"/>
        </w:rPr>
      </w:pPr>
      <w:r w:rsidRPr="000F3DB1">
        <w:rPr>
          <w:lang w:val="bg-BG"/>
        </w:rPr>
        <w:t xml:space="preserve">За </w:t>
      </w:r>
      <w:r w:rsidRPr="000F3DB1">
        <w:rPr>
          <w:i/>
          <w:lang w:val="bg-BG"/>
        </w:rPr>
        <w:t>делегираните от държавата дейности</w:t>
      </w:r>
      <w:r w:rsidRPr="000F3DB1">
        <w:rPr>
          <w:lang w:val="bg-BG"/>
        </w:rPr>
        <w:t xml:space="preserve"> извършените текущи разходи са в размер на 1 </w:t>
      </w:r>
      <w:r w:rsidR="00B91E73" w:rsidRPr="000F3DB1">
        <w:rPr>
          <w:lang w:val="en-US"/>
        </w:rPr>
        <w:t>572</w:t>
      </w:r>
      <w:r w:rsidR="00B91E73" w:rsidRPr="000F3DB1">
        <w:rPr>
          <w:lang w:val="bg-BG"/>
        </w:rPr>
        <w:t>,0</w:t>
      </w:r>
      <w:r w:rsidRPr="000F3DB1">
        <w:rPr>
          <w:lang w:val="bg-BG"/>
        </w:rPr>
        <w:t xml:space="preserve"> млн. лв. или със 138,</w:t>
      </w:r>
      <w:r w:rsidR="00B91E73" w:rsidRPr="000F3DB1">
        <w:rPr>
          <w:lang w:val="bg-BG"/>
        </w:rPr>
        <w:t xml:space="preserve">7 </w:t>
      </w:r>
      <w:r w:rsidRPr="000F3DB1">
        <w:rPr>
          <w:lang w:val="bg-BG"/>
        </w:rPr>
        <w:t>млн. лв. повече от планираните. Превишението</w:t>
      </w:r>
      <w:r>
        <w:rPr>
          <w:lang w:val="bg-BG"/>
        </w:rPr>
        <w:t xml:space="preserve"> спрямо закона се дължи на финансирането по националните програми – „Оптимизация на училищната мрежа, „С грижа за всеки ученик”, „Без свободен час”,  „Информационни и комуникационни технологии” и др. Училищата и детските градини са получили допълнителни средства за компенсиране транспортните разходи на педагогическия персонал, за стипендии на деца с изявени дарби, за диференцирано заплащане на труда на директорите, за безплатен транспорт на ученици до 16 г. възраст, за безплатни учебници на децата от подготвителните групи и на учениците до VІІ клас, както и за въвеждане на целодневна организация на учебния ден за учениците от V и V</w:t>
      </w:r>
      <w:r>
        <w:rPr>
          <w:lang w:val="en-US"/>
        </w:rPr>
        <w:t>I</w:t>
      </w:r>
      <w:r>
        <w:rPr>
          <w:lang w:val="bg-BG"/>
        </w:rPr>
        <w:t xml:space="preserve"> клас.</w:t>
      </w:r>
    </w:p>
    <w:p w:rsidR="006E5AE0" w:rsidRDefault="006E5AE0" w:rsidP="006E5AE0">
      <w:pPr>
        <w:pStyle w:val="BodyTextIndent"/>
        <w:widowControl w:val="0"/>
        <w:spacing w:after="0"/>
        <w:ind w:left="0" w:firstLine="567"/>
        <w:jc w:val="both"/>
        <w:rPr>
          <w:lang w:val="bg-BG"/>
        </w:rPr>
      </w:pPr>
      <w:r>
        <w:rPr>
          <w:lang w:val="bg-BG"/>
        </w:rPr>
        <w:t>В делегираните от държавата дейности се отчитат разходите за персонала в училищата и детските градини, издръжката на децата в подготвителните групи, всички  разходи за издръжка на общообразователните, спортните, професионалните и специалните училища и на общежитията, средствата за извънкласни и извънучилищни дейности.</w:t>
      </w:r>
    </w:p>
    <w:p w:rsidR="006E5AE0" w:rsidRPr="00107DD8" w:rsidRDefault="006E5AE0" w:rsidP="006E5AE0">
      <w:pPr>
        <w:pStyle w:val="BodyTextIndent"/>
        <w:widowControl w:val="0"/>
        <w:spacing w:after="0"/>
        <w:ind w:left="0" w:firstLine="539"/>
        <w:jc w:val="both"/>
        <w:rPr>
          <w:lang w:val="bg-BG"/>
        </w:rPr>
      </w:pPr>
      <w:r>
        <w:rPr>
          <w:lang w:val="bg-BG"/>
        </w:rPr>
        <w:t>По отчетни данни за 201</w:t>
      </w:r>
      <w:r>
        <w:rPr>
          <w:lang w:val="en-US"/>
        </w:rPr>
        <w:t>5</w:t>
      </w:r>
      <w:r>
        <w:rPr>
          <w:lang w:val="bg-BG"/>
        </w:rPr>
        <w:t xml:space="preserve"> г. общините са дофинансирали държавните дейности със </w:t>
      </w:r>
      <w:r w:rsidRPr="00107DD8">
        <w:rPr>
          <w:lang w:val="bg-BG"/>
        </w:rPr>
        <w:t xml:space="preserve">собствени приходи общо в размер на </w:t>
      </w:r>
      <w:r w:rsidRPr="00107DD8">
        <w:rPr>
          <w:lang w:val="en-US"/>
        </w:rPr>
        <w:t>34</w:t>
      </w:r>
      <w:r w:rsidRPr="00107DD8">
        <w:rPr>
          <w:lang w:val="bg-BG"/>
        </w:rPr>
        <w:t>,</w:t>
      </w:r>
      <w:r w:rsidRPr="00107DD8">
        <w:rPr>
          <w:lang w:val="en-US"/>
        </w:rPr>
        <w:t>0</w:t>
      </w:r>
      <w:r w:rsidRPr="00107DD8">
        <w:rPr>
          <w:lang w:val="bg-BG"/>
        </w:rPr>
        <w:t xml:space="preserve"> млн. лв.. </w:t>
      </w:r>
    </w:p>
    <w:p w:rsidR="006E5AE0" w:rsidRDefault="006E5AE0" w:rsidP="006E5AE0">
      <w:pPr>
        <w:pStyle w:val="BodyTextIndent"/>
        <w:widowControl w:val="0"/>
        <w:spacing w:after="0"/>
        <w:ind w:left="0" w:firstLine="539"/>
        <w:jc w:val="both"/>
        <w:rPr>
          <w:lang w:val="bg-BG"/>
        </w:rPr>
      </w:pPr>
      <w:r w:rsidRPr="00107DD8">
        <w:rPr>
          <w:lang w:val="bg-BG"/>
        </w:rPr>
        <w:t xml:space="preserve">В </w:t>
      </w:r>
      <w:r w:rsidRPr="00107DD8">
        <w:rPr>
          <w:i/>
          <w:lang w:val="bg-BG"/>
        </w:rPr>
        <w:t>местните дейности</w:t>
      </w:r>
      <w:r w:rsidRPr="00107DD8">
        <w:rPr>
          <w:lang w:val="bg-BG"/>
        </w:rPr>
        <w:t xml:space="preserve"> по функция „Образование” са отчетени текущи разходи в размер на </w:t>
      </w:r>
      <w:r w:rsidRPr="00107DD8">
        <w:rPr>
          <w:lang w:val="en-US"/>
        </w:rPr>
        <w:t>166</w:t>
      </w:r>
      <w:r w:rsidRPr="00107DD8">
        <w:rPr>
          <w:lang w:val="bg-BG"/>
        </w:rPr>
        <w:t>,</w:t>
      </w:r>
      <w:r w:rsidRPr="00107DD8">
        <w:rPr>
          <w:lang w:val="en-US"/>
        </w:rPr>
        <w:t>7</w:t>
      </w:r>
      <w:r w:rsidRPr="00107DD8">
        <w:rPr>
          <w:lang w:val="bg-BG"/>
        </w:rPr>
        <w:t xml:space="preserve"> млн. лв., което е с</w:t>
      </w:r>
      <w:r w:rsidR="00631009" w:rsidRPr="00107DD8">
        <w:rPr>
          <w:lang w:val="bg-BG"/>
        </w:rPr>
        <w:t xml:space="preserve"> 20</w:t>
      </w:r>
      <w:r w:rsidRPr="00107DD8">
        <w:rPr>
          <w:lang w:val="bg-BG"/>
        </w:rPr>
        <w:t>,</w:t>
      </w:r>
      <w:r w:rsidR="00631009" w:rsidRPr="00107DD8">
        <w:rPr>
          <w:lang w:val="bg-BG"/>
        </w:rPr>
        <w:t>3</w:t>
      </w:r>
      <w:r w:rsidRPr="00107DD8">
        <w:rPr>
          <w:lang w:val="bg-BG"/>
        </w:rPr>
        <w:t xml:space="preserve"> млн. лв. по-малко от разчетените със закона и със 7,0 млн. лв.  по-малко спрямо отчетените за 2014 г. Тук се включват разходите за издръжка</w:t>
      </w:r>
      <w:r>
        <w:rPr>
          <w:lang w:val="bg-BG"/>
        </w:rPr>
        <w:t xml:space="preserve"> на целодневните детски градини, обединени детски заведения, полудневни детски градини; столове; извънучилищни и др. дейности по образованието.</w:t>
      </w:r>
    </w:p>
    <w:p w:rsidR="006E5AE0" w:rsidRDefault="006E5AE0" w:rsidP="006E5AE0">
      <w:pPr>
        <w:pStyle w:val="BodyTextIndent"/>
        <w:widowControl w:val="0"/>
        <w:ind w:left="0" w:firstLine="539"/>
        <w:jc w:val="both"/>
        <w:rPr>
          <w:lang w:val="bg-BG"/>
        </w:rPr>
      </w:pPr>
      <w:r>
        <w:rPr>
          <w:lang w:val="bg-BG"/>
        </w:rPr>
        <w:t>Отчетените капиталови разходи при местните дейности по функция „Образование” са 37,4 млн. лв. или с 20,2 млн. лв. повече спрямо предвидените по закон.</w:t>
      </w:r>
    </w:p>
    <w:p w:rsidR="006E5AE0" w:rsidRDefault="006E5AE0" w:rsidP="006E5AE0">
      <w:pPr>
        <w:pStyle w:val="BodyTextIndent2"/>
        <w:spacing w:line="240" w:lineRule="auto"/>
        <w:ind w:left="0" w:firstLine="539"/>
        <w:jc w:val="both"/>
        <w:rPr>
          <w:lang w:val="en-US"/>
        </w:rPr>
      </w:pPr>
      <w:r>
        <w:rPr>
          <w:b/>
        </w:rPr>
        <w:t>Европейски средства</w:t>
      </w:r>
      <w:r>
        <w:t xml:space="preserve"> – във функцията изразходваните средства за 2015 г. са в размер на </w:t>
      </w:r>
      <w:r w:rsidR="00080007">
        <w:t>180,1</w:t>
      </w:r>
      <w:r>
        <w:t xml:space="preserve"> млн. лв., основно по следните програми</w:t>
      </w:r>
      <w:r>
        <w:rPr>
          <w:lang w:val="en-US"/>
        </w:rPr>
        <w:t>:</w:t>
      </w:r>
    </w:p>
    <w:p w:rsidR="006E5AE0" w:rsidRDefault="006E5AE0" w:rsidP="006E5AE0">
      <w:pPr>
        <w:pStyle w:val="BodyTextIndent2"/>
        <w:spacing w:line="240" w:lineRule="auto"/>
        <w:ind w:left="0" w:firstLine="539"/>
        <w:jc w:val="both"/>
      </w:pPr>
      <w:r>
        <w:rPr>
          <w:b/>
          <w:i/>
        </w:rPr>
        <w:t xml:space="preserve">Оперативна програма „Развитие на човешките ресурси” - </w:t>
      </w:r>
      <w:r>
        <w:t>чрез тази програма се финансират дейности за: осигуряване на достъп до образование и обучение; насърчаване на иновациите и научно-развойната дейност, с цел изграждане на икономика, основана на знанието; разработване и изпълнение на стратегия за учене през целия живот; транснационалното и междурегионалното сътрудничество и др. Една от основните цели на програмата е увеличено инвестиране в човешкия капитал чрез по-добро и по-достъпно образование (равен достъп до качествени образователни услуги за всички), за преодоляване на проблема с ограничения достъп до пазара на труда, поради липса на умения или поради неадекватност на уменията на хората. Програмата се съсредоточава и върху развитието на фундаментални изследвания. Бенефициенти на програмата са образователни институции, консултантски фирми, неправителствени организации и др.</w:t>
      </w:r>
      <w:r>
        <w:rPr>
          <w:color w:val="0070C0"/>
        </w:rPr>
        <w:t xml:space="preserve"> </w:t>
      </w:r>
      <w:r>
        <w:lastRenderedPageBreak/>
        <w:t xml:space="preserve">Средствата по </w:t>
      </w:r>
      <w:r>
        <w:rPr>
          <w:i/>
        </w:rPr>
        <w:t xml:space="preserve">Оперативна програма „Развитие на човешките ресурси” </w:t>
      </w:r>
      <w:r>
        <w:t>за функция „Образование” за годината са в размер на 95,</w:t>
      </w:r>
      <w:r w:rsidR="00631009">
        <w:t>7</w:t>
      </w:r>
      <w:r>
        <w:t xml:space="preserve"> млн. лева.</w:t>
      </w:r>
    </w:p>
    <w:p w:rsidR="006E5AE0" w:rsidRDefault="006E5AE0" w:rsidP="006E5AE0">
      <w:pPr>
        <w:pStyle w:val="BodyTextIndent2"/>
        <w:spacing w:line="240" w:lineRule="auto"/>
        <w:ind w:left="0" w:firstLine="539"/>
        <w:jc w:val="both"/>
      </w:pPr>
      <w:r w:rsidRPr="00777929">
        <w:rPr>
          <w:b/>
          <w:i/>
        </w:rPr>
        <w:t>Разходи по др. програми и проекти, финансирани от фондове и институции на ЕС</w:t>
      </w:r>
      <w:r w:rsidRPr="00777929">
        <w:t xml:space="preserve"> (51,2 млн. лв.).</w:t>
      </w:r>
      <w:r>
        <w:t xml:space="preserve"> </w:t>
      </w:r>
    </w:p>
    <w:p w:rsidR="006E5AE0" w:rsidRPr="00777929" w:rsidRDefault="006E5AE0" w:rsidP="00781B85">
      <w:pPr>
        <w:pStyle w:val="Heading3"/>
        <w:numPr>
          <w:ilvl w:val="2"/>
          <w:numId w:val="15"/>
        </w:numPr>
        <w:jc w:val="both"/>
        <w:rPr>
          <w:rFonts w:ascii="Times New Roman" w:hAnsi="Times New Roman"/>
          <w:sz w:val="24"/>
          <w:lang w:val="bg-BG"/>
        </w:rPr>
      </w:pPr>
      <w:bookmarkStart w:id="242" w:name="_Toc326315917"/>
      <w:bookmarkStart w:id="243" w:name="_Toc324863425"/>
      <w:bookmarkStart w:id="244" w:name="_Toc261276589"/>
      <w:bookmarkStart w:id="245" w:name="_Toc462146125"/>
      <w:r w:rsidRPr="00777929">
        <w:rPr>
          <w:rFonts w:ascii="Times New Roman" w:hAnsi="Times New Roman"/>
          <w:sz w:val="24"/>
          <w:lang w:val="bg-BG"/>
        </w:rPr>
        <w:t>Здравеопазване</w:t>
      </w:r>
      <w:bookmarkEnd w:id="242"/>
      <w:bookmarkEnd w:id="243"/>
      <w:bookmarkEnd w:id="244"/>
      <w:bookmarkEnd w:id="245"/>
    </w:p>
    <w:p w:rsidR="006E5AE0" w:rsidRDefault="006E5AE0" w:rsidP="006E5AE0">
      <w:pPr>
        <w:ind w:firstLine="540"/>
        <w:jc w:val="both"/>
      </w:pPr>
      <w:r w:rsidRPr="00777929">
        <w:t>С консолидираната фискална програма за 2015 г. разчетените разходи за функция „Здравеопазване” (вкл. резерва за непредвидени и неотложни разходи) са 3</w:t>
      </w:r>
      <w:r w:rsidR="00F03DA4" w:rsidRPr="00777929">
        <w:t> 894,3</w:t>
      </w:r>
      <w:r w:rsidRPr="00777929">
        <w:t xml:space="preserve"> млн. лв., </w:t>
      </w:r>
      <w:r w:rsidRPr="007B6551">
        <w:t>а изразходваните средства по функцията за годината са в размер на 3 9</w:t>
      </w:r>
      <w:r w:rsidR="00777929" w:rsidRPr="007B6551">
        <w:rPr>
          <w:lang w:val="en-US"/>
        </w:rPr>
        <w:t>71</w:t>
      </w:r>
      <w:r w:rsidRPr="007B6551">
        <w:t xml:space="preserve">,5 млн. лв. или </w:t>
      </w:r>
      <w:r w:rsidR="007B6551" w:rsidRPr="007B6551">
        <w:rPr>
          <w:lang w:val="en-US"/>
        </w:rPr>
        <w:t>102</w:t>
      </w:r>
      <w:r w:rsidR="00CD2C18">
        <w:t>,</w:t>
      </w:r>
      <w:r w:rsidR="007B6551" w:rsidRPr="007B6551">
        <w:rPr>
          <w:lang w:val="en-US"/>
        </w:rPr>
        <w:t>0</w:t>
      </w:r>
      <w:r w:rsidRPr="007B6551">
        <w:t xml:space="preserve"> % спрямо годишния разчет. Средствата за функция „Здравеопазване” представляват 4,6 % от БВП.</w:t>
      </w:r>
    </w:p>
    <w:p w:rsidR="006E5AE0" w:rsidRDefault="006E5AE0" w:rsidP="006E5AE0">
      <w:pPr>
        <w:ind w:firstLine="7560"/>
        <w:rPr>
          <w:b/>
          <w:sz w:val="18"/>
          <w:szCs w:val="18"/>
        </w:rPr>
      </w:pPr>
      <w:r>
        <w:rPr>
          <w:b/>
          <w:sz w:val="18"/>
          <w:szCs w:val="18"/>
        </w:rPr>
        <w:t xml:space="preserve">              (млн. лв.)</w:t>
      </w:r>
    </w:p>
    <w:tbl>
      <w:tblPr>
        <w:tblW w:w="8578" w:type="dxa"/>
        <w:jc w:val="center"/>
        <w:tblInd w:w="610" w:type="dxa"/>
        <w:tblCellMar>
          <w:left w:w="70" w:type="dxa"/>
          <w:right w:w="70" w:type="dxa"/>
        </w:tblCellMar>
        <w:tblLook w:val="04A0" w:firstRow="1" w:lastRow="0" w:firstColumn="1" w:lastColumn="0" w:noHBand="0" w:noVBand="1"/>
      </w:tblPr>
      <w:tblGrid>
        <w:gridCol w:w="3240"/>
        <w:gridCol w:w="900"/>
        <w:gridCol w:w="720"/>
        <w:gridCol w:w="900"/>
        <w:gridCol w:w="955"/>
        <w:gridCol w:w="1078"/>
        <w:gridCol w:w="785"/>
      </w:tblGrid>
      <w:tr w:rsidR="006E5AE0" w:rsidTr="006E5AE0">
        <w:trPr>
          <w:trHeight w:val="645"/>
          <w:jc w:val="center"/>
        </w:trPr>
        <w:tc>
          <w:tcPr>
            <w:tcW w:w="3240" w:type="dxa"/>
            <w:tcBorders>
              <w:top w:val="double" w:sz="2" w:space="0" w:color="800000"/>
              <w:left w:val="double" w:sz="2" w:space="0" w:color="800000"/>
              <w:bottom w:val="nil"/>
              <w:right w:val="single" w:sz="4"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ОТЧЕТ 2015 г.</w:t>
            </w:r>
          </w:p>
        </w:tc>
        <w:tc>
          <w:tcPr>
            <w:tcW w:w="900" w:type="dxa"/>
            <w:tcBorders>
              <w:top w:val="double" w:sz="2" w:space="0" w:color="800000"/>
              <w:left w:val="single" w:sz="4" w:space="0" w:color="FFFFFF"/>
              <w:bottom w:val="nil"/>
              <w:right w:val="single" w:sz="4"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КФП</w:t>
            </w:r>
          </w:p>
        </w:tc>
        <w:tc>
          <w:tcPr>
            <w:tcW w:w="720" w:type="dxa"/>
            <w:tcBorders>
              <w:top w:val="double" w:sz="2" w:space="0" w:color="800000"/>
              <w:left w:val="single" w:sz="4" w:space="0" w:color="FFFFFF"/>
              <w:bottom w:val="nil"/>
              <w:right w:val="single" w:sz="4"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ДБ</w:t>
            </w:r>
          </w:p>
        </w:tc>
        <w:tc>
          <w:tcPr>
            <w:tcW w:w="900" w:type="dxa"/>
            <w:tcBorders>
              <w:top w:val="double" w:sz="2" w:space="0" w:color="800000"/>
              <w:left w:val="single" w:sz="4" w:space="0" w:color="FFFFFF"/>
              <w:bottom w:val="nil"/>
              <w:right w:val="single" w:sz="4" w:space="0" w:color="FFFFFF"/>
            </w:tcBorders>
            <w:shd w:val="clear" w:color="auto" w:fill="800000"/>
            <w:vAlign w:val="center"/>
            <w:hideMark/>
          </w:tcPr>
          <w:p w:rsidR="006E5AE0" w:rsidRPr="006E5AE0" w:rsidRDefault="006E5AE0">
            <w:pPr>
              <w:jc w:val="center"/>
              <w:rPr>
                <w:b/>
                <w:bCs/>
                <w:color w:val="FFFFFF"/>
                <w:sz w:val="20"/>
                <w:szCs w:val="20"/>
              </w:rPr>
            </w:pPr>
            <w:r w:rsidRPr="006E5AE0">
              <w:rPr>
                <w:b/>
                <w:bCs/>
                <w:color w:val="FFFFFF"/>
                <w:sz w:val="20"/>
                <w:szCs w:val="20"/>
              </w:rPr>
              <w:t>НЗОК</w:t>
            </w:r>
          </w:p>
        </w:tc>
        <w:tc>
          <w:tcPr>
            <w:tcW w:w="955" w:type="dxa"/>
            <w:tcBorders>
              <w:top w:val="double" w:sz="2" w:space="0" w:color="800000"/>
              <w:left w:val="single" w:sz="4" w:space="0" w:color="FFFFFF"/>
              <w:bottom w:val="nil"/>
              <w:right w:val="single" w:sz="4" w:space="0" w:color="FFFFFF"/>
            </w:tcBorders>
            <w:shd w:val="clear" w:color="auto" w:fill="800000"/>
            <w:noWrap/>
            <w:vAlign w:val="center"/>
            <w:hideMark/>
          </w:tcPr>
          <w:p w:rsidR="006E5AE0" w:rsidRPr="006E5AE0" w:rsidRDefault="006E5AE0">
            <w:pPr>
              <w:jc w:val="center"/>
              <w:rPr>
                <w:b/>
                <w:bCs/>
                <w:color w:val="FFFFFF"/>
                <w:sz w:val="20"/>
                <w:szCs w:val="20"/>
              </w:rPr>
            </w:pPr>
            <w:r w:rsidRPr="006E5AE0">
              <w:rPr>
                <w:b/>
                <w:bCs/>
                <w:color w:val="FFFFFF"/>
                <w:sz w:val="20"/>
                <w:szCs w:val="20"/>
              </w:rPr>
              <w:t>Общини</w:t>
            </w:r>
          </w:p>
        </w:tc>
        <w:tc>
          <w:tcPr>
            <w:tcW w:w="1078" w:type="dxa"/>
            <w:tcBorders>
              <w:top w:val="double" w:sz="2" w:space="0" w:color="800000"/>
              <w:left w:val="single" w:sz="4" w:space="0" w:color="FFFFFF"/>
              <w:bottom w:val="nil"/>
              <w:right w:val="single" w:sz="4" w:space="0" w:color="FFFFFF"/>
            </w:tcBorders>
            <w:shd w:val="clear" w:color="auto" w:fill="800000"/>
            <w:vAlign w:val="center"/>
            <w:hideMark/>
          </w:tcPr>
          <w:p w:rsidR="006E5AE0" w:rsidRPr="006E5AE0" w:rsidRDefault="006E5AE0">
            <w:pPr>
              <w:jc w:val="center"/>
              <w:rPr>
                <w:b/>
                <w:bCs/>
                <w:color w:val="FFFFFF"/>
                <w:sz w:val="20"/>
                <w:szCs w:val="20"/>
              </w:rPr>
            </w:pPr>
            <w:r w:rsidRPr="006E5AE0">
              <w:rPr>
                <w:b/>
                <w:bCs/>
                <w:color w:val="FFFFFF"/>
                <w:sz w:val="20"/>
                <w:szCs w:val="20"/>
              </w:rPr>
              <w:t>ДМП</w:t>
            </w:r>
          </w:p>
        </w:tc>
        <w:tc>
          <w:tcPr>
            <w:tcW w:w="785" w:type="dxa"/>
            <w:tcBorders>
              <w:top w:val="double" w:sz="2" w:space="0" w:color="800000"/>
              <w:left w:val="single" w:sz="4" w:space="0" w:color="FFFFFF"/>
              <w:bottom w:val="nil"/>
              <w:right w:val="double" w:sz="2" w:space="0" w:color="800000"/>
            </w:tcBorders>
            <w:shd w:val="clear" w:color="auto" w:fill="800000"/>
            <w:vAlign w:val="center"/>
            <w:hideMark/>
          </w:tcPr>
          <w:p w:rsidR="006E5AE0" w:rsidRPr="006E5AE0" w:rsidRDefault="006E5AE0">
            <w:pPr>
              <w:jc w:val="center"/>
              <w:rPr>
                <w:b/>
                <w:bCs/>
                <w:color w:val="FFFFFF"/>
                <w:sz w:val="20"/>
                <w:szCs w:val="20"/>
              </w:rPr>
            </w:pPr>
            <w:r w:rsidRPr="006E5AE0">
              <w:rPr>
                <w:b/>
                <w:bCs/>
                <w:color w:val="FFFFFF"/>
                <w:sz w:val="20"/>
                <w:szCs w:val="20"/>
              </w:rPr>
              <w:t>Европ. ср-ва</w:t>
            </w:r>
          </w:p>
        </w:tc>
      </w:tr>
      <w:tr w:rsidR="00CD2C18" w:rsidTr="006E5AE0">
        <w:trPr>
          <w:trHeight w:val="330"/>
          <w:jc w:val="center"/>
        </w:trPr>
        <w:tc>
          <w:tcPr>
            <w:tcW w:w="3240" w:type="dxa"/>
            <w:tcBorders>
              <w:top w:val="nil"/>
              <w:left w:val="double" w:sz="6" w:space="0" w:color="800000"/>
              <w:bottom w:val="nil"/>
              <w:right w:val="single" w:sz="4" w:space="0" w:color="800000"/>
            </w:tcBorders>
            <w:shd w:val="clear" w:color="auto" w:fill="FFFFCC"/>
            <w:noWrap/>
            <w:vAlign w:val="bottom"/>
            <w:hideMark/>
          </w:tcPr>
          <w:p w:rsidR="00CD2C18" w:rsidRDefault="00CD2C18">
            <w:pPr>
              <w:rPr>
                <w:b/>
                <w:bCs/>
                <w:sz w:val="20"/>
                <w:szCs w:val="20"/>
              </w:rPr>
            </w:pPr>
            <w:r>
              <w:rPr>
                <w:b/>
                <w:bCs/>
                <w:sz w:val="20"/>
                <w:szCs w:val="20"/>
              </w:rPr>
              <w:t>IV. ЗДРАВЕОПАЗВАНЕ</w:t>
            </w:r>
          </w:p>
        </w:tc>
        <w:tc>
          <w:tcPr>
            <w:tcW w:w="900" w:type="dxa"/>
            <w:tcBorders>
              <w:top w:val="nil"/>
              <w:left w:val="nil"/>
              <w:bottom w:val="nil"/>
              <w:right w:val="single" w:sz="4" w:space="0" w:color="800000"/>
            </w:tcBorders>
            <w:shd w:val="clear" w:color="auto" w:fill="FFFFCC"/>
            <w:noWrap/>
            <w:vAlign w:val="bottom"/>
            <w:hideMark/>
          </w:tcPr>
          <w:p w:rsidR="00CD2C18" w:rsidRDefault="00CD2C18">
            <w:pPr>
              <w:jc w:val="right"/>
              <w:rPr>
                <w:b/>
                <w:bCs/>
                <w:color w:val="000000"/>
                <w:sz w:val="20"/>
                <w:szCs w:val="20"/>
              </w:rPr>
            </w:pPr>
            <w:r>
              <w:rPr>
                <w:b/>
                <w:bCs/>
                <w:color w:val="000000"/>
                <w:sz w:val="20"/>
                <w:szCs w:val="20"/>
              </w:rPr>
              <w:t>3 971,5</w:t>
            </w:r>
          </w:p>
        </w:tc>
        <w:tc>
          <w:tcPr>
            <w:tcW w:w="720" w:type="dxa"/>
            <w:tcBorders>
              <w:top w:val="nil"/>
              <w:left w:val="nil"/>
              <w:bottom w:val="nil"/>
              <w:right w:val="single" w:sz="4" w:space="0" w:color="800000"/>
            </w:tcBorders>
            <w:shd w:val="clear" w:color="auto" w:fill="FFFFCC"/>
            <w:noWrap/>
            <w:vAlign w:val="bottom"/>
            <w:hideMark/>
          </w:tcPr>
          <w:p w:rsidR="00CD2C18" w:rsidRDefault="00CD2C18">
            <w:pPr>
              <w:jc w:val="right"/>
              <w:rPr>
                <w:b/>
                <w:bCs/>
                <w:color w:val="000000"/>
                <w:sz w:val="20"/>
                <w:szCs w:val="20"/>
              </w:rPr>
            </w:pPr>
            <w:r>
              <w:rPr>
                <w:b/>
                <w:bCs/>
                <w:color w:val="000000"/>
                <w:sz w:val="20"/>
                <w:szCs w:val="20"/>
              </w:rPr>
              <w:t>636,8</w:t>
            </w:r>
          </w:p>
        </w:tc>
        <w:tc>
          <w:tcPr>
            <w:tcW w:w="900" w:type="dxa"/>
            <w:tcBorders>
              <w:top w:val="nil"/>
              <w:left w:val="nil"/>
              <w:bottom w:val="nil"/>
              <w:right w:val="single" w:sz="4" w:space="0" w:color="800000"/>
            </w:tcBorders>
            <w:shd w:val="clear" w:color="auto" w:fill="FFFFCC"/>
            <w:noWrap/>
            <w:vAlign w:val="bottom"/>
            <w:hideMark/>
          </w:tcPr>
          <w:p w:rsidR="00CD2C18" w:rsidRDefault="00CD2C18">
            <w:pPr>
              <w:jc w:val="right"/>
              <w:rPr>
                <w:b/>
                <w:bCs/>
                <w:color w:val="000000"/>
                <w:sz w:val="20"/>
                <w:szCs w:val="20"/>
              </w:rPr>
            </w:pPr>
            <w:r>
              <w:rPr>
                <w:b/>
                <w:bCs/>
                <w:color w:val="000000"/>
                <w:sz w:val="20"/>
                <w:szCs w:val="20"/>
              </w:rPr>
              <w:t>3 030,2</w:t>
            </w:r>
          </w:p>
        </w:tc>
        <w:tc>
          <w:tcPr>
            <w:tcW w:w="955" w:type="dxa"/>
            <w:tcBorders>
              <w:top w:val="nil"/>
              <w:left w:val="nil"/>
              <w:bottom w:val="nil"/>
              <w:right w:val="single" w:sz="4" w:space="0" w:color="800000"/>
            </w:tcBorders>
            <w:shd w:val="clear" w:color="auto" w:fill="FFFFCC"/>
            <w:noWrap/>
            <w:vAlign w:val="bottom"/>
            <w:hideMark/>
          </w:tcPr>
          <w:p w:rsidR="00CD2C18" w:rsidRDefault="00CD2C18">
            <w:pPr>
              <w:jc w:val="right"/>
              <w:rPr>
                <w:b/>
                <w:bCs/>
                <w:color w:val="000000"/>
                <w:sz w:val="20"/>
                <w:szCs w:val="20"/>
              </w:rPr>
            </w:pPr>
            <w:r>
              <w:rPr>
                <w:b/>
                <w:bCs/>
                <w:color w:val="000000"/>
                <w:sz w:val="20"/>
                <w:szCs w:val="20"/>
              </w:rPr>
              <w:t>162,2</w:t>
            </w:r>
          </w:p>
        </w:tc>
        <w:tc>
          <w:tcPr>
            <w:tcW w:w="1078" w:type="dxa"/>
            <w:tcBorders>
              <w:top w:val="nil"/>
              <w:left w:val="single" w:sz="4" w:space="0" w:color="800000"/>
              <w:bottom w:val="nil"/>
              <w:right w:val="single" w:sz="4" w:space="0" w:color="800000"/>
            </w:tcBorders>
            <w:shd w:val="clear" w:color="auto" w:fill="FFFFCC"/>
            <w:vAlign w:val="bottom"/>
            <w:hideMark/>
          </w:tcPr>
          <w:p w:rsidR="00CD2C18" w:rsidRDefault="00CD2C18">
            <w:pPr>
              <w:jc w:val="right"/>
              <w:rPr>
                <w:b/>
                <w:bCs/>
                <w:color w:val="000000"/>
                <w:sz w:val="20"/>
                <w:szCs w:val="20"/>
              </w:rPr>
            </w:pPr>
            <w:r>
              <w:rPr>
                <w:b/>
                <w:bCs/>
                <w:color w:val="000000"/>
                <w:sz w:val="20"/>
                <w:szCs w:val="20"/>
              </w:rPr>
              <w:t>2,4</w:t>
            </w:r>
          </w:p>
        </w:tc>
        <w:tc>
          <w:tcPr>
            <w:tcW w:w="785" w:type="dxa"/>
            <w:tcBorders>
              <w:top w:val="nil"/>
              <w:left w:val="single" w:sz="4" w:space="0" w:color="800000"/>
              <w:bottom w:val="nil"/>
              <w:right w:val="double" w:sz="6" w:space="0" w:color="800000"/>
            </w:tcBorders>
            <w:shd w:val="clear" w:color="auto" w:fill="FFFFCC"/>
            <w:noWrap/>
            <w:vAlign w:val="bottom"/>
            <w:hideMark/>
          </w:tcPr>
          <w:p w:rsidR="00CD2C18" w:rsidRDefault="00CD2C18">
            <w:pPr>
              <w:jc w:val="right"/>
              <w:rPr>
                <w:b/>
                <w:bCs/>
                <w:color w:val="000000"/>
                <w:sz w:val="20"/>
                <w:szCs w:val="20"/>
              </w:rPr>
            </w:pPr>
            <w:r>
              <w:rPr>
                <w:b/>
                <w:bCs/>
                <w:color w:val="000000"/>
                <w:sz w:val="20"/>
                <w:szCs w:val="20"/>
              </w:rPr>
              <w:t>139,9</w:t>
            </w:r>
          </w:p>
        </w:tc>
      </w:tr>
      <w:tr w:rsidR="00CD2C18" w:rsidTr="006E5AE0">
        <w:trPr>
          <w:trHeight w:val="255"/>
          <w:jc w:val="center"/>
        </w:trPr>
        <w:tc>
          <w:tcPr>
            <w:tcW w:w="3240" w:type="dxa"/>
            <w:tcBorders>
              <w:top w:val="nil"/>
              <w:left w:val="double" w:sz="6" w:space="0" w:color="800000"/>
              <w:bottom w:val="nil"/>
              <w:right w:val="single" w:sz="4" w:space="0" w:color="800000"/>
            </w:tcBorders>
            <w:shd w:val="clear" w:color="auto" w:fill="FFFFCC"/>
            <w:noWrap/>
            <w:vAlign w:val="bottom"/>
            <w:hideMark/>
          </w:tcPr>
          <w:p w:rsidR="00CD2C18" w:rsidRDefault="00CD2C18">
            <w:pPr>
              <w:rPr>
                <w:sz w:val="20"/>
                <w:szCs w:val="20"/>
              </w:rPr>
            </w:pPr>
            <w:r>
              <w:rPr>
                <w:sz w:val="20"/>
                <w:szCs w:val="20"/>
              </w:rPr>
              <w:t xml:space="preserve">     Текущи нелихвени разходи</w:t>
            </w:r>
          </w:p>
        </w:tc>
        <w:tc>
          <w:tcPr>
            <w:tcW w:w="900" w:type="dxa"/>
            <w:tcBorders>
              <w:top w:val="nil"/>
              <w:left w:val="nil"/>
              <w:bottom w:val="nil"/>
              <w:right w:val="single" w:sz="4"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3 786,2</w:t>
            </w:r>
          </w:p>
        </w:tc>
        <w:tc>
          <w:tcPr>
            <w:tcW w:w="720" w:type="dxa"/>
            <w:tcBorders>
              <w:top w:val="nil"/>
              <w:left w:val="nil"/>
              <w:bottom w:val="nil"/>
              <w:right w:val="single" w:sz="4"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602,8</w:t>
            </w:r>
          </w:p>
        </w:tc>
        <w:tc>
          <w:tcPr>
            <w:tcW w:w="900" w:type="dxa"/>
            <w:tcBorders>
              <w:top w:val="nil"/>
              <w:left w:val="nil"/>
              <w:bottom w:val="nil"/>
              <w:right w:val="single" w:sz="4"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3 027,7</w:t>
            </w:r>
          </w:p>
        </w:tc>
        <w:tc>
          <w:tcPr>
            <w:tcW w:w="955" w:type="dxa"/>
            <w:tcBorders>
              <w:top w:val="nil"/>
              <w:left w:val="nil"/>
              <w:bottom w:val="nil"/>
              <w:right w:val="single" w:sz="4"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147,9</w:t>
            </w:r>
          </w:p>
        </w:tc>
        <w:tc>
          <w:tcPr>
            <w:tcW w:w="1078" w:type="dxa"/>
            <w:tcBorders>
              <w:top w:val="nil"/>
              <w:left w:val="single" w:sz="4" w:space="0" w:color="800000"/>
              <w:bottom w:val="nil"/>
              <w:right w:val="single" w:sz="4" w:space="0" w:color="800000"/>
            </w:tcBorders>
            <w:shd w:val="clear" w:color="auto" w:fill="FFFFCC"/>
            <w:vAlign w:val="bottom"/>
            <w:hideMark/>
          </w:tcPr>
          <w:p w:rsidR="00CD2C18" w:rsidRDefault="00CD2C18">
            <w:pPr>
              <w:jc w:val="right"/>
              <w:rPr>
                <w:color w:val="000000"/>
                <w:sz w:val="20"/>
                <w:szCs w:val="20"/>
              </w:rPr>
            </w:pPr>
            <w:r>
              <w:rPr>
                <w:color w:val="000000"/>
                <w:sz w:val="20"/>
                <w:szCs w:val="20"/>
              </w:rPr>
              <w:t>1,8</w:t>
            </w:r>
          </w:p>
        </w:tc>
        <w:tc>
          <w:tcPr>
            <w:tcW w:w="785" w:type="dxa"/>
            <w:tcBorders>
              <w:top w:val="nil"/>
              <w:left w:val="single" w:sz="4" w:space="0" w:color="800000"/>
              <w:bottom w:val="nil"/>
              <w:right w:val="double" w:sz="6"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6,0</w:t>
            </w:r>
          </w:p>
        </w:tc>
      </w:tr>
      <w:tr w:rsidR="00CD2C18" w:rsidTr="006E5AE0">
        <w:trPr>
          <w:trHeight w:val="270"/>
          <w:jc w:val="center"/>
        </w:trPr>
        <w:tc>
          <w:tcPr>
            <w:tcW w:w="3240" w:type="dxa"/>
            <w:tcBorders>
              <w:top w:val="nil"/>
              <w:left w:val="double" w:sz="6" w:space="0" w:color="800000"/>
              <w:bottom w:val="double" w:sz="6" w:space="0" w:color="800000"/>
              <w:right w:val="single" w:sz="4" w:space="0" w:color="800000"/>
            </w:tcBorders>
            <w:shd w:val="clear" w:color="auto" w:fill="FFFFCC"/>
            <w:noWrap/>
            <w:vAlign w:val="bottom"/>
            <w:hideMark/>
          </w:tcPr>
          <w:p w:rsidR="00CD2C18" w:rsidRDefault="00CD2C18">
            <w:pPr>
              <w:rPr>
                <w:sz w:val="20"/>
                <w:szCs w:val="20"/>
              </w:rPr>
            </w:pPr>
            <w:r>
              <w:rPr>
                <w:sz w:val="20"/>
                <w:szCs w:val="20"/>
              </w:rPr>
              <w:t xml:space="preserve">     Капиталови разходи</w:t>
            </w:r>
          </w:p>
        </w:tc>
        <w:tc>
          <w:tcPr>
            <w:tcW w:w="900" w:type="dxa"/>
            <w:tcBorders>
              <w:top w:val="nil"/>
              <w:left w:val="nil"/>
              <w:bottom w:val="double" w:sz="6" w:space="0" w:color="800000"/>
              <w:right w:val="single" w:sz="4"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185,3</w:t>
            </w:r>
          </w:p>
        </w:tc>
        <w:tc>
          <w:tcPr>
            <w:tcW w:w="720" w:type="dxa"/>
            <w:tcBorders>
              <w:top w:val="nil"/>
              <w:left w:val="nil"/>
              <w:bottom w:val="double" w:sz="6" w:space="0" w:color="800000"/>
              <w:right w:val="single" w:sz="4"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34,0</w:t>
            </w:r>
          </w:p>
        </w:tc>
        <w:tc>
          <w:tcPr>
            <w:tcW w:w="900" w:type="dxa"/>
            <w:tcBorders>
              <w:top w:val="nil"/>
              <w:left w:val="nil"/>
              <w:bottom w:val="double" w:sz="6" w:space="0" w:color="800000"/>
              <w:right w:val="single" w:sz="4"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2,6</w:t>
            </w:r>
          </w:p>
        </w:tc>
        <w:tc>
          <w:tcPr>
            <w:tcW w:w="955" w:type="dxa"/>
            <w:tcBorders>
              <w:top w:val="nil"/>
              <w:left w:val="nil"/>
              <w:bottom w:val="double" w:sz="6" w:space="0" w:color="800000"/>
              <w:right w:val="single" w:sz="4"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14,2</w:t>
            </w:r>
          </w:p>
        </w:tc>
        <w:tc>
          <w:tcPr>
            <w:tcW w:w="1078" w:type="dxa"/>
            <w:tcBorders>
              <w:top w:val="nil"/>
              <w:left w:val="single" w:sz="4" w:space="0" w:color="800000"/>
              <w:bottom w:val="double" w:sz="6" w:space="0" w:color="800000"/>
              <w:right w:val="single" w:sz="4" w:space="0" w:color="800000"/>
            </w:tcBorders>
            <w:shd w:val="clear" w:color="auto" w:fill="FFFFCC"/>
            <w:vAlign w:val="bottom"/>
            <w:hideMark/>
          </w:tcPr>
          <w:p w:rsidR="00CD2C18" w:rsidRDefault="00CD2C18">
            <w:pPr>
              <w:jc w:val="right"/>
              <w:rPr>
                <w:color w:val="000000"/>
                <w:sz w:val="20"/>
                <w:szCs w:val="20"/>
              </w:rPr>
            </w:pPr>
            <w:r>
              <w:rPr>
                <w:color w:val="000000"/>
                <w:sz w:val="20"/>
                <w:szCs w:val="20"/>
              </w:rPr>
              <w:t>0,6</w:t>
            </w:r>
          </w:p>
        </w:tc>
        <w:tc>
          <w:tcPr>
            <w:tcW w:w="785" w:type="dxa"/>
            <w:tcBorders>
              <w:top w:val="nil"/>
              <w:left w:val="single" w:sz="4" w:space="0" w:color="800000"/>
              <w:bottom w:val="double" w:sz="6" w:space="0" w:color="800000"/>
              <w:right w:val="double" w:sz="6" w:space="0" w:color="800000"/>
            </w:tcBorders>
            <w:shd w:val="clear" w:color="auto" w:fill="FFFFCC"/>
            <w:noWrap/>
            <w:vAlign w:val="bottom"/>
            <w:hideMark/>
          </w:tcPr>
          <w:p w:rsidR="00CD2C18" w:rsidRDefault="00CD2C18">
            <w:pPr>
              <w:jc w:val="right"/>
              <w:rPr>
                <w:color w:val="000000"/>
                <w:sz w:val="20"/>
                <w:szCs w:val="20"/>
              </w:rPr>
            </w:pPr>
            <w:r>
              <w:rPr>
                <w:color w:val="000000"/>
                <w:sz w:val="20"/>
                <w:szCs w:val="20"/>
              </w:rPr>
              <w:t>133,9</w:t>
            </w:r>
          </w:p>
        </w:tc>
      </w:tr>
    </w:tbl>
    <w:p w:rsidR="006E5AE0" w:rsidRDefault="006E5AE0" w:rsidP="006E5AE0">
      <w:pPr>
        <w:ind w:firstLine="540"/>
        <w:jc w:val="both"/>
        <w:rPr>
          <w:color w:val="0070C0"/>
          <w:sz w:val="14"/>
          <w:szCs w:val="14"/>
        </w:rPr>
      </w:pPr>
    </w:p>
    <w:p w:rsidR="006E5AE0" w:rsidRDefault="006E5AE0" w:rsidP="006E5AE0">
      <w:pPr>
        <w:spacing w:after="120"/>
        <w:ind w:firstLine="540"/>
        <w:jc w:val="both"/>
      </w:pPr>
      <w:r>
        <w:t xml:space="preserve">Разходите по </w:t>
      </w:r>
      <w:r>
        <w:rPr>
          <w:b/>
        </w:rPr>
        <w:t>държавния бюджет</w:t>
      </w:r>
      <w:r>
        <w:t xml:space="preserve"> за функция “Здравеопазване” през 2015 г. са насочени към финансиране на следните приоритетни политики:</w:t>
      </w:r>
    </w:p>
    <w:p w:rsidR="006E5AE0" w:rsidRDefault="006E5AE0" w:rsidP="00781B85">
      <w:pPr>
        <w:numPr>
          <w:ilvl w:val="0"/>
          <w:numId w:val="29"/>
        </w:numPr>
        <w:tabs>
          <w:tab w:val="clear" w:pos="720"/>
          <w:tab w:val="num" w:pos="540"/>
          <w:tab w:val="left" w:pos="900"/>
        </w:tabs>
        <w:ind w:left="540" w:hanging="540"/>
        <w:jc w:val="both"/>
      </w:pPr>
      <w:r>
        <w:t>Политика в областта на общественото здравеопазване – центрове за спешна медицинска помощ; регионални инспекции, центрове за трансфузионна  хематология и др.</w:t>
      </w:r>
    </w:p>
    <w:p w:rsidR="006E5AE0" w:rsidRDefault="006E5AE0" w:rsidP="00781B85">
      <w:pPr>
        <w:numPr>
          <w:ilvl w:val="0"/>
          <w:numId w:val="29"/>
        </w:numPr>
        <w:tabs>
          <w:tab w:val="clear" w:pos="720"/>
          <w:tab w:val="num" w:pos="540"/>
          <w:tab w:val="left" w:pos="900"/>
        </w:tabs>
        <w:ind w:left="540" w:hanging="540"/>
        <w:jc w:val="both"/>
      </w:pPr>
      <w:r>
        <w:t>Политика в областта на реализиране на национални здравни програми по стратегически здравни приоритети и социално значими заболявания;</w:t>
      </w:r>
    </w:p>
    <w:p w:rsidR="006E5AE0" w:rsidRDefault="006E5AE0" w:rsidP="00781B85">
      <w:pPr>
        <w:numPr>
          <w:ilvl w:val="0"/>
          <w:numId w:val="29"/>
        </w:numPr>
        <w:tabs>
          <w:tab w:val="clear" w:pos="720"/>
          <w:tab w:val="num" w:pos="540"/>
          <w:tab w:val="left" w:pos="900"/>
        </w:tabs>
        <w:ind w:left="540" w:hanging="540"/>
        <w:jc w:val="both"/>
      </w:pPr>
      <w:r>
        <w:t>Осигуряване на медикаменти, консумативи и биопродукти по централна доставка;</w:t>
      </w:r>
    </w:p>
    <w:p w:rsidR="006E5AE0" w:rsidRDefault="006E5AE0" w:rsidP="00781B85">
      <w:pPr>
        <w:numPr>
          <w:ilvl w:val="0"/>
          <w:numId w:val="29"/>
        </w:numPr>
        <w:tabs>
          <w:tab w:val="clear" w:pos="720"/>
          <w:tab w:val="num" w:pos="540"/>
          <w:tab w:val="left" w:pos="900"/>
        </w:tabs>
        <w:spacing w:after="120"/>
        <w:ind w:left="540" w:hanging="540"/>
        <w:jc w:val="both"/>
      </w:pPr>
      <w:r>
        <w:t>Диагностично-консултативна и лечебна дейност в лечебните заведения, в системата на МЗ, МТИТС, МС, МО и МВР.</w:t>
      </w:r>
    </w:p>
    <w:p w:rsidR="006E5AE0" w:rsidRDefault="006E5AE0" w:rsidP="006E5AE0">
      <w:pPr>
        <w:tabs>
          <w:tab w:val="left" w:pos="900"/>
        </w:tabs>
        <w:ind w:firstLine="540"/>
        <w:jc w:val="both"/>
      </w:pPr>
      <w:r>
        <w:t>Основните разходи за функция „Здравеопазване” по държавния бюджет се осъществяват чрез бюджета на Министерството на здравеопазването.</w:t>
      </w:r>
    </w:p>
    <w:p w:rsidR="006E5AE0" w:rsidRDefault="006E5AE0" w:rsidP="006E5AE0">
      <w:pPr>
        <w:tabs>
          <w:tab w:val="left" w:pos="900"/>
        </w:tabs>
        <w:ind w:firstLine="540"/>
        <w:jc w:val="both"/>
      </w:pPr>
      <w:r>
        <w:t xml:space="preserve">Министерството на здравеопазването субсидира лечебните заведения за болнична помощ с държавно и общинско участие въз основа на договор за дейности, които са определени като държавна отговорност по критерии и ред, определени от министъра на здравеопазването, в съответствие с чл. 82 от Закона за здравето. Субсидиите за болнична помощ чрез бюджета на МЗ за 2015 г. по отчет са 80,3 млн. лева. </w:t>
      </w:r>
    </w:p>
    <w:p w:rsidR="006E5AE0" w:rsidRDefault="006E5AE0" w:rsidP="006E5AE0">
      <w:pPr>
        <w:tabs>
          <w:tab w:val="left" w:pos="900"/>
        </w:tabs>
        <w:ind w:firstLine="540"/>
        <w:jc w:val="both"/>
      </w:pPr>
      <w:r>
        <w:t>Чрез бюджета на Министерството на здравеопазването и през 2015 г. се  осъществяват разходи  по централни доставки за лекарствени продукти за пациенти със СПИН, туберкулоза и психически и поведенчески зависимости, като по отчет тези разходи са в размер на  48,2 млн. лева.</w:t>
      </w:r>
    </w:p>
    <w:p w:rsidR="006E5AE0" w:rsidRDefault="006E5AE0" w:rsidP="006E5AE0">
      <w:pPr>
        <w:tabs>
          <w:tab w:val="left" w:pos="900"/>
        </w:tabs>
        <w:ind w:firstLine="540"/>
        <w:jc w:val="both"/>
      </w:pPr>
      <w:r>
        <w:t>През 2015 г. чрез бюджета на Министерството на здравеопазването са финансирани общо 10 Национални програми, като отчетените разходи за тях са в размер на 6,3 млн. лева.</w:t>
      </w:r>
    </w:p>
    <w:p w:rsidR="006E5AE0" w:rsidRDefault="006E5AE0" w:rsidP="006E5AE0">
      <w:pPr>
        <w:ind w:firstLine="540"/>
        <w:jc w:val="both"/>
      </w:pPr>
      <w:r>
        <w:t>През годината лечебните заведения за болнична помощ към МО, МС, МВР, МТИТС и  ММС са изразходвали 211,9 млн. лв. за своята дейност, включително средствата за изпълнени клинични пътеки по договори за болнична помощ с НЗОК.</w:t>
      </w:r>
    </w:p>
    <w:p w:rsidR="006E5AE0" w:rsidRDefault="006E5AE0" w:rsidP="006E5AE0">
      <w:pPr>
        <w:ind w:firstLine="540"/>
        <w:jc w:val="both"/>
      </w:pPr>
      <w:r>
        <w:t>Разпределението на отчетените общи разходи за здравеопазване по министерства и ведомства за 2015 г. е следното:</w:t>
      </w:r>
    </w:p>
    <w:p w:rsidR="006E5AE0" w:rsidRDefault="006E5AE0" w:rsidP="006E5AE0">
      <w:pPr>
        <w:ind w:firstLine="540"/>
        <w:jc w:val="both"/>
        <w:rPr>
          <w:sz w:val="10"/>
          <w:szCs w:val="10"/>
        </w:rPr>
      </w:pPr>
    </w:p>
    <w:p w:rsidR="006E5AE0" w:rsidRDefault="006E5AE0" w:rsidP="00781B85">
      <w:pPr>
        <w:numPr>
          <w:ilvl w:val="0"/>
          <w:numId w:val="31"/>
        </w:numPr>
        <w:tabs>
          <w:tab w:val="left" w:pos="360"/>
        </w:tabs>
        <w:ind w:left="360"/>
        <w:jc w:val="both"/>
      </w:pPr>
      <w:r>
        <w:t xml:space="preserve">Министерство на здравеопазването  -                    </w:t>
      </w:r>
      <w:r>
        <w:tab/>
      </w:r>
      <w:r>
        <w:tab/>
      </w:r>
      <w:r>
        <w:tab/>
        <w:t xml:space="preserve">        420,8 млн. лв.</w:t>
      </w:r>
    </w:p>
    <w:p w:rsidR="006E5AE0" w:rsidRDefault="006E5AE0" w:rsidP="00781B85">
      <w:pPr>
        <w:numPr>
          <w:ilvl w:val="0"/>
          <w:numId w:val="31"/>
        </w:numPr>
        <w:tabs>
          <w:tab w:val="left" w:pos="360"/>
        </w:tabs>
        <w:ind w:left="360"/>
        <w:jc w:val="both"/>
      </w:pPr>
      <w:r>
        <w:t>Министерски съвет  -</w:t>
      </w:r>
      <w:r>
        <w:tab/>
      </w:r>
      <w:r>
        <w:tab/>
      </w:r>
      <w:r>
        <w:tab/>
      </w:r>
      <w:r>
        <w:tab/>
      </w:r>
      <w:r>
        <w:tab/>
      </w:r>
      <w:r>
        <w:tab/>
      </w:r>
      <w:r>
        <w:tab/>
        <w:t xml:space="preserve">          33,4 млн. лв.</w:t>
      </w:r>
    </w:p>
    <w:p w:rsidR="006E5AE0" w:rsidRDefault="006E5AE0" w:rsidP="00781B85">
      <w:pPr>
        <w:numPr>
          <w:ilvl w:val="0"/>
          <w:numId w:val="31"/>
        </w:numPr>
        <w:tabs>
          <w:tab w:val="left" w:pos="360"/>
        </w:tabs>
        <w:ind w:left="360"/>
        <w:jc w:val="both"/>
      </w:pPr>
      <w:r>
        <w:lastRenderedPageBreak/>
        <w:t xml:space="preserve">Министерство на отбраната  -                       </w:t>
      </w:r>
      <w:r>
        <w:tab/>
      </w:r>
      <w:r>
        <w:tab/>
      </w:r>
      <w:r>
        <w:tab/>
      </w:r>
      <w:r>
        <w:tab/>
        <w:t xml:space="preserve">        142,3 млн. лв.</w:t>
      </w:r>
    </w:p>
    <w:p w:rsidR="006E5AE0" w:rsidRDefault="006E5AE0" w:rsidP="00781B85">
      <w:pPr>
        <w:numPr>
          <w:ilvl w:val="0"/>
          <w:numId w:val="31"/>
        </w:numPr>
        <w:tabs>
          <w:tab w:val="left" w:pos="360"/>
        </w:tabs>
        <w:ind w:left="360"/>
        <w:jc w:val="both"/>
      </w:pPr>
      <w:r>
        <w:t xml:space="preserve">Министерство на вътрешните работи -        </w:t>
      </w:r>
      <w:r>
        <w:tab/>
      </w:r>
      <w:r>
        <w:tab/>
      </w:r>
      <w:r>
        <w:tab/>
      </w:r>
      <w:r>
        <w:tab/>
        <w:t xml:space="preserve">          27,8 млн. лв.</w:t>
      </w:r>
    </w:p>
    <w:p w:rsidR="006E5AE0" w:rsidRDefault="006E5AE0" w:rsidP="00781B85">
      <w:pPr>
        <w:numPr>
          <w:ilvl w:val="0"/>
          <w:numId w:val="31"/>
        </w:numPr>
        <w:tabs>
          <w:tab w:val="left" w:pos="360"/>
        </w:tabs>
        <w:ind w:left="360"/>
        <w:jc w:val="both"/>
      </w:pPr>
      <w:r>
        <w:t xml:space="preserve">Министерство на транспорта, информационните технологии </w:t>
      </w:r>
    </w:p>
    <w:p w:rsidR="006E5AE0" w:rsidRDefault="006E5AE0" w:rsidP="006E5AE0">
      <w:pPr>
        <w:tabs>
          <w:tab w:val="left" w:pos="360"/>
        </w:tabs>
        <w:jc w:val="both"/>
      </w:pPr>
      <w:r>
        <w:t xml:space="preserve">      и съобщенията  -</w:t>
      </w:r>
      <w:r>
        <w:tab/>
      </w:r>
      <w:r>
        <w:tab/>
      </w:r>
      <w:r>
        <w:tab/>
      </w:r>
      <w:r>
        <w:tab/>
      </w:r>
      <w:r>
        <w:tab/>
      </w:r>
      <w:r>
        <w:tab/>
      </w:r>
      <w:r>
        <w:tab/>
      </w:r>
      <w:r>
        <w:tab/>
        <w:t xml:space="preserve">            8,3 млн. лв.</w:t>
      </w:r>
    </w:p>
    <w:p w:rsidR="006E5AE0" w:rsidRDefault="006E5AE0" w:rsidP="00781B85">
      <w:pPr>
        <w:numPr>
          <w:ilvl w:val="0"/>
          <w:numId w:val="31"/>
        </w:numPr>
        <w:tabs>
          <w:tab w:val="left" w:pos="360"/>
        </w:tabs>
        <w:spacing w:after="120"/>
        <w:ind w:left="360"/>
        <w:jc w:val="both"/>
      </w:pPr>
      <w:r>
        <w:t xml:space="preserve">Министерство на младежта  и спорта  -   </w:t>
      </w:r>
      <w:r>
        <w:tab/>
      </w:r>
      <w:r>
        <w:tab/>
      </w:r>
      <w:r>
        <w:tab/>
      </w:r>
      <w:r>
        <w:tab/>
        <w:t xml:space="preserve">            0,2 млн. лв.</w:t>
      </w:r>
    </w:p>
    <w:p w:rsidR="006E5AE0" w:rsidRDefault="006E5AE0" w:rsidP="006E5AE0">
      <w:pPr>
        <w:pStyle w:val="BodyText"/>
        <w:widowControl w:val="0"/>
        <w:spacing w:after="0"/>
        <w:ind w:firstLine="540"/>
        <w:jc w:val="both"/>
      </w:pPr>
      <w:r>
        <w:t xml:space="preserve">По </w:t>
      </w:r>
      <w:r>
        <w:rPr>
          <w:b/>
        </w:rPr>
        <w:t>общинските бюджети</w:t>
      </w:r>
      <w:r>
        <w:t xml:space="preserve"> за функция “Здравеопазване” са отчетени разходи в размер на 162,2 млн. лв. или 97,7 % от предвидените по разчетите към ЗДБРБ за 2015 г. </w:t>
      </w:r>
    </w:p>
    <w:p w:rsidR="006E5AE0" w:rsidRDefault="006E5AE0" w:rsidP="006E5AE0">
      <w:pPr>
        <w:pStyle w:val="BodyText"/>
        <w:widowControl w:val="0"/>
        <w:spacing w:after="0"/>
        <w:ind w:firstLine="540"/>
        <w:jc w:val="both"/>
      </w:pPr>
      <w:r>
        <w:t>Отчетените текущи разходи за тази функция са в размер на 147,9 млн. лв., което е 102,7 % (3,8 млн. лв. преизпълнение) спрямо разчетените със закона и 10</w:t>
      </w:r>
      <w:r w:rsidR="00930DD1">
        <w:t>5</w:t>
      </w:r>
      <w:r>
        <w:t>,</w:t>
      </w:r>
      <w:r w:rsidR="00930DD1">
        <w:t>3</w:t>
      </w:r>
      <w:r>
        <w:t xml:space="preserve"> % спрямо отчетените за 2014 г. Превишението на отчетените средства спрямо закона се дължи предимно на предоставени от общините субсидии за нефинансови предприятия (общински болници). </w:t>
      </w:r>
    </w:p>
    <w:p w:rsidR="006E5AE0" w:rsidRDefault="006E5AE0" w:rsidP="006E5AE0">
      <w:pPr>
        <w:pStyle w:val="BodyTextIndent"/>
        <w:widowControl w:val="0"/>
        <w:spacing w:after="0"/>
        <w:ind w:left="0" w:firstLine="539"/>
        <w:jc w:val="both"/>
        <w:rPr>
          <w:lang w:val="bg-BG"/>
        </w:rPr>
      </w:pPr>
      <w:r>
        <w:rPr>
          <w:lang w:val="bg-BG"/>
        </w:rPr>
        <w:t xml:space="preserve">Отчетените </w:t>
      </w:r>
      <w:r>
        <w:rPr>
          <w:lang w:val="bg-BG" w:eastAsia="bg-BG"/>
        </w:rPr>
        <w:t>капиталови</w:t>
      </w:r>
      <w:r>
        <w:rPr>
          <w:lang w:val="bg-BG"/>
        </w:rPr>
        <w:t xml:space="preserve"> разходи по функцията са в размер на 14,2 млн. </w:t>
      </w:r>
      <w:r>
        <w:rPr>
          <w:lang w:val="ru-RU"/>
        </w:rPr>
        <w:t>лева</w:t>
      </w:r>
      <w:r>
        <w:rPr>
          <w:lang w:val="bg-BG"/>
        </w:rPr>
        <w:t xml:space="preserve">. </w:t>
      </w:r>
    </w:p>
    <w:p w:rsidR="006E5AE0" w:rsidRDefault="006E5AE0" w:rsidP="006E5AE0">
      <w:pPr>
        <w:pStyle w:val="BodyTextIndent"/>
        <w:widowControl w:val="0"/>
        <w:spacing w:after="0"/>
        <w:ind w:left="0" w:firstLine="539"/>
        <w:jc w:val="both"/>
        <w:rPr>
          <w:lang w:val="bg-BG"/>
        </w:rPr>
      </w:pPr>
      <w:r>
        <w:rPr>
          <w:lang w:val="bg-BG"/>
        </w:rPr>
        <w:t>Разпределението на разходите във функция “Здравеопазване” по общинските бюджети е, както следва:</w:t>
      </w:r>
    </w:p>
    <w:p w:rsidR="006E5AE0" w:rsidRDefault="006E5AE0" w:rsidP="00781B85">
      <w:pPr>
        <w:pStyle w:val="BodyTextIndent"/>
        <w:widowControl w:val="0"/>
        <w:numPr>
          <w:ilvl w:val="0"/>
          <w:numId w:val="32"/>
        </w:numPr>
        <w:tabs>
          <w:tab w:val="num" w:pos="360"/>
        </w:tabs>
        <w:spacing w:before="120" w:after="0"/>
        <w:ind w:left="360"/>
        <w:jc w:val="both"/>
        <w:rPr>
          <w:b/>
          <w:lang w:val="bg-BG"/>
        </w:rPr>
      </w:pPr>
      <w:r>
        <w:rPr>
          <w:b/>
          <w:lang w:val="bg-BG"/>
        </w:rPr>
        <w:t xml:space="preserve">за </w:t>
      </w:r>
      <w:r>
        <w:rPr>
          <w:b/>
          <w:i/>
          <w:lang w:val="bg-BG" w:eastAsia="bg-BG"/>
        </w:rPr>
        <w:t xml:space="preserve">делегирани </w:t>
      </w:r>
      <w:r>
        <w:rPr>
          <w:b/>
          <w:i/>
          <w:lang w:val="bg-BG"/>
        </w:rPr>
        <w:t xml:space="preserve">от </w:t>
      </w:r>
      <w:r>
        <w:rPr>
          <w:b/>
          <w:i/>
          <w:lang w:val="bg-BG" w:eastAsia="bg-BG"/>
        </w:rPr>
        <w:t>държавата</w:t>
      </w:r>
      <w:r>
        <w:rPr>
          <w:b/>
          <w:i/>
          <w:lang w:val="bg-BG"/>
        </w:rPr>
        <w:t xml:space="preserve"> дейности:</w:t>
      </w:r>
    </w:p>
    <w:p w:rsidR="006E5AE0" w:rsidRDefault="006E5AE0" w:rsidP="00781B85">
      <w:pPr>
        <w:pStyle w:val="BodyTextIndent"/>
        <w:widowControl w:val="0"/>
        <w:numPr>
          <w:ilvl w:val="0"/>
          <w:numId w:val="33"/>
        </w:numPr>
        <w:tabs>
          <w:tab w:val="left" w:pos="540"/>
          <w:tab w:val="num" w:pos="720"/>
        </w:tabs>
        <w:spacing w:after="0"/>
        <w:ind w:left="539" w:firstLine="0"/>
        <w:jc w:val="both"/>
        <w:rPr>
          <w:lang w:val="bg-BG" w:eastAsia="bg-BG"/>
        </w:rPr>
      </w:pPr>
      <w:r>
        <w:rPr>
          <w:i/>
          <w:lang w:val="bg-BG" w:eastAsia="bg-BG"/>
        </w:rPr>
        <w:t>текущи разходи</w:t>
      </w:r>
      <w:r>
        <w:rPr>
          <w:lang w:val="bg-BG" w:eastAsia="bg-BG"/>
        </w:rPr>
        <w:t xml:space="preserve"> - разчетените средства по закон са в размер на 110,9 млн. лв., а извършените разходи са 103,2 млн. лв. или 93,0 % от планираните.  Изпълнението е 106,5 % спрямо отчета за 2014 г. Тук се отчитат разходите за персонал в детските ясли и детските кухни, разходите за здравни кабинети в детските градини и училища, здравни медиатори, пътни разходи на правоимащи болни, средствата за командироване на експертите от ТЕЛК от друга община. По отчетни данни за 2015 г. общините са дофинансирали държавните дейности със собствени приходи общо в размер на 3,5 млн. лева.</w:t>
      </w:r>
    </w:p>
    <w:p w:rsidR="006E5AE0" w:rsidRDefault="006E5AE0" w:rsidP="00781B85">
      <w:pPr>
        <w:pStyle w:val="BodyTextIndent"/>
        <w:widowControl w:val="0"/>
        <w:numPr>
          <w:ilvl w:val="0"/>
          <w:numId w:val="33"/>
        </w:numPr>
        <w:tabs>
          <w:tab w:val="left" w:pos="540"/>
          <w:tab w:val="num" w:pos="720"/>
        </w:tabs>
        <w:ind w:left="539" w:firstLine="0"/>
        <w:jc w:val="both"/>
        <w:rPr>
          <w:lang w:val="bg-BG" w:eastAsia="bg-BG"/>
        </w:rPr>
      </w:pPr>
      <w:r>
        <w:rPr>
          <w:i/>
          <w:lang w:val="bg-BG" w:eastAsia="bg-BG"/>
        </w:rPr>
        <w:t>капиталови разходи</w:t>
      </w:r>
      <w:r>
        <w:rPr>
          <w:lang w:val="bg-BG"/>
        </w:rPr>
        <w:t xml:space="preserve"> - отчетени са 2,3 млн. лв. или с 2,7 млн. лв. по-малко спрямо предвидените по закон</w:t>
      </w:r>
      <w:r>
        <w:rPr>
          <w:lang w:val="bg-BG" w:eastAsia="bg-BG"/>
        </w:rPr>
        <w:t xml:space="preserve">. </w:t>
      </w:r>
    </w:p>
    <w:p w:rsidR="006E5AE0" w:rsidRDefault="006E5AE0" w:rsidP="00781B85">
      <w:pPr>
        <w:pStyle w:val="BodyTextIndent"/>
        <w:widowControl w:val="0"/>
        <w:numPr>
          <w:ilvl w:val="0"/>
          <w:numId w:val="32"/>
        </w:numPr>
        <w:tabs>
          <w:tab w:val="num" w:pos="360"/>
        </w:tabs>
        <w:ind w:left="360"/>
        <w:jc w:val="both"/>
        <w:rPr>
          <w:b/>
          <w:lang w:val="bg-BG"/>
        </w:rPr>
      </w:pPr>
      <w:r>
        <w:rPr>
          <w:b/>
          <w:i/>
          <w:lang w:val="bg-BG"/>
        </w:rPr>
        <w:t>за местни дейности</w:t>
      </w:r>
      <w:r>
        <w:rPr>
          <w:b/>
          <w:lang w:val="bg-BG"/>
        </w:rPr>
        <w:t>:</w:t>
      </w:r>
    </w:p>
    <w:p w:rsidR="006E5AE0" w:rsidRDefault="006E5AE0" w:rsidP="00781B85">
      <w:pPr>
        <w:pStyle w:val="BodyTextIndent"/>
        <w:widowControl w:val="0"/>
        <w:numPr>
          <w:ilvl w:val="0"/>
          <w:numId w:val="33"/>
        </w:numPr>
        <w:tabs>
          <w:tab w:val="left" w:pos="540"/>
          <w:tab w:val="num" w:pos="720"/>
        </w:tabs>
        <w:spacing w:after="100" w:afterAutospacing="1"/>
        <w:ind w:left="539" w:firstLine="0"/>
        <w:jc w:val="both"/>
        <w:rPr>
          <w:lang w:val="bg-BG"/>
        </w:rPr>
      </w:pPr>
      <w:r>
        <w:rPr>
          <w:i/>
          <w:lang w:val="bg-BG" w:eastAsia="bg-BG"/>
        </w:rPr>
        <w:t xml:space="preserve">текущи разходи </w:t>
      </w:r>
      <w:r>
        <w:rPr>
          <w:lang w:val="bg-BG" w:eastAsia="bg-BG"/>
        </w:rPr>
        <w:t>- отчетени са текущи разходи в размер на 41,2 млн. лв., което е 1</w:t>
      </w:r>
      <w:r w:rsidR="007906A5">
        <w:rPr>
          <w:lang w:val="bg-BG" w:eastAsia="bg-BG"/>
        </w:rPr>
        <w:t>24</w:t>
      </w:r>
      <w:r>
        <w:rPr>
          <w:lang w:val="bg-BG" w:eastAsia="bg-BG"/>
        </w:rPr>
        <w:t>,</w:t>
      </w:r>
      <w:r w:rsidR="007906A5">
        <w:rPr>
          <w:lang w:val="bg-BG" w:eastAsia="bg-BG"/>
        </w:rPr>
        <w:t>3</w:t>
      </w:r>
      <w:r>
        <w:rPr>
          <w:lang w:val="bg-BG" w:eastAsia="bg-BG"/>
        </w:rPr>
        <w:t xml:space="preserve"> % спрямо закона. Увеличението на разходите спрямо закона се дължи основно на отчетените субсидии за болнична помощ, които не са предвидени по закон. Тук се включват разходите за издръжка на детските ясли и детските кухни и средствата по решение на общинския съвет за осъществяване на болнична помощ за дейности извън </w:t>
      </w:r>
      <w:r>
        <w:rPr>
          <w:lang w:val="bg-BG"/>
        </w:rPr>
        <w:t>обхвата на задължителното здравно осигуряване или програми.</w:t>
      </w:r>
    </w:p>
    <w:p w:rsidR="006E5AE0" w:rsidRDefault="006E5AE0" w:rsidP="00781B85">
      <w:pPr>
        <w:pStyle w:val="BodyTextIndent"/>
        <w:widowControl w:val="0"/>
        <w:numPr>
          <w:ilvl w:val="0"/>
          <w:numId w:val="33"/>
        </w:numPr>
        <w:tabs>
          <w:tab w:val="left" w:pos="540"/>
          <w:tab w:val="num" w:pos="720"/>
        </w:tabs>
        <w:ind w:left="539" w:firstLine="0"/>
        <w:jc w:val="both"/>
        <w:rPr>
          <w:lang w:val="bg-BG" w:eastAsia="bg-BG"/>
        </w:rPr>
      </w:pPr>
      <w:r>
        <w:rPr>
          <w:i/>
          <w:lang w:val="bg-BG" w:eastAsia="bg-BG"/>
        </w:rPr>
        <w:t>капиталови разходи</w:t>
      </w:r>
      <w:r>
        <w:rPr>
          <w:lang w:val="bg-BG" w:eastAsia="bg-BG"/>
        </w:rPr>
        <w:t xml:space="preserve"> - отчетените разходи са в размер на 11,9 млн. лв. или с 4,9 млн. лв. по-малко спрямо предвидените по закон.</w:t>
      </w:r>
    </w:p>
    <w:p w:rsidR="006E5AE0" w:rsidRDefault="006E5AE0" w:rsidP="006E5AE0">
      <w:pPr>
        <w:spacing w:after="120"/>
        <w:ind w:firstLine="539"/>
        <w:jc w:val="both"/>
      </w:pPr>
      <w:r>
        <w:t xml:space="preserve">Общият размер на извършените разходи за функцията </w:t>
      </w:r>
      <w:r>
        <w:rPr>
          <w:b/>
        </w:rPr>
        <w:t>по бюджета на НЗОК</w:t>
      </w:r>
      <w:r>
        <w:t xml:space="preserve"> е 3 030,2 млн. лв., като с най-голям относителен дял са здравноосигурителните плащания в размер на 2 988,9 млн. лв. </w:t>
      </w:r>
    </w:p>
    <w:p w:rsidR="006E5AE0" w:rsidRDefault="006E5AE0" w:rsidP="006E5AE0">
      <w:pPr>
        <w:spacing w:after="120"/>
        <w:ind w:firstLine="539"/>
        <w:jc w:val="both"/>
      </w:pPr>
      <w:r>
        <w:rPr>
          <w:b/>
        </w:rPr>
        <w:t>Европейски средства</w:t>
      </w:r>
      <w:r>
        <w:t xml:space="preserve"> – във функция „Здравеопазване“ изразходваните средства са в размер на 139,9 млн. лв. </w:t>
      </w:r>
      <w:r>
        <w:rPr>
          <w:lang w:val="ru-RU"/>
        </w:rPr>
        <w:t>(</w:t>
      </w:r>
      <w:r>
        <w:t>от които 133,9 млн. лв. капиталови разходи</w:t>
      </w:r>
      <w:r>
        <w:rPr>
          <w:lang w:val="ru-RU"/>
        </w:rPr>
        <w:t>)</w:t>
      </w:r>
      <w:r>
        <w:t xml:space="preserve"> и са основно по оперативна програма </w:t>
      </w:r>
      <w:r>
        <w:rPr>
          <w:i/>
        </w:rPr>
        <w:t>„Регионално развитие“</w:t>
      </w:r>
      <w:r w:rsidR="007906A5">
        <w:rPr>
          <w:i/>
        </w:rPr>
        <w:t xml:space="preserve">- </w:t>
      </w:r>
      <w:r w:rsidR="007906A5" w:rsidRPr="00EC33FC">
        <w:t>131,5 млн. лева</w:t>
      </w:r>
      <w:r>
        <w:rPr>
          <w:i/>
        </w:rPr>
        <w:t xml:space="preserve">. </w:t>
      </w:r>
      <w:r>
        <w:t>Една от основните цели на програмата в това функционално направление е свързана с осигуряване и подобряване на достъпността и качеството на медицинските услуги в населените райони. Като цяло дейностите по програмата в това направление са насочени към подобряване на материалната база на територията на страната, свързано с модернизация и съвременно оборудване на здравните центрове и клиники и подобряване на тяхната достъпност.</w:t>
      </w:r>
    </w:p>
    <w:p w:rsidR="006E5AE0" w:rsidRPr="008C731F" w:rsidRDefault="006E5AE0" w:rsidP="00781B85">
      <w:pPr>
        <w:pStyle w:val="Heading3"/>
        <w:numPr>
          <w:ilvl w:val="2"/>
          <w:numId w:val="15"/>
        </w:numPr>
        <w:rPr>
          <w:rFonts w:ascii="Times New Roman" w:hAnsi="Times New Roman"/>
          <w:sz w:val="24"/>
          <w:lang w:val="en-US"/>
        </w:rPr>
      </w:pPr>
      <w:bookmarkStart w:id="246" w:name="_Toc326315918"/>
      <w:bookmarkStart w:id="247" w:name="_Toc324863426"/>
      <w:bookmarkStart w:id="248" w:name="_Toc261276590"/>
      <w:bookmarkStart w:id="249" w:name="_Toc462146126"/>
      <w:r w:rsidRPr="008C731F">
        <w:rPr>
          <w:rFonts w:ascii="Times New Roman" w:hAnsi="Times New Roman"/>
          <w:sz w:val="24"/>
          <w:lang w:val="bg-BG"/>
        </w:rPr>
        <w:lastRenderedPageBreak/>
        <w:t>Социално осигуряване, подпомагане и грижи</w:t>
      </w:r>
      <w:bookmarkEnd w:id="246"/>
      <w:bookmarkEnd w:id="247"/>
      <w:bookmarkEnd w:id="248"/>
      <w:bookmarkEnd w:id="249"/>
    </w:p>
    <w:p w:rsidR="006E5AE0" w:rsidRDefault="006E5AE0" w:rsidP="006E5AE0">
      <w:pPr>
        <w:ind w:firstLine="720"/>
        <w:jc w:val="both"/>
      </w:pPr>
      <w:r w:rsidRPr="008C731F">
        <w:t>Разходите в тази функция за 2015 г. са в размер на 11 </w:t>
      </w:r>
      <w:r w:rsidR="008C731F" w:rsidRPr="008C731F">
        <w:t>654</w:t>
      </w:r>
      <w:r w:rsidRPr="008C731F">
        <w:t>,</w:t>
      </w:r>
      <w:r w:rsidR="00663F2E">
        <w:t>3</w:t>
      </w:r>
      <w:r w:rsidR="00663F2E" w:rsidRPr="008C731F">
        <w:t xml:space="preserve"> </w:t>
      </w:r>
      <w:r w:rsidRPr="008C731F">
        <w:t xml:space="preserve">млн. лв. или </w:t>
      </w:r>
      <w:r w:rsidRPr="008C731F">
        <w:rPr>
          <w:lang w:val="en-US"/>
        </w:rPr>
        <w:t>13</w:t>
      </w:r>
      <w:r w:rsidRPr="008C731F">
        <w:t xml:space="preserve">,5 % от БВП. Тук са включени разходите за пенсии, социални помощи и обезщетения и разходите за издръжка на службите за социалното осигуряване. Изпълнението на разходите във функцията спрямо годишните разчети възлиза на </w:t>
      </w:r>
      <w:r w:rsidR="008C731F">
        <w:t>102,8</w:t>
      </w:r>
      <w:r w:rsidRPr="008C731F">
        <w:t xml:space="preserve"> %.</w:t>
      </w:r>
      <w:r>
        <w:t xml:space="preserve"> </w:t>
      </w:r>
    </w:p>
    <w:p w:rsidR="006E5AE0" w:rsidRDefault="006E5AE0" w:rsidP="006E5AE0">
      <w:pPr>
        <w:ind w:firstLine="7920"/>
        <w:rPr>
          <w:b/>
          <w:color w:val="0070C0"/>
          <w:sz w:val="10"/>
          <w:szCs w:val="10"/>
          <w:lang w:val="ru-RU"/>
        </w:rPr>
      </w:pPr>
    </w:p>
    <w:p w:rsidR="006E5AE0" w:rsidRDefault="006E5AE0" w:rsidP="006E5AE0">
      <w:pPr>
        <w:ind w:firstLine="7920"/>
        <w:rPr>
          <w:b/>
          <w:sz w:val="18"/>
          <w:szCs w:val="18"/>
        </w:rPr>
      </w:pPr>
      <w:r>
        <w:rPr>
          <w:b/>
          <w:sz w:val="18"/>
          <w:szCs w:val="18"/>
        </w:rPr>
        <w:t xml:space="preserve"> (млн. лв.)</w:t>
      </w:r>
    </w:p>
    <w:tbl>
      <w:tblPr>
        <w:tblW w:w="9192" w:type="dxa"/>
        <w:tblLayout w:type="fixed"/>
        <w:tblCellMar>
          <w:left w:w="70" w:type="dxa"/>
          <w:right w:w="70" w:type="dxa"/>
        </w:tblCellMar>
        <w:tblLook w:val="04A0" w:firstRow="1" w:lastRow="0" w:firstColumn="1" w:lastColumn="0" w:noHBand="0" w:noVBand="1"/>
      </w:tblPr>
      <w:tblGrid>
        <w:gridCol w:w="2537"/>
        <w:gridCol w:w="843"/>
        <w:gridCol w:w="701"/>
        <w:gridCol w:w="1123"/>
        <w:gridCol w:w="620"/>
        <w:gridCol w:w="643"/>
        <w:gridCol w:w="900"/>
        <w:gridCol w:w="843"/>
        <w:gridCol w:w="982"/>
      </w:tblGrid>
      <w:tr w:rsidR="006E5AE0" w:rsidTr="00637144">
        <w:trPr>
          <w:trHeight w:val="604"/>
        </w:trPr>
        <w:tc>
          <w:tcPr>
            <w:tcW w:w="2537"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ОТЧЕТ 2015 г.</w:t>
            </w:r>
          </w:p>
        </w:tc>
        <w:tc>
          <w:tcPr>
            <w:tcW w:w="843"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КФП</w:t>
            </w:r>
          </w:p>
        </w:tc>
        <w:tc>
          <w:tcPr>
            <w:tcW w:w="701"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ДБ</w:t>
            </w:r>
          </w:p>
        </w:tc>
        <w:tc>
          <w:tcPr>
            <w:tcW w:w="1123" w:type="dxa"/>
            <w:tcBorders>
              <w:top w:val="double" w:sz="2" w:space="0" w:color="800000"/>
              <w:left w:val="double" w:sz="2" w:space="0" w:color="800000"/>
              <w:bottom w:val="double" w:sz="2" w:space="0" w:color="800000"/>
              <w:right w:val="double" w:sz="2" w:space="0" w:color="800000"/>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Соц. осигуряване</w:t>
            </w:r>
          </w:p>
        </w:tc>
        <w:tc>
          <w:tcPr>
            <w:tcW w:w="620"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ДВУ</w:t>
            </w:r>
          </w:p>
        </w:tc>
        <w:tc>
          <w:tcPr>
            <w:tcW w:w="643" w:type="dxa"/>
            <w:tcBorders>
              <w:top w:val="double" w:sz="2" w:space="0" w:color="800000"/>
              <w:left w:val="double" w:sz="2" w:space="0" w:color="800000"/>
              <w:bottom w:val="double" w:sz="2" w:space="0" w:color="800000"/>
              <w:right w:val="double" w:sz="2" w:space="0" w:color="800000"/>
            </w:tcBorders>
            <w:shd w:val="clear" w:color="auto" w:fill="800000"/>
          </w:tcPr>
          <w:p w:rsidR="006E5AE0" w:rsidRPr="006E5AE0" w:rsidRDefault="006E5AE0">
            <w:pPr>
              <w:jc w:val="center"/>
              <w:rPr>
                <w:b/>
                <w:bCs/>
                <w:color w:val="FFFFFF"/>
                <w:sz w:val="14"/>
                <w:szCs w:val="14"/>
              </w:rPr>
            </w:pPr>
          </w:p>
          <w:p w:rsidR="006E5AE0" w:rsidRPr="006E5AE0" w:rsidRDefault="006E5AE0">
            <w:pPr>
              <w:jc w:val="center"/>
              <w:rPr>
                <w:b/>
                <w:bCs/>
                <w:color w:val="FFFFFF"/>
                <w:sz w:val="18"/>
                <w:szCs w:val="18"/>
              </w:rPr>
            </w:pPr>
            <w:r w:rsidRPr="006E5AE0">
              <w:rPr>
                <w:b/>
                <w:bCs/>
                <w:color w:val="FFFFFF"/>
                <w:sz w:val="18"/>
                <w:szCs w:val="18"/>
              </w:rPr>
              <w:t>БАН</w:t>
            </w:r>
          </w:p>
        </w:tc>
        <w:tc>
          <w:tcPr>
            <w:tcW w:w="900" w:type="dxa"/>
            <w:tcBorders>
              <w:top w:val="double" w:sz="2" w:space="0" w:color="800000"/>
              <w:left w:val="double" w:sz="2" w:space="0" w:color="800000"/>
              <w:bottom w:val="double" w:sz="2" w:space="0" w:color="800000"/>
              <w:right w:val="double" w:sz="2"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Общини</w:t>
            </w:r>
          </w:p>
        </w:tc>
        <w:tc>
          <w:tcPr>
            <w:tcW w:w="843" w:type="dxa"/>
            <w:tcBorders>
              <w:top w:val="double" w:sz="2" w:space="0" w:color="800000"/>
              <w:left w:val="double" w:sz="2" w:space="0" w:color="800000"/>
              <w:bottom w:val="double" w:sz="2" w:space="0" w:color="800000"/>
              <w:right w:val="double" w:sz="2" w:space="0" w:color="800000"/>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ДМП</w:t>
            </w:r>
          </w:p>
        </w:tc>
        <w:tc>
          <w:tcPr>
            <w:tcW w:w="982" w:type="dxa"/>
            <w:tcBorders>
              <w:top w:val="double" w:sz="2" w:space="0" w:color="800000"/>
              <w:left w:val="double" w:sz="2" w:space="0" w:color="800000"/>
              <w:bottom w:val="double" w:sz="2" w:space="0" w:color="800000"/>
              <w:right w:val="double" w:sz="2" w:space="0" w:color="800000"/>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Евр. ср-ва</w:t>
            </w:r>
          </w:p>
        </w:tc>
      </w:tr>
      <w:tr w:rsidR="00056C85" w:rsidTr="00637144">
        <w:trPr>
          <w:trHeight w:val="319"/>
        </w:trPr>
        <w:tc>
          <w:tcPr>
            <w:tcW w:w="2537" w:type="dxa"/>
            <w:tcBorders>
              <w:top w:val="double" w:sz="2" w:space="0" w:color="800000"/>
              <w:left w:val="double" w:sz="6" w:space="0" w:color="800000"/>
              <w:bottom w:val="nil"/>
              <w:right w:val="single" w:sz="4" w:space="0" w:color="800000"/>
            </w:tcBorders>
            <w:shd w:val="clear" w:color="auto" w:fill="FFFFCC"/>
            <w:noWrap/>
            <w:vAlign w:val="bottom"/>
          </w:tcPr>
          <w:p w:rsidR="00056C85" w:rsidRDefault="00056C85">
            <w:pPr>
              <w:rPr>
                <w:b/>
                <w:bCs/>
                <w:sz w:val="4"/>
                <w:szCs w:val="4"/>
              </w:rPr>
            </w:pPr>
          </w:p>
          <w:p w:rsidR="00056C85" w:rsidRDefault="00056C85">
            <w:pPr>
              <w:rPr>
                <w:b/>
                <w:bCs/>
                <w:sz w:val="16"/>
                <w:szCs w:val="16"/>
              </w:rPr>
            </w:pPr>
            <w:r>
              <w:rPr>
                <w:b/>
                <w:bCs/>
                <w:sz w:val="16"/>
                <w:szCs w:val="16"/>
              </w:rPr>
              <w:t>V. СОЦИАЛНО ОСИГУРЯВАНЕ, ПОДПОМАГАНЕ И ГРИЖИ</w:t>
            </w:r>
          </w:p>
        </w:tc>
        <w:tc>
          <w:tcPr>
            <w:tcW w:w="843" w:type="dxa"/>
            <w:tcBorders>
              <w:top w:val="double" w:sz="2" w:space="0" w:color="800000"/>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11 654,3</w:t>
            </w:r>
          </w:p>
        </w:tc>
        <w:tc>
          <w:tcPr>
            <w:tcW w:w="701" w:type="dxa"/>
            <w:tcBorders>
              <w:top w:val="double" w:sz="2" w:space="0" w:color="800000"/>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1 105,3</w:t>
            </w:r>
          </w:p>
        </w:tc>
        <w:tc>
          <w:tcPr>
            <w:tcW w:w="1123" w:type="dxa"/>
            <w:tcBorders>
              <w:top w:val="double" w:sz="2" w:space="0" w:color="800000"/>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9 810,4</w:t>
            </w:r>
          </w:p>
        </w:tc>
        <w:tc>
          <w:tcPr>
            <w:tcW w:w="620" w:type="dxa"/>
            <w:tcBorders>
              <w:top w:val="double" w:sz="2" w:space="0" w:color="800000"/>
              <w:left w:val="single" w:sz="4" w:space="0" w:color="800000"/>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0,3</w:t>
            </w:r>
          </w:p>
        </w:tc>
        <w:tc>
          <w:tcPr>
            <w:tcW w:w="643" w:type="dxa"/>
            <w:tcBorders>
              <w:top w:val="double" w:sz="2" w:space="0" w:color="800000"/>
              <w:left w:val="single" w:sz="4" w:space="0" w:color="800000"/>
              <w:bottom w:val="nil"/>
              <w:right w:val="single" w:sz="4" w:space="0" w:color="800000"/>
            </w:tcBorders>
            <w:shd w:val="clear" w:color="auto" w:fill="FFFFCC"/>
            <w:vAlign w:val="bottom"/>
            <w:hideMark/>
          </w:tcPr>
          <w:p w:rsidR="00056C85" w:rsidRDefault="00056C85">
            <w:pPr>
              <w:jc w:val="right"/>
              <w:rPr>
                <w:b/>
                <w:bCs/>
                <w:color w:val="000000"/>
                <w:sz w:val="18"/>
                <w:szCs w:val="18"/>
              </w:rPr>
            </w:pPr>
            <w:r>
              <w:rPr>
                <w:b/>
                <w:bCs/>
                <w:color w:val="000000"/>
                <w:sz w:val="18"/>
                <w:szCs w:val="18"/>
              </w:rPr>
              <w:t>0,0</w:t>
            </w:r>
          </w:p>
        </w:tc>
        <w:tc>
          <w:tcPr>
            <w:tcW w:w="900" w:type="dxa"/>
            <w:tcBorders>
              <w:top w:val="double" w:sz="2" w:space="0" w:color="800000"/>
              <w:left w:val="single" w:sz="4" w:space="0" w:color="800000"/>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466,1</w:t>
            </w:r>
          </w:p>
        </w:tc>
        <w:tc>
          <w:tcPr>
            <w:tcW w:w="843" w:type="dxa"/>
            <w:tcBorders>
              <w:top w:val="double" w:sz="2" w:space="0" w:color="800000"/>
              <w:left w:val="nil"/>
              <w:bottom w:val="nil"/>
              <w:right w:val="single" w:sz="4" w:space="0" w:color="800000"/>
            </w:tcBorders>
            <w:shd w:val="clear" w:color="auto" w:fill="FFFFCC"/>
            <w:vAlign w:val="bottom"/>
            <w:hideMark/>
          </w:tcPr>
          <w:p w:rsidR="00056C85" w:rsidRDefault="00056C85">
            <w:pPr>
              <w:jc w:val="right"/>
              <w:rPr>
                <w:b/>
                <w:bCs/>
                <w:color w:val="000000"/>
                <w:sz w:val="18"/>
                <w:szCs w:val="18"/>
              </w:rPr>
            </w:pPr>
            <w:r>
              <w:rPr>
                <w:b/>
                <w:bCs/>
                <w:color w:val="000000"/>
                <w:sz w:val="18"/>
                <w:szCs w:val="18"/>
              </w:rPr>
              <w:t>0,3</w:t>
            </w:r>
          </w:p>
        </w:tc>
        <w:tc>
          <w:tcPr>
            <w:tcW w:w="982" w:type="dxa"/>
            <w:tcBorders>
              <w:top w:val="double" w:sz="2" w:space="0" w:color="800000"/>
              <w:left w:val="nil"/>
              <w:bottom w:val="nil"/>
              <w:right w:val="double" w:sz="6"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271,9</w:t>
            </w:r>
          </w:p>
        </w:tc>
      </w:tr>
      <w:tr w:rsidR="00056C85" w:rsidTr="00637144">
        <w:trPr>
          <w:trHeight w:val="302"/>
        </w:trPr>
        <w:tc>
          <w:tcPr>
            <w:tcW w:w="2537" w:type="dxa"/>
            <w:tcBorders>
              <w:top w:val="nil"/>
              <w:left w:val="double" w:sz="6" w:space="0" w:color="800000"/>
              <w:bottom w:val="nil"/>
              <w:right w:val="single" w:sz="4" w:space="0" w:color="800000"/>
            </w:tcBorders>
            <w:shd w:val="clear" w:color="auto" w:fill="FFFFCC"/>
            <w:noWrap/>
            <w:vAlign w:val="bottom"/>
            <w:hideMark/>
          </w:tcPr>
          <w:p w:rsidR="00056C85" w:rsidRDefault="00056C85">
            <w:pPr>
              <w:rPr>
                <w:b/>
                <w:bCs/>
                <w:sz w:val="16"/>
                <w:szCs w:val="16"/>
              </w:rPr>
            </w:pPr>
            <w:r>
              <w:rPr>
                <w:b/>
                <w:bCs/>
                <w:sz w:val="16"/>
                <w:szCs w:val="16"/>
              </w:rPr>
              <w:t>А. ПЕНСИИ</w:t>
            </w:r>
          </w:p>
        </w:tc>
        <w:tc>
          <w:tcPr>
            <w:tcW w:w="843" w:type="dxa"/>
            <w:tcBorders>
              <w:top w:val="nil"/>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8 468,7</w:t>
            </w:r>
          </w:p>
        </w:tc>
        <w:tc>
          <w:tcPr>
            <w:tcW w:w="701" w:type="dxa"/>
            <w:tcBorders>
              <w:top w:val="nil"/>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 </w:t>
            </w:r>
          </w:p>
        </w:tc>
        <w:tc>
          <w:tcPr>
            <w:tcW w:w="1123" w:type="dxa"/>
            <w:tcBorders>
              <w:top w:val="nil"/>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8 468,7</w:t>
            </w:r>
          </w:p>
        </w:tc>
        <w:tc>
          <w:tcPr>
            <w:tcW w:w="62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 </w:t>
            </w:r>
          </w:p>
        </w:tc>
        <w:tc>
          <w:tcPr>
            <w:tcW w:w="643" w:type="dxa"/>
            <w:tcBorders>
              <w:top w:val="nil"/>
              <w:left w:val="single" w:sz="4" w:space="0" w:color="800000"/>
              <w:bottom w:val="nil"/>
              <w:right w:val="single" w:sz="4" w:space="0" w:color="800000"/>
            </w:tcBorders>
            <w:shd w:val="clear" w:color="auto" w:fill="FFFFCC"/>
            <w:vAlign w:val="bottom"/>
            <w:hideMark/>
          </w:tcPr>
          <w:p w:rsidR="00056C85" w:rsidRDefault="00056C85">
            <w:pPr>
              <w:jc w:val="right"/>
              <w:rPr>
                <w:b/>
                <w:bCs/>
                <w:color w:val="000000"/>
                <w:sz w:val="18"/>
                <w:szCs w:val="18"/>
              </w:rPr>
            </w:pPr>
            <w:r>
              <w:rPr>
                <w:b/>
                <w:bCs/>
                <w:color w:val="000000"/>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 </w:t>
            </w:r>
          </w:p>
        </w:tc>
        <w:tc>
          <w:tcPr>
            <w:tcW w:w="843" w:type="dxa"/>
            <w:tcBorders>
              <w:top w:val="nil"/>
              <w:left w:val="nil"/>
              <w:bottom w:val="nil"/>
              <w:right w:val="single" w:sz="4" w:space="0" w:color="800000"/>
            </w:tcBorders>
            <w:shd w:val="clear" w:color="auto" w:fill="FFFFCC"/>
            <w:vAlign w:val="bottom"/>
            <w:hideMark/>
          </w:tcPr>
          <w:p w:rsidR="00056C85" w:rsidRDefault="00056C85">
            <w:pPr>
              <w:jc w:val="right"/>
              <w:rPr>
                <w:b/>
                <w:bCs/>
                <w:color w:val="000000"/>
                <w:sz w:val="18"/>
                <w:szCs w:val="18"/>
              </w:rPr>
            </w:pPr>
            <w:r>
              <w:rPr>
                <w:b/>
                <w:bCs/>
                <w:color w:val="000000"/>
                <w:sz w:val="18"/>
                <w:szCs w:val="18"/>
              </w:rPr>
              <w:t> </w:t>
            </w:r>
          </w:p>
        </w:tc>
        <w:tc>
          <w:tcPr>
            <w:tcW w:w="982" w:type="dxa"/>
            <w:tcBorders>
              <w:top w:val="nil"/>
              <w:left w:val="nil"/>
              <w:bottom w:val="nil"/>
              <w:right w:val="double" w:sz="6"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 </w:t>
            </w:r>
          </w:p>
        </w:tc>
      </w:tr>
      <w:tr w:rsidR="00056C85" w:rsidTr="00637144">
        <w:trPr>
          <w:trHeight w:val="302"/>
        </w:trPr>
        <w:tc>
          <w:tcPr>
            <w:tcW w:w="2537" w:type="dxa"/>
            <w:tcBorders>
              <w:top w:val="nil"/>
              <w:left w:val="double" w:sz="6" w:space="0" w:color="800000"/>
              <w:bottom w:val="nil"/>
              <w:right w:val="single" w:sz="4" w:space="0" w:color="800000"/>
            </w:tcBorders>
            <w:shd w:val="clear" w:color="auto" w:fill="FFFFCC"/>
            <w:noWrap/>
            <w:vAlign w:val="bottom"/>
            <w:hideMark/>
          </w:tcPr>
          <w:p w:rsidR="00056C85" w:rsidRDefault="00056C85">
            <w:pPr>
              <w:rPr>
                <w:sz w:val="18"/>
                <w:szCs w:val="18"/>
              </w:rPr>
            </w:pPr>
            <w:r>
              <w:rPr>
                <w:sz w:val="18"/>
                <w:szCs w:val="18"/>
              </w:rPr>
              <w:t xml:space="preserve">   Текущи нелихвени разходи</w:t>
            </w:r>
          </w:p>
        </w:tc>
        <w:tc>
          <w:tcPr>
            <w:tcW w:w="84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8 468,7</w:t>
            </w:r>
          </w:p>
        </w:tc>
        <w:tc>
          <w:tcPr>
            <w:tcW w:w="701"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112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8 468,7</w:t>
            </w:r>
          </w:p>
        </w:tc>
        <w:tc>
          <w:tcPr>
            <w:tcW w:w="62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643" w:type="dxa"/>
            <w:tcBorders>
              <w:top w:val="nil"/>
              <w:left w:val="single" w:sz="4" w:space="0" w:color="800000"/>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843" w:type="dxa"/>
            <w:tcBorders>
              <w:top w:val="nil"/>
              <w:left w:val="nil"/>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82" w:type="dxa"/>
            <w:tcBorders>
              <w:top w:val="nil"/>
              <w:left w:val="nil"/>
              <w:bottom w:val="nil"/>
              <w:right w:val="double" w:sz="6"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r>
      <w:tr w:rsidR="00056C85" w:rsidTr="00637144">
        <w:trPr>
          <w:trHeight w:val="123"/>
        </w:trPr>
        <w:tc>
          <w:tcPr>
            <w:tcW w:w="2537" w:type="dxa"/>
            <w:tcBorders>
              <w:top w:val="nil"/>
              <w:left w:val="double" w:sz="6" w:space="0" w:color="800000"/>
              <w:bottom w:val="nil"/>
              <w:right w:val="single" w:sz="4" w:space="0" w:color="800000"/>
            </w:tcBorders>
            <w:shd w:val="clear" w:color="auto" w:fill="FFFFCC"/>
            <w:noWrap/>
            <w:vAlign w:val="bottom"/>
          </w:tcPr>
          <w:p w:rsidR="00056C85" w:rsidRDefault="00056C85">
            <w:pPr>
              <w:rPr>
                <w:sz w:val="18"/>
                <w:szCs w:val="18"/>
              </w:rPr>
            </w:pPr>
            <w:r>
              <w:rPr>
                <w:sz w:val="18"/>
                <w:szCs w:val="18"/>
              </w:rPr>
              <w:t xml:space="preserve">    Капиталови разходи</w:t>
            </w:r>
          </w:p>
          <w:p w:rsidR="00056C85" w:rsidRDefault="00056C85">
            <w:pPr>
              <w:rPr>
                <w:sz w:val="18"/>
                <w:szCs w:val="18"/>
              </w:rPr>
            </w:pPr>
          </w:p>
        </w:tc>
        <w:tc>
          <w:tcPr>
            <w:tcW w:w="84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701"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112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62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643" w:type="dxa"/>
            <w:tcBorders>
              <w:top w:val="nil"/>
              <w:left w:val="single" w:sz="4" w:space="0" w:color="800000"/>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843" w:type="dxa"/>
            <w:tcBorders>
              <w:top w:val="nil"/>
              <w:left w:val="nil"/>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82" w:type="dxa"/>
            <w:tcBorders>
              <w:top w:val="nil"/>
              <w:left w:val="nil"/>
              <w:bottom w:val="nil"/>
              <w:right w:val="double" w:sz="6"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r>
      <w:tr w:rsidR="00056C85" w:rsidTr="00637144">
        <w:trPr>
          <w:trHeight w:val="302"/>
        </w:trPr>
        <w:tc>
          <w:tcPr>
            <w:tcW w:w="2537" w:type="dxa"/>
            <w:tcBorders>
              <w:top w:val="nil"/>
              <w:left w:val="double" w:sz="6" w:space="0" w:color="800000"/>
              <w:bottom w:val="nil"/>
              <w:right w:val="single" w:sz="4" w:space="0" w:color="800000"/>
            </w:tcBorders>
            <w:shd w:val="clear" w:color="auto" w:fill="FFFFCC"/>
            <w:noWrap/>
            <w:vAlign w:val="bottom"/>
            <w:hideMark/>
          </w:tcPr>
          <w:p w:rsidR="00056C85" w:rsidRDefault="00056C85">
            <w:pPr>
              <w:rPr>
                <w:b/>
                <w:bCs/>
                <w:sz w:val="16"/>
                <w:szCs w:val="16"/>
              </w:rPr>
            </w:pPr>
            <w:r>
              <w:rPr>
                <w:b/>
                <w:bCs/>
                <w:sz w:val="16"/>
                <w:szCs w:val="16"/>
              </w:rPr>
              <w:t>Б. СОЦИАЛНИ ПОМОЩИ И ОБЕЗЩЕТЕНИЯ</w:t>
            </w:r>
          </w:p>
        </w:tc>
        <w:tc>
          <w:tcPr>
            <w:tcW w:w="843" w:type="dxa"/>
            <w:tcBorders>
              <w:top w:val="nil"/>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2 208,7</w:t>
            </w:r>
          </w:p>
        </w:tc>
        <w:tc>
          <w:tcPr>
            <w:tcW w:w="701" w:type="dxa"/>
            <w:tcBorders>
              <w:top w:val="nil"/>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934,1</w:t>
            </w:r>
          </w:p>
        </w:tc>
        <w:tc>
          <w:tcPr>
            <w:tcW w:w="1123" w:type="dxa"/>
            <w:tcBorders>
              <w:top w:val="nil"/>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1 274,5</w:t>
            </w:r>
          </w:p>
        </w:tc>
        <w:tc>
          <w:tcPr>
            <w:tcW w:w="62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0,0</w:t>
            </w:r>
          </w:p>
        </w:tc>
        <w:tc>
          <w:tcPr>
            <w:tcW w:w="643" w:type="dxa"/>
            <w:tcBorders>
              <w:top w:val="nil"/>
              <w:left w:val="single" w:sz="4" w:space="0" w:color="800000"/>
              <w:bottom w:val="nil"/>
              <w:right w:val="single" w:sz="4" w:space="0" w:color="800000"/>
            </w:tcBorders>
            <w:shd w:val="clear" w:color="auto" w:fill="FFFFCC"/>
            <w:vAlign w:val="bottom"/>
            <w:hideMark/>
          </w:tcPr>
          <w:p w:rsidR="00056C85" w:rsidRDefault="00056C85">
            <w:pPr>
              <w:jc w:val="right"/>
              <w:rPr>
                <w:b/>
                <w:bCs/>
                <w:color w:val="000000"/>
                <w:sz w:val="18"/>
                <w:szCs w:val="18"/>
              </w:rPr>
            </w:pPr>
            <w:r>
              <w:rPr>
                <w:b/>
                <w:bCs/>
                <w:color w:val="000000"/>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 </w:t>
            </w:r>
          </w:p>
        </w:tc>
        <w:tc>
          <w:tcPr>
            <w:tcW w:w="843" w:type="dxa"/>
            <w:tcBorders>
              <w:top w:val="nil"/>
              <w:left w:val="nil"/>
              <w:bottom w:val="nil"/>
              <w:right w:val="single" w:sz="4" w:space="0" w:color="800000"/>
            </w:tcBorders>
            <w:shd w:val="clear" w:color="auto" w:fill="FFFFCC"/>
            <w:vAlign w:val="bottom"/>
            <w:hideMark/>
          </w:tcPr>
          <w:p w:rsidR="00056C85" w:rsidRDefault="00056C85">
            <w:pPr>
              <w:jc w:val="right"/>
              <w:rPr>
                <w:b/>
                <w:bCs/>
                <w:color w:val="000000"/>
                <w:sz w:val="18"/>
                <w:szCs w:val="18"/>
              </w:rPr>
            </w:pPr>
            <w:r>
              <w:rPr>
                <w:b/>
                <w:bCs/>
                <w:color w:val="000000"/>
                <w:sz w:val="18"/>
                <w:szCs w:val="18"/>
              </w:rPr>
              <w:t> </w:t>
            </w:r>
          </w:p>
        </w:tc>
        <w:tc>
          <w:tcPr>
            <w:tcW w:w="982" w:type="dxa"/>
            <w:tcBorders>
              <w:top w:val="nil"/>
              <w:left w:val="nil"/>
              <w:bottom w:val="nil"/>
              <w:right w:val="double" w:sz="6"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0,1</w:t>
            </w:r>
          </w:p>
        </w:tc>
      </w:tr>
      <w:tr w:rsidR="00056C85" w:rsidTr="00637144">
        <w:trPr>
          <w:trHeight w:val="95"/>
        </w:trPr>
        <w:tc>
          <w:tcPr>
            <w:tcW w:w="2537" w:type="dxa"/>
            <w:tcBorders>
              <w:top w:val="nil"/>
              <w:left w:val="double" w:sz="6" w:space="0" w:color="800000"/>
              <w:bottom w:val="nil"/>
              <w:right w:val="single" w:sz="4" w:space="0" w:color="800000"/>
            </w:tcBorders>
            <w:shd w:val="clear" w:color="auto" w:fill="FFFFCC"/>
            <w:noWrap/>
            <w:vAlign w:val="bottom"/>
            <w:hideMark/>
          </w:tcPr>
          <w:p w:rsidR="00056C85" w:rsidRDefault="00056C85">
            <w:pPr>
              <w:rPr>
                <w:sz w:val="18"/>
                <w:szCs w:val="18"/>
              </w:rPr>
            </w:pPr>
            <w:r>
              <w:rPr>
                <w:sz w:val="18"/>
                <w:szCs w:val="18"/>
              </w:rPr>
              <w:t xml:space="preserve">    Текущи нелихвени разходи</w:t>
            </w:r>
          </w:p>
        </w:tc>
        <w:tc>
          <w:tcPr>
            <w:tcW w:w="84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2 208,7</w:t>
            </w:r>
          </w:p>
        </w:tc>
        <w:tc>
          <w:tcPr>
            <w:tcW w:w="701"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934,1</w:t>
            </w:r>
          </w:p>
        </w:tc>
        <w:tc>
          <w:tcPr>
            <w:tcW w:w="112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1 274,5</w:t>
            </w:r>
          </w:p>
        </w:tc>
        <w:tc>
          <w:tcPr>
            <w:tcW w:w="62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0,0</w:t>
            </w:r>
          </w:p>
        </w:tc>
        <w:tc>
          <w:tcPr>
            <w:tcW w:w="643" w:type="dxa"/>
            <w:tcBorders>
              <w:top w:val="nil"/>
              <w:left w:val="single" w:sz="4" w:space="0" w:color="800000"/>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843" w:type="dxa"/>
            <w:tcBorders>
              <w:top w:val="nil"/>
              <w:left w:val="nil"/>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82" w:type="dxa"/>
            <w:tcBorders>
              <w:top w:val="nil"/>
              <w:left w:val="nil"/>
              <w:bottom w:val="nil"/>
              <w:right w:val="double" w:sz="6"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0,1</w:t>
            </w:r>
          </w:p>
        </w:tc>
      </w:tr>
      <w:tr w:rsidR="00056C85" w:rsidTr="00637144">
        <w:trPr>
          <w:trHeight w:val="192"/>
        </w:trPr>
        <w:tc>
          <w:tcPr>
            <w:tcW w:w="2537" w:type="dxa"/>
            <w:tcBorders>
              <w:top w:val="nil"/>
              <w:left w:val="double" w:sz="6" w:space="0" w:color="800000"/>
              <w:bottom w:val="nil"/>
              <w:right w:val="single" w:sz="4" w:space="0" w:color="800000"/>
            </w:tcBorders>
            <w:shd w:val="clear" w:color="auto" w:fill="FFFFCC"/>
            <w:noWrap/>
            <w:vAlign w:val="bottom"/>
          </w:tcPr>
          <w:p w:rsidR="00056C85" w:rsidRDefault="00056C85">
            <w:pPr>
              <w:rPr>
                <w:sz w:val="18"/>
                <w:szCs w:val="18"/>
              </w:rPr>
            </w:pPr>
            <w:r>
              <w:rPr>
                <w:sz w:val="18"/>
                <w:szCs w:val="18"/>
              </w:rPr>
              <w:t xml:space="preserve">    Капиталови разходи</w:t>
            </w:r>
          </w:p>
          <w:p w:rsidR="00056C85" w:rsidRDefault="00056C85">
            <w:pPr>
              <w:rPr>
                <w:sz w:val="18"/>
                <w:szCs w:val="18"/>
              </w:rPr>
            </w:pPr>
          </w:p>
        </w:tc>
        <w:tc>
          <w:tcPr>
            <w:tcW w:w="84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701"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112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62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643" w:type="dxa"/>
            <w:tcBorders>
              <w:top w:val="nil"/>
              <w:left w:val="single" w:sz="4" w:space="0" w:color="800000"/>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0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843" w:type="dxa"/>
            <w:tcBorders>
              <w:top w:val="nil"/>
              <w:left w:val="nil"/>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82" w:type="dxa"/>
            <w:tcBorders>
              <w:top w:val="nil"/>
              <w:left w:val="nil"/>
              <w:bottom w:val="nil"/>
              <w:right w:val="double" w:sz="6"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r>
      <w:tr w:rsidR="00056C85" w:rsidTr="00637144">
        <w:trPr>
          <w:trHeight w:val="302"/>
        </w:trPr>
        <w:tc>
          <w:tcPr>
            <w:tcW w:w="2537" w:type="dxa"/>
            <w:tcBorders>
              <w:top w:val="nil"/>
              <w:left w:val="double" w:sz="6" w:space="0" w:color="800000"/>
              <w:bottom w:val="nil"/>
              <w:right w:val="single" w:sz="4" w:space="0" w:color="800000"/>
            </w:tcBorders>
            <w:shd w:val="clear" w:color="auto" w:fill="FFFFCC"/>
            <w:noWrap/>
            <w:vAlign w:val="bottom"/>
            <w:hideMark/>
          </w:tcPr>
          <w:p w:rsidR="00056C85" w:rsidRDefault="00056C85">
            <w:pPr>
              <w:rPr>
                <w:b/>
                <w:bCs/>
                <w:sz w:val="16"/>
                <w:szCs w:val="16"/>
              </w:rPr>
            </w:pPr>
            <w:r>
              <w:rPr>
                <w:b/>
                <w:bCs/>
                <w:sz w:val="16"/>
                <w:szCs w:val="16"/>
              </w:rPr>
              <w:t>В. ПРОГРАМИ, ДЕЙНОСТИ И СЛУЖБИ ПО СОЦИАЛНОТО ОСИГУРЯВАНЕ, ПОДПОМАГАНЕ И ЗАЕТОСТТА</w:t>
            </w:r>
          </w:p>
        </w:tc>
        <w:tc>
          <w:tcPr>
            <w:tcW w:w="843" w:type="dxa"/>
            <w:tcBorders>
              <w:top w:val="nil"/>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976,8</w:t>
            </w:r>
          </w:p>
        </w:tc>
        <w:tc>
          <w:tcPr>
            <w:tcW w:w="701" w:type="dxa"/>
            <w:tcBorders>
              <w:top w:val="nil"/>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171,2</w:t>
            </w:r>
          </w:p>
        </w:tc>
        <w:tc>
          <w:tcPr>
            <w:tcW w:w="1123" w:type="dxa"/>
            <w:tcBorders>
              <w:top w:val="nil"/>
              <w:left w:val="nil"/>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67,2</w:t>
            </w:r>
          </w:p>
        </w:tc>
        <w:tc>
          <w:tcPr>
            <w:tcW w:w="62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0,3</w:t>
            </w:r>
          </w:p>
        </w:tc>
        <w:tc>
          <w:tcPr>
            <w:tcW w:w="643" w:type="dxa"/>
            <w:tcBorders>
              <w:top w:val="nil"/>
              <w:left w:val="single" w:sz="4" w:space="0" w:color="800000"/>
              <w:bottom w:val="nil"/>
              <w:right w:val="single" w:sz="4" w:space="0" w:color="800000"/>
            </w:tcBorders>
            <w:shd w:val="clear" w:color="auto" w:fill="FFFFCC"/>
            <w:vAlign w:val="bottom"/>
            <w:hideMark/>
          </w:tcPr>
          <w:p w:rsidR="00056C85" w:rsidRDefault="00056C85">
            <w:pPr>
              <w:jc w:val="right"/>
              <w:rPr>
                <w:b/>
                <w:bCs/>
                <w:color w:val="000000"/>
                <w:sz w:val="18"/>
                <w:szCs w:val="18"/>
              </w:rPr>
            </w:pPr>
            <w:r>
              <w:rPr>
                <w:b/>
                <w:bCs/>
                <w:color w:val="000000"/>
                <w:sz w:val="18"/>
                <w:szCs w:val="18"/>
              </w:rPr>
              <w:t>0,0</w:t>
            </w:r>
          </w:p>
        </w:tc>
        <w:tc>
          <w:tcPr>
            <w:tcW w:w="90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466,1</w:t>
            </w:r>
          </w:p>
        </w:tc>
        <w:tc>
          <w:tcPr>
            <w:tcW w:w="843" w:type="dxa"/>
            <w:tcBorders>
              <w:top w:val="nil"/>
              <w:left w:val="nil"/>
              <w:bottom w:val="nil"/>
              <w:right w:val="single" w:sz="4" w:space="0" w:color="800000"/>
            </w:tcBorders>
            <w:shd w:val="clear" w:color="auto" w:fill="FFFFCC"/>
            <w:vAlign w:val="bottom"/>
            <w:hideMark/>
          </w:tcPr>
          <w:p w:rsidR="00056C85" w:rsidRDefault="00056C85">
            <w:pPr>
              <w:jc w:val="right"/>
              <w:rPr>
                <w:b/>
                <w:bCs/>
                <w:color w:val="000000"/>
                <w:sz w:val="18"/>
                <w:szCs w:val="18"/>
              </w:rPr>
            </w:pPr>
            <w:r>
              <w:rPr>
                <w:b/>
                <w:bCs/>
                <w:color w:val="000000"/>
                <w:sz w:val="18"/>
                <w:szCs w:val="18"/>
              </w:rPr>
              <w:t>0,3</w:t>
            </w:r>
          </w:p>
        </w:tc>
        <w:tc>
          <w:tcPr>
            <w:tcW w:w="982" w:type="dxa"/>
            <w:tcBorders>
              <w:top w:val="nil"/>
              <w:left w:val="nil"/>
              <w:bottom w:val="nil"/>
              <w:right w:val="double" w:sz="6" w:space="0" w:color="800000"/>
            </w:tcBorders>
            <w:shd w:val="clear" w:color="auto" w:fill="FFFFCC"/>
            <w:noWrap/>
            <w:vAlign w:val="bottom"/>
            <w:hideMark/>
          </w:tcPr>
          <w:p w:rsidR="00056C85" w:rsidRDefault="00056C85">
            <w:pPr>
              <w:jc w:val="right"/>
              <w:rPr>
                <w:b/>
                <w:bCs/>
                <w:color w:val="000000"/>
                <w:sz w:val="18"/>
                <w:szCs w:val="18"/>
              </w:rPr>
            </w:pPr>
            <w:r>
              <w:rPr>
                <w:b/>
                <w:bCs/>
                <w:color w:val="000000"/>
                <w:sz w:val="18"/>
                <w:szCs w:val="18"/>
              </w:rPr>
              <w:t>271,8</w:t>
            </w:r>
          </w:p>
        </w:tc>
      </w:tr>
      <w:tr w:rsidR="00056C85" w:rsidTr="00637144">
        <w:trPr>
          <w:trHeight w:val="302"/>
        </w:trPr>
        <w:tc>
          <w:tcPr>
            <w:tcW w:w="2537" w:type="dxa"/>
            <w:tcBorders>
              <w:top w:val="nil"/>
              <w:left w:val="double" w:sz="6" w:space="0" w:color="800000"/>
              <w:bottom w:val="nil"/>
              <w:right w:val="single" w:sz="4" w:space="0" w:color="800000"/>
            </w:tcBorders>
            <w:shd w:val="clear" w:color="auto" w:fill="FFFFCC"/>
            <w:noWrap/>
            <w:vAlign w:val="bottom"/>
            <w:hideMark/>
          </w:tcPr>
          <w:p w:rsidR="00056C85" w:rsidRDefault="00056C85">
            <w:pPr>
              <w:rPr>
                <w:sz w:val="18"/>
                <w:szCs w:val="18"/>
              </w:rPr>
            </w:pPr>
            <w:r>
              <w:rPr>
                <w:sz w:val="18"/>
                <w:szCs w:val="18"/>
              </w:rPr>
              <w:t xml:space="preserve">    Текущи нелихвени разходи</w:t>
            </w:r>
          </w:p>
        </w:tc>
        <w:tc>
          <w:tcPr>
            <w:tcW w:w="84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927,8</w:t>
            </w:r>
          </w:p>
        </w:tc>
        <w:tc>
          <w:tcPr>
            <w:tcW w:w="701"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167,6</w:t>
            </w:r>
          </w:p>
        </w:tc>
        <w:tc>
          <w:tcPr>
            <w:tcW w:w="1123" w:type="dxa"/>
            <w:tcBorders>
              <w:top w:val="nil"/>
              <w:left w:val="nil"/>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61,6</w:t>
            </w:r>
          </w:p>
        </w:tc>
        <w:tc>
          <w:tcPr>
            <w:tcW w:w="62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0,3</w:t>
            </w:r>
          </w:p>
        </w:tc>
        <w:tc>
          <w:tcPr>
            <w:tcW w:w="643" w:type="dxa"/>
            <w:tcBorders>
              <w:top w:val="nil"/>
              <w:left w:val="single" w:sz="4" w:space="0" w:color="800000"/>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0,0</w:t>
            </w:r>
          </w:p>
        </w:tc>
        <w:tc>
          <w:tcPr>
            <w:tcW w:w="900" w:type="dxa"/>
            <w:tcBorders>
              <w:top w:val="nil"/>
              <w:left w:val="single" w:sz="4" w:space="0" w:color="800000"/>
              <w:bottom w:val="nil"/>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454,7</w:t>
            </w:r>
          </w:p>
        </w:tc>
        <w:tc>
          <w:tcPr>
            <w:tcW w:w="843" w:type="dxa"/>
            <w:tcBorders>
              <w:top w:val="nil"/>
              <w:left w:val="nil"/>
              <w:bottom w:val="nil"/>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0,3</w:t>
            </w:r>
          </w:p>
        </w:tc>
        <w:tc>
          <w:tcPr>
            <w:tcW w:w="982" w:type="dxa"/>
            <w:tcBorders>
              <w:top w:val="nil"/>
              <w:left w:val="nil"/>
              <w:bottom w:val="nil"/>
              <w:right w:val="double" w:sz="6"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243,4</w:t>
            </w:r>
          </w:p>
        </w:tc>
      </w:tr>
      <w:tr w:rsidR="00056C85" w:rsidTr="00637144">
        <w:trPr>
          <w:trHeight w:val="223"/>
        </w:trPr>
        <w:tc>
          <w:tcPr>
            <w:tcW w:w="2537" w:type="dxa"/>
            <w:tcBorders>
              <w:top w:val="nil"/>
              <w:left w:val="double" w:sz="6" w:space="0" w:color="800000"/>
              <w:bottom w:val="double" w:sz="6" w:space="0" w:color="800000"/>
              <w:right w:val="single" w:sz="4" w:space="0" w:color="800000"/>
            </w:tcBorders>
            <w:shd w:val="clear" w:color="auto" w:fill="FFFFCC"/>
            <w:noWrap/>
            <w:vAlign w:val="bottom"/>
            <w:hideMark/>
          </w:tcPr>
          <w:p w:rsidR="00056C85" w:rsidRDefault="00056C85">
            <w:pPr>
              <w:rPr>
                <w:sz w:val="18"/>
                <w:szCs w:val="18"/>
              </w:rPr>
            </w:pPr>
            <w:r>
              <w:rPr>
                <w:sz w:val="18"/>
                <w:szCs w:val="18"/>
              </w:rPr>
              <w:t xml:space="preserve">    Капиталови разходи</w:t>
            </w:r>
          </w:p>
        </w:tc>
        <w:tc>
          <w:tcPr>
            <w:tcW w:w="843" w:type="dxa"/>
            <w:tcBorders>
              <w:top w:val="nil"/>
              <w:left w:val="nil"/>
              <w:bottom w:val="double" w:sz="6" w:space="0" w:color="800000"/>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49,0</w:t>
            </w:r>
          </w:p>
        </w:tc>
        <w:tc>
          <w:tcPr>
            <w:tcW w:w="701" w:type="dxa"/>
            <w:tcBorders>
              <w:top w:val="nil"/>
              <w:left w:val="nil"/>
              <w:bottom w:val="double" w:sz="6" w:space="0" w:color="800000"/>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3,5</w:t>
            </w:r>
          </w:p>
        </w:tc>
        <w:tc>
          <w:tcPr>
            <w:tcW w:w="1123" w:type="dxa"/>
            <w:tcBorders>
              <w:top w:val="nil"/>
              <w:left w:val="nil"/>
              <w:bottom w:val="double" w:sz="6" w:space="0" w:color="800000"/>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5,5</w:t>
            </w:r>
          </w:p>
        </w:tc>
        <w:tc>
          <w:tcPr>
            <w:tcW w:w="620" w:type="dxa"/>
            <w:tcBorders>
              <w:top w:val="nil"/>
              <w:left w:val="single" w:sz="4" w:space="0" w:color="800000"/>
              <w:bottom w:val="double" w:sz="6" w:space="0" w:color="800000"/>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 </w:t>
            </w:r>
          </w:p>
        </w:tc>
        <w:tc>
          <w:tcPr>
            <w:tcW w:w="643" w:type="dxa"/>
            <w:tcBorders>
              <w:top w:val="nil"/>
              <w:left w:val="single" w:sz="4" w:space="0" w:color="800000"/>
              <w:bottom w:val="double" w:sz="6" w:space="0" w:color="800000"/>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00" w:type="dxa"/>
            <w:tcBorders>
              <w:top w:val="nil"/>
              <w:left w:val="single" w:sz="4" w:space="0" w:color="800000"/>
              <w:bottom w:val="double" w:sz="6" w:space="0" w:color="800000"/>
              <w:right w:val="single" w:sz="4"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11,4</w:t>
            </w:r>
          </w:p>
        </w:tc>
        <w:tc>
          <w:tcPr>
            <w:tcW w:w="843" w:type="dxa"/>
            <w:tcBorders>
              <w:top w:val="nil"/>
              <w:left w:val="nil"/>
              <w:bottom w:val="double" w:sz="6" w:space="0" w:color="800000"/>
              <w:right w:val="single" w:sz="4" w:space="0" w:color="800000"/>
            </w:tcBorders>
            <w:shd w:val="clear" w:color="auto" w:fill="FFFFCC"/>
            <w:vAlign w:val="bottom"/>
            <w:hideMark/>
          </w:tcPr>
          <w:p w:rsidR="00056C85" w:rsidRDefault="00056C85">
            <w:pPr>
              <w:jc w:val="right"/>
              <w:rPr>
                <w:color w:val="000000"/>
                <w:sz w:val="18"/>
                <w:szCs w:val="18"/>
              </w:rPr>
            </w:pPr>
            <w:r>
              <w:rPr>
                <w:color w:val="000000"/>
                <w:sz w:val="18"/>
                <w:szCs w:val="18"/>
              </w:rPr>
              <w:t> </w:t>
            </w:r>
          </w:p>
        </w:tc>
        <w:tc>
          <w:tcPr>
            <w:tcW w:w="982" w:type="dxa"/>
            <w:tcBorders>
              <w:top w:val="nil"/>
              <w:left w:val="nil"/>
              <w:bottom w:val="double" w:sz="6" w:space="0" w:color="800000"/>
              <w:right w:val="double" w:sz="6" w:space="0" w:color="800000"/>
            </w:tcBorders>
            <w:shd w:val="clear" w:color="auto" w:fill="FFFFCC"/>
            <w:noWrap/>
            <w:vAlign w:val="bottom"/>
            <w:hideMark/>
          </w:tcPr>
          <w:p w:rsidR="00056C85" w:rsidRDefault="00056C85">
            <w:pPr>
              <w:jc w:val="right"/>
              <w:rPr>
                <w:color w:val="000000"/>
                <w:sz w:val="18"/>
                <w:szCs w:val="18"/>
              </w:rPr>
            </w:pPr>
            <w:r>
              <w:rPr>
                <w:color w:val="000000"/>
                <w:sz w:val="18"/>
                <w:szCs w:val="18"/>
              </w:rPr>
              <w:t>28,5</w:t>
            </w:r>
          </w:p>
        </w:tc>
      </w:tr>
    </w:tbl>
    <w:p w:rsidR="006E5AE0" w:rsidRDefault="006E5AE0" w:rsidP="006E5AE0">
      <w:pPr>
        <w:rPr>
          <w:color w:val="0070C0"/>
          <w:sz w:val="12"/>
          <w:szCs w:val="12"/>
        </w:rPr>
      </w:pPr>
    </w:p>
    <w:p w:rsidR="006E5AE0" w:rsidRDefault="006E5AE0" w:rsidP="006E5AE0">
      <w:pPr>
        <w:ind w:firstLine="540"/>
        <w:rPr>
          <w:b/>
          <w:color w:val="0070C0"/>
          <w:sz w:val="8"/>
          <w:szCs w:val="8"/>
        </w:rPr>
      </w:pPr>
    </w:p>
    <w:p w:rsidR="006E5AE0" w:rsidRDefault="006E5AE0" w:rsidP="006E5AE0">
      <w:pPr>
        <w:ind w:firstLine="540"/>
        <w:rPr>
          <w:b/>
          <w:i/>
        </w:rPr>
      </w:pPr>
      <w:r>
        <w:rPr>
          <w:b/>
        </w:rPr>
        <w:t xml:space="preserve">Група А: </w:t>
      </w:r>
      <w:r>
        <w:rPr>
          <w:b/>
          <w:i/>
        </w:rPr>
        <w:t>„Пенсии”</w:t>
      </w:r>
    </w:p>
    <w:p w:rsidR="006E5AE0" w:rsidRDefault="006E5AE0" w:rsidP="006E5AE0">
      <w:pPr>
        <w:ind w:firstLine="540"/>
        <w:rPr>
          <w:b/>
          <w:color w:val="0070C0"/>
          <w:sz w:val="12"/>
          <w:szCs w:val="12"/>
        </w:rPr>
      </w:pPr>
    </w:p>
    <w:p w:rsidR="006E5AE0" w:rsidRDefault="006E5AE0" w:rsidP="006E5AE0">
      <w:pPr>
        <w:ind w:firstLine="540"/>
        <w:jc w:val="both"/>
      </w:pPr>
      <w:r>
        <w:t>В тази група се включват пенсиите, изплащани от бюджета на ДОО и пенсиите, изплащани от УПФ, както и дължимите за изплащането на пенсиите пощенски такси и ДДС. Изпълнението на разходите в групата е 100,</w:t>
      </w:r>
      <w:r w:rsidR="00C3528B">
        <w:t>6</w:t>
      </w:r>
      <w:r>
        <w:t xml:space="preserve"> % от годишните разчети за 2015 г.</w:t>
      </w:r>
    </w:p>
    <w:p w:rsidR="006E5AE0" w:rsidRDefault="006E5AE0" w:rsidP="006E5AE0">
      <w:pPr>
        <w:ind w:firstLine="540"/>
        <w:jc w:val="both"/>
        <w:rPr>
          <w:color w:val="0070C0"/>
          <w:sz w:val="8"/>
          <w:szCs w:val="8"/>
        </w:rPr>
      </w:pPr>
    </w:p>
    <w:p w:rsidR="006E5AE0" w:rsidRDefault="006E5AE0" w:rsidP="00781B85">
      <w:pPr>
        <w:numPr>
          <w:ilvl w:val="0"/>
          <w:numId w:val="34"/>
        </w:numPr>
        <w:tabs>
          <w:tab w:val="clear" w:pos="720"/>
          <w:tab w:val="num" w:pos="360"/>
          <w:tab w:val="left" w:pos="900"/>
        </w:tabs>
        <w:ind w:left="540" w:hanging="540"/>
        <w:rPr>
          <w:b/>
          <w:i/>
        </w:rPr>
      </w:pPr>
      <w:r>
        <w:rPr>
          <w:b/>
          <w:i/>
        </w:rPr>
        <w:t>Пенсии по бюджета на държавното обществено осигуряване</w:t>
      </w:r>
    </w:p>
    <w:p w:rsidR="006E5AE0" w:rsidRDefault="006E5AE0" w:rsidP="006E5AE0">
      <w:pPr>
        <w:spacing w:line="276" w:lineRule="auto"/>
        <w:ind w:firstLine="540"/>
        <w:jc w:val="both"/>
        <w:rPr>
          <w:iCs/>
        </w:rPr>
      </w:pPr>
      <w:r w:rsidRPr="00AE4015">
        <w:rPr>
          <w:iCs/>
        </w:rPr>
        <w:t xml:space="preserve">За изплащане на пенсиите по бюджета на ДОО през 2015 г. са разходвани </w:t>
      </w:r>
      <w:r w:rsidRPr="00131995">
        <w:rPr>
          <w:iCs/>
        </w:rPr>
        <w:t>8 445,0</w:t>
      </w:r>
      <w:r>
        <w:rPr>
          <w:iCs/>
        </w:rPr>
        <w:t xml:space="preserve"> млн. лв., в т.ч. 36,1 млн. лв. за пощенска такса и ДДС за изплащането на пенсиите, което е с 291,0 млн. лв. повече от предходната година. Увеличението на разходите се дължи на целогодишното отражение върху разходите на осъвременяването през 2014 г., на осъвременяването през 2015 г., на увеличението в резултат на по-високите размери на новоотпуснатите спрямо прекратените пенсии, както и на изплатените през м. април и м. </w:t>
      </w:r>
      <w:r w:rsidRPr="0017350C">
        <w:rPr>
          <w:iCs/>
        </w:rPr>
        <w:t>декември еднократни добавки към пенсиите в общ размер на 99,8 млн. лв.</w:t>
      </w:r>
      <w:r w:rsidR="00F54C47" w:rsidRPr="0017350C">
        <w:rPr>
          <w:iCs/>
        </w:rPr>
        <w:t xml:space="preserve"> </w:t>
      </w:r>
      <w:r w:rsidR="00F54C47" w:rsidRPr="0017350C">
        <w:rPr>
          <w:iCs/>
          <w:lang w:val="en-US"/>
        </w:rPr>
        <w:t>(</w:t>
      </w:r>
      <w:r w:rsidR="00F54C47" w:rsidRPr="0017350C">
        <w:rPr>
          <w:iCs/>
        </w:rPr>
        <w:t>ПМС</w:t>
      </w:r>
      <w:r w:rsidR="004140D5" w:rsidRPr="0017350C">
        <w:rPr>
          <w:iCs/>
        </w:rPr>
        <w:t xml:space="preserve"> № 49 и ПМС № </w:t>
      </w:r>
      <w:r w:rsidR="0017350C" w:rsidRPr="0017350C">
        <w:rPr>
          <w:iCs/>
        </w:rPr>
        <w:t>310</w:t>
      </w:r>
      <w:r w:rsidR="004140D5" w:rsidRPr="0017350C">
        <w:rPr>
          <w:iCs/>
        </w:rPr>
        <w:t xml:space="preserve"> от 2015 г.</w:t>
      </w:r>
      <w:r w:rsidR="00F54C47" w:rsidRPr="0017350C">
        <w:rPr>
          <w:iCs/>
          <w:lang w:val="en-US"/>
        </w:rPr>
        <w:t>)</w:t>
      </w:r>
      <w:r w:rsidR="00F54C47" w:rsidRPr="0017350C">
        <w:rPr>
          <w:iCs/>
        </w:rPr>
        <w:t>.</w:t>
      </w:r>
    </w:p>
    <w:p w:rsidR="006E5AE0" w:rsidRDefault="006E5AE0" w:rsidP="006E5AE0">
      <w:pPr>
        <w:spacing w:line="276" w:lineRule="auto"/>
        <w:ind w:firstLine="540"/>
        <w:jc w:val="both"/>
        <w:rPr>
          <w:iCs/>
        </w:rPr>
      </w:pPr>
      <w:r>
        <w:rPr>
          <w:iCs/>
        </w:rPr>
        <w:t>•</w:t>
      </w:r>
      <w:r>
        <w:rPr>
          <w:iCs/>
        </w:rPr>
        <w:tab/>
        <w:t>Средномесечният брой на пенсионерите за 2015 г. е 2 177 716, с 4 180 пенсионери по-малко (0,2 %) в сравнение с 2014 г.</w:t>
      </w:r>
    </w:p>
    <w:p w:rsidR="006E5AE0" w:rsidRDefault="006E5AE0" w:rsidP="006E5AE0">
      <w:pPr>
        <w:spacing w:line="276" w:lineRule="auto"/>
        <w:ind w:firstLine="540"/>
        <w:jc w:val="both"/>
        <w:rPr>
          <w:iCs/>
        </w:rPr>
      </w:pPr>
      <w:r>
        <w:rPr>
          <w:iCs/>
        </w:rPr>
        <w:t>•</w:t>
      </w:r>
      <w:r>
        <w:rPr>
          <w:iCs/>
        </w:rPr>
        <w:tab/>
        <w:t xml:space="preserve">Средномесечният брой на пенсиите за 2015 г. е 2 658 </w:t>
      </w:r>
      <w:r w:rsidR="00FA53EB">
        <w:rPr>
          <w:iCs/>
        </w:rPr>
        <w:t>461</w:t>
      </w:r>
      <w:r>
        <w:rPr>
          <w:iCs/>
        </w:rPr>
        <w:t xml:space="preserve">, с 10 598 пенсии по-малко (0,4 %) спрямо 2014 г. </w:t>
      </w:r>
    </w:p>
    <w:p w:rsidR="006E5AE0" w:rsidRDefault="006E5AE0" w:rsidP="006E5AE0">
      <w:pPr>
        <w:spacing w:line="276" w:lineRule="auto"/>
        <w:ind w:firstLine="540"/>
        <w:jc w:val="both"/>
        <w:rPr>
          <w:iCs/>
        </w:rPr>
      </w:pPr>
      <w:r>
        <w:rPr>
          <w:iCs/>
        </w:rPr>
        <w:t>•</w:t>
      </w:r>
      <w:r>
        <w:rPr>
          <w:iCs/>
        </w:rPr>
        <w:tab/>
        <w:t xml:space="preserve">Средният месечен размер на пенсията на един пенсионер  за 2015 г. е 321,78 лв. (вкл. великденска и коледна добавка за 2015 г.), като реалното нарастване спрямо 2014 г. е 5 на сто, при средногодишна хармонизирана инфлация (-1,1) на сто за 2015 г. Средният месечен размер на пенсията на един пенсионер за 2015 г. без изплатените през годината великденска и коледна добавка е </w:t>
      </w:r>
      <w:r w:rsidR="00764588">
        <w:rPr>
          <w:iCs/>
        </w:rPr>
        <w:t>317,96</w:t>
      </w:r>
      <w:r>
        <w:rPr>
          <w:iCs/>
        </w:rPr>
        <w:t xml:space="preserve"> лева.</w:t>
      </w:r>
    </w:p>
    <w:p w:rsidR="006E5AE0" w:rsidRDefault="006E5AE0" w:rsidP="006E5AE0">
      <w:pPr>
        <w:ind w:firstLine="540"/>
        <w:jc w:val="both"/>
        <w:rPr>
          <w:iCs/>
          <w:color w:val="0070C0"/>
          <w:sz w:val="8"/>
          <w:szCs w:val="8"/>
        </w:rPr>
      </w:pPr>
    </w:p>
    <w:p w:rsidR="006E5AE0" w:rsidRDefault="006E5AE0" w:rsidP="00781B85">
      <w:pPr>
        <w:keepNext/>
        <w:numPr>
          <w:ilvl w:val="0"/>
          <w:numId w:val="35"/>
        </w:numPr>
        <w:tabs>
          <w:tab w:val="num" w:pos="0"/>
          <w:tab w:val="left" w:pos="540"/>
        </w:tabs>
        <w:ind w:left="360"/>
        <w:jc w:val="both"/>
        <w:rPr>
          <w:b/>
          <w:i/>
          <w:iCs/>
        </w:rPr>
      </w:pPr>
      <w:r>
        <w:rPr>
          <w:b/>
          <w:i/>
          <w:iCs/>
        </w:rPr>
        <w:lastRenderedPageBreak/>
        <w:t>Пенсии по бюджета на Учителския пенсионен фонд</w:t>
      </w:r>
    </w:p>
    <w:p w:rsidR="006E5AE0" w:rsidRDefault="006E5AE0" w:rsidP="006E5AE0">
      <w:pPr>
        <w:ind w:firstLine="540"/>
        <w:jc w:val="both"/>
      </w:pPr>
      <w:r>
        <w:t>Разходите за изплатени пенсии през 2015 г. от УПФ са в размер на 23,8 млн. лв., като от тях 0,054 млн. лв. са изразходвани за пощенски такси и ДДС за изплащане на пенсиите.</w:t>
      </w:r>
    </w:p>
    <w:p w:rsidR="006E5AE0" w:rsidRDefault="006E5AE0" w:rsidP="006E5AE0">
      <w:pPr>
        <w:ind w:firstLine="539"/>
        <w:jc w:val="both"/>
      </w:pPr>
      <w:r>
        <w:t>•</w:t>
      </w:r>
      <w:r>
        <w:tab/>
        <w:t>Броят на лицата, получаващи срочна пенсия в намален размер по § 5, ал. 2 от КСО от УПФ за м. декември е 1 692, с 246 пенсионери повече в сравнение със същия период на 2014 г. ( 17,0 % увеличение);</w:t>
      </w:r>
    </w:p>
    <w:p w:rsidR="006E5AE0" w:rsidRDefault="006E5AE0" w:rsidP="006E5AE0">
      <w:pPr>
        <w:ind w:firstLine="539"/>
        <w:jc w:val="both"/>
      </w:pPr>
      <w:r>
        <w:t>•</w:t>
      </w:r>
      <w:r>
        <w:tab/>
        <w:t>Средният размер на срочна пенсията в намален размер по § 5, ал. 2 от КСО, получавана от УПФ за м. декември е 323,07 лв., който е с 13,1 на сто по-висок от средния размер на срочната пенсия през м. декември 2014 г.;</w:t>
      </w:r>
    </w:p>
    <w:p w:rsidR="006E5AE0" w:rsidRDefault="006E5AE0" w:rsidP="006E5AE0">
      <w:pPr>
        <w:ind w:firstLine="539"/>
        <w:jc w:val="both"/>
      </w:pPr>
      <w:r>
        <w:t>•</w:t>
      </w:r>
      <w:r>
        <w:tab/>
        <w:t xml:space="preserve">Броят на лицата, получаващи добавка от УПФ за м. декември е 20 567, като има увеличение от 2 179 </w:t>
      </w:r>
      <w:r w:rsidR="004C38AD">
        <w:t>на лицата</w:t>
      </w:r>
      <w:r w:rsidR="004C38AD" w:rsidDel="004C38AD">
        <w:t xml:space="preserve"> </w:t>
      </w:r>
      <w:r>
        <w:t>( 11,9 % ръст) спрямо същия период на предходната година;</w:t>
      </w:r>
    </w:p>
    <w:p w:rsidR="006E5AE0" w:rsidRDefault="006E5AE0" w:rsidP="006E5AE0">
      <w:pPr>
        <w:spacing w:after="240"/>
        <w:ind w:firstLine="539"/>
        <w:jc w:val="both"/>
        <w:rPr>
          <w:szCs w:val="12"/>
        </w:rPr>
      </w:pPr>
      <w:r>
        <w:t>•</w:t>
      </w:r>
      <w:r>
        <w:tab/>
        <w:t xml:space="preserve">Средният размер на добавката, получавана от УПФ за м. декември е 62,35 лв., който е  с 5,6 на сто по-висок от средния размер на добавката през м. декември 2014 г. </w:t>
      </w:r>
    </w:p>
    <w:p w:rsidR="006E5AE0" w:rsidRDefault="006E5AE0" w:rsidP="006E5AE0">
      <w:pPr>
        <w:spacing w:after="240"/>
        <w:ind w:firstLine="539"/>
        <w:rPr>
          <w:b/>
          <w:sz w:val="12"/>
          <w:szCs w:val="12"/>
        </w:rPr>
      </w:pPr>
      <w:r>
        <w:rPr>
          <w:b/>
        </w:rPr>
        <w:t xml:space="preserve">Група Б: </w:t>
      </w:r>
      <w:r>
        <w:rPr>
          <w:b/>
          <w:i/>
        </w:rPr>
        <w:t>„Социални помощи и обезщетения”</w:t>
      </w:r>
    </w:p>
    <w:p w:rsidR="006E5AE0" w:rsidRDefault="006E5AE0" w:rsidP="006E5AE0">
      <w:pPr>
        <w:spacing w:after="120"/>
        <w:ind w:firstLine="539"/>
        <w:jc w:val="both"/>
        <w:rPr>
          <w:iCs/>
        </w:rPr>
      </w:pPr>
      <w:r>
        <w:rPr>
          <w:iCs/>
        </w:rPr>
        <w:t xml:space="preserve">Разходите в тази група включват помощите и плащанията към гражданите на основание Закона за социално подпомагане, Закона за интеграция на хората с увреждания, Закона за семейни помощи за деца, Закона за закрила на детето, Закона за военноинвалидите и военнопострадалите, Закона за ветераните от войните, </w:t>
      </w:r>
      <w:r>
        <w:t>Закона за Министерството на вътрешните работи и Закона за отбраната и въоръжените сили на Република България</w:t>
      </w:r>
      <w:r>
        <w:rPr>
          <w:iCs/>
        </w:rPr>
        <w:t>. Общата сума на разходите по тази група на консолидирано ниво възлиза на 2 208,7 млн. лв., което представлява изпълнение 105,0 % спрямо годишните разчети.</w:t>
      </w:r>
    </w:p>
    <w:p w:rsidR="006E5AE0" w:rsidRDefault="006E5AE0" w:rsidP="006E5AE0">
      <w:pPr>
        <w:ind w:firstLine="540"/>
        <w:jc w:val="both"/>
        <w:rPr>
          <w:iCs/>
        </w:rPr>
      </w:pPr>
      <w:r>
        <w:rPr>
          <w:iCs/>
        </w:rPr>
        <w:t xml:space="preserve">Разходите по </w:t>
      </w:r>
      <w:r>
        <w:rPr>
          <w:b/>
          <w:iCs/>
        </w:rPr>
        <w:t>държавния бюджет</w:t>
      </w:r>
      <w:r>
        <w:rPr>
          <w:iCs/>
        </w:rPr>
        <w:t xml:space="preserve"> са в размер на </w:t>
      </w:r>
      <w:r>
        <w:rPr>
          <w:iCs/>
          <w:lang w:val="ru-RU"/>
        </w:rPr>
        <w:t>934,1</w:t>
      </w:r>
      <w:r>
        <w:rPr>
          <w:iCs/>
        </w:rPr>
        <w:t xml:space="preserve"> млн. лв., отчетени както следва:</w:t>
      </w:r>
    </w:p>
    <w:p w:rsidR="006E5AE0" w:rsidRDefault="006E5AE0" w:rsidP="006E5AE0">
      <w:pPr>
        <w:ind w:firstLine="540"/>
        <w:jc w:val="both"/>
        <w:rPr>
          <w:iCs/>
        </w:rPr>
      </w:pPr>
    </w:p>
    <w:p w:rsidR="006E5AE0" w:rsidRDefault="006E5AE0" w:rsidP="00781B85">
      <w:pPr>
        <w:numPr>
          <w:ilvl w:val="1"/>
          <w:numId w:val="35"/>
        </w:numPr>
        <w:tabs>
          <w:tab w:val="num" w:pos="540"/>
        </w:tabs>
        <w:ind w:left="0" w:firstLine="180"/>
        <w:jc w:val="both"/>
        <w:rPr>
          <w:iCs/>
        </w:rPr>
      </w:pPr>
      <w:r>
        <w:rPr>
          <w:iCs/>
        </w:rPr>
        <w:t>По бюджета на МТСП за 2015 г. са изразходвани 914,1 млн. лв., които представляват:</w:t>
      </w:r>
    </w:p>
    <w:p w:rsidR="006E5AE0" w:rsidRDefault="006E5AE0" w:rsidP="00781B85">
      <w:pPr>
        <w:numPr>
          <w:ilvl w:val="0"/>
          <w:numId w:val="35"/>
        </w:numPr>
        <w:tabs>
          <w:tab w:val="num" w:pos="540"/>
          <w:tab w:val="left" w:pos="1620"/>
          <w:tab w:val="left" w:pos="1800"/>
          <w:tab w:val="left" w:pos="1980"/>
        </w:tabs>
        <w:ind w:left="540"/>
        <w:jc w:val="both"/>
        <w:rPr>
          <w:iCs/>
        </w:rPr>
      </w:pPr>
      <w:r>
        <w:rPr>
          <w:iCs/>
        </w:rPr>
        <w:t>Изплатени помощи по Закона за семейни помощи за деца – 547,5 млн. лв.;</w:t>
      </w:r>
    </w:p>
    <w:p w:rsidR="006E5AE0" w:rsidRDefault="006E5AE0" w:rsidP="00781B85">
      <w:pPr>
        <w:numPr>
          <w:ilvl w:val="0"/>
          <w:numId w:val="35"/>
        </w:numPr>
        <w:tabs>
          <w:tab w:val="num" w:pos="540"/>
          <w:tab w:val="left" w:pos="1620"/>
          <w:tab w:val="left" w:pos="1800"/>
          <w:tab w:val="left" w:pos="1980"/>
        </w:tabs>
        <w:ind w:left="540"/>
        <w:jc w:val="both"/>
        <w:rPr>
          <w:iCs/>
        </w:rPr>
      </w:pPr>
      <w:r>
        <w:rPr>
          <w:iCs/>
        </w:rPr>
        <w:t>Изплатени помощи по Закона за социално подпомагане – 60,0 млн. лв.;</w:t>
      </w:r>
    </w:p>
    <w:p w:rsidR="006E5AE0" w:rsidRDefault="006E5AE0" w:rsidP="00781B85">
      <w:pPr>
        <w:numPr>
          <w:ilvl w:val="0"/>
          <w:numId w:val="35"/>
        </w:numPr>
        <w:tabs>
          <w:tab w:val="num" w:pos="540"/>
          <w:tab w:val="left" w:pos="1620"/>
          <w:tab w:val="left" w:pos="1800"/>
          <w:tab w:val="left" w:pos="1980"/>
        </w:tabs>
        <w:ind w:left="540"/>
        <w:jc w:val="both"/>
        <w:rPr>
          <w:iCs/>
        </w:rPr>
      </w:pPr>
      <w:r>
        <w:rPr>
          <w:iCs/>
        </w:rPr>
        <w:t>Целеви помощи за отопление по Наредба № РД 07-5 от 2008 г. – 101,9 млн. лв.;</w:t>
      </w:r>
    </w:p>
    <w:p w:rsidR="006E5AE0" w:rsidRDefault="006E5AE0" w:rsidP="00781B85">
      <w:pPr>
        <w:numPr>
          <w:ilvl w:val="0"/>
          <w:numId w:val="35"/>
        </w:numPr>
        <w:tabs>
          <w:tab w:val="num" w:pos="540"/>
          <w:tab w:val="left" w:pos="1620"/>
          <w:tab w:val="left" w:pos="1800"/>
          <w:tab w:val="left" w:pos="1980"/>
        </w:tabs>
        <w:ind w:left="540"/>
        <w:jc w:val="both"/>
        <w:rPr>
          <w:iCs/>
        </w:rPr>
      </w:pPr>
      <w:r>
        <w:rPr>
          <w:iCs/>
        </w:rPr>
        <w:t>Изплатени помощи по Закона за интеграция на хората с увреждания –</w:t>
      </w:r>
      <w:r>
        <w:rPr>
          <w:iCs/>
          <w:lang w:val="ru-RU"/>
        </w:rPr>
        <w:t xml:space="preserve"> 192,3</w:t>
      </w:r>
      <w:r>
        <w:rPr>
          <w:iCs/>
        </w:rPr>
        <w:t xml:space="preserve"> млн. лв.; </w:t>
      </w:r>
    </w:p>
    <w:p w:rsidR="006E5AE0" w:rsidRDefault="006E5AE0" w:rsidP="00781B85">
      <w:pPr>
        <w:numPr>
          <w:ilvl w:val="0"/>
          <w:numId w:val="35"/>
        </w:numPr>
        <w:tabs>
          <w:tab w:val="num" w:pos="540"/>
          <w:tab w:val="left" w:pos="1620"/>
          <w:tab w:val="left" w:pos="1800"/>
          <w:tab w:val="left" w:pos="1980"/>
        </w:tabs>
        <w:ind w:left="540"/>
        <w:jc w:val="both"/>
        <w:rPr>
          <w:iCs/>
        </w:rPr>
      </w:pPr>
      <w:r>
        <w:rPr>
          <w:iCs/>
        </w:rPr>
        <w:t>Реализиране на програми и мерки по Закона за закрила на детето в размер на  17,1 млн. лв., от които за помощи и обезщетения 10,8 млн. лв., а за възнаграждения на приемните семейства 6,3 млн. лв. и са отчетени, като средства за персонал по бюджета на МТСП;</w:t>
      </w:r>
    </w:p>
    <w:p w:rsidR="006E5AE0" w:rsidRDefault="006E5AE0" w:rsidP="00781B85">
      <w:pPr>
        <w:numPr>
          <w:ilvl w:val="0"/>
          <w:numId w:val="35"/>
        </w:numPr>
        <w:tabs>
          <w:tab w:val="num" w:pos="540"/>
          <w:tab w:val="left" w:pos="1620"/>
          <w:tab w:val="left" w:pos="1800"/>
          <w:tab w:val="left" w:pos="1980"/>
        </w:tabs>
        <w:ind w:left="540"/>
        <w:jc w:val="both"/>
        <w:rPr>
          <w:iCs/>
        </w:rPr>
      </w:pPr>
      <w:r>
        <w:rPr>
          <w:iCs/>
        </w:rPr>
        <w:t>Помощи за диагностика и лечение на социално слаби лица – 2,6 млн. лв.;</w:t>
      </w:r>
    </w:p>
    <w:p w:rsidR="006E5AE0" w:rsidRDefault="006E5AE0" w:rsidP="00781B85">
      <w:pPr>
        <w:numPr>
          <w:ilvl w:val="0"/>
          <w:numId w:val="35"/>
        </w:numPr>
        <w:tabs>
          <w:tab w:val="clear" w:pos="720"/>
          <w:tab w:val="num" w:pos="540"/>
          <w:tab w:val="left" w:pos="1620"/>
          <w:tab w:val="left" w:pos="1800"/>
          <w:tab w:val="left" w:pos="1980"/>
        </w:tabs>
        <w:ind w:left="540"/>
        <w:jc w:val="both"/>
        <w:rPr>
          <w:iCs/>
          <w:color w:val="0070C0"/>
        </w:rPr>
      </w:pPr>
      <w:r>
        <w:rPr>
          <w:iCs/>
        </w:rPr>
        <w:t>За лекарства по Закона за ветераните от войните и по Закона за военноинвалидите и военнопострадалите, за дентална помощ по Закона за ветераните от войните, както и за еднократна помощ при смърт на ветеран от войните по Закона за ветераните от войните – 3,5 млн. лева</w:t>
      </w:r>
      <w:r>
        <w:rPr>
          <w:iCs/>
          <w:color w:val="0070C0"/>
        </w:rPr>
        <w:t>.</w:t>
      </w:r>
    </w:p>
    <w:p w:rsidR="006E5AE0" w:rsidRDefault="006E5AE0" w:rsidP="006E5AE0">
      <w:pPr>
        <w:tabs>
          <w:tab w:val="left" w:pos="1620"/>
          <w:tab w:val="left" w:pos="1800"/>
          <w:tab w:val="left" w:pos="1980"/>
        </w:tabs>
        <w:ind w:left="180"/>
        <w:jc w:val="both"/>
        <w:rPr>
          <w:iCs/>
          <w:color w:val="0070C0"/>
        </w:rPr>
      </w:pPr>
    </w:p>
    <w:p w:rsidR="006E5AE0" w:rsidRDefault="006E5AE0" w:rsidP="00781B85">
      <w:pPr>
        <w:numPr>
          <w:ilvl w:val="0"/>
          <w:numId w:val="36"/>
        </w:numPr>
        <w:tabs>
          <w:tab w:val="clear" w:pos="1547"/>
          <w:tab w:val="num" w:pos="540"/>
          <w:tab w:val="left" w:pos="1620"/>
          <w:tab w:val="left" w:pos="1800"/>
          <w:tab w:val="left" w:pos="1980"/>
        </w:tabs>
        <w:ind w:left="0" w:firstLine="180"/>
        <w:jc w:val="both"/>
        <w:rPr>
          <w:iCs/>
        </w:rPr>
      </w:pPr>
      <w:r>
        <w:rPr>
          <w:iCs/>
        </w:rPr>
        <w:t>Отчетените разходи по бюджета на МФ в тази група са в размер на 14,3 млн. лв. - за финансово компенсиране на жилищно-спестовните влогове на гражданите на основание на Закона за уреждане правата на граждани с многогодишни жилищно-спестовни влогове.</w:t>
      </w:r>
    </w:p>
    <w:p w:rsidR="006E5AE0" w:rsidRPr="00EC33FC" w:rsidRDefault="006E5AE0" w:rsidP="00781B85">
      <w:pPr>
        <w:numPr>
          <w:ilvl w:val="0"/>
          <w:numId w:val="36"/>
        </w:numPr>
        <w:tabs>
          <w:tab w:val="clear" w:pos="1547"/>
          <w:tab w:val="num" w:pos="540"/>
          <w:tab w:val="left" w:pos="1620"/>
          <w:tab w:val="left" w:pos="1800"/>
          <w:tab w:val="left" w:pos="1980"/>
        </w:tabs>
        <w:ind w:left="0" w:firstLine="180"/>
        <w:jc w:val="both"/>
        <w:rPr>
          <w:iCs/>
        </w:rPr>
      </w:pPr>
      <w:r w:rsidRPr="00D319B0">
        <w:rPr>
          <w:iCs/>
        </w:rPr>
        <w:t>Отчетените разходи по бюджета на ММС са в размер на 4,1 млн. лв. - изплатени месечни премии на олимпи</w:t>
      </w:r>
      <w:r w:rsidRPr="00EB4132">
        <w:rPr>
          <w:iCs/>
        </w:rPr>
        <w:t>йски медалисти, прекратили активна състезателна дейност и треньори, съгласно разпоредбите на Закона за физическото възпитание и спорта</w:t>
      </w:r>
      <w:r w:rsidRPr="00EC33FC">
        <w:rPr>
          <w:iCs/>
        </w:rPr>
        <w:t>.</w:t>
      </w:r>
    </w:p>
    <w:p w:rsidR="006E5AE0" w:rsidRDefault="006E5AE0" w:rsidP="00781B85">
      <w:pPr>
        <w:numPr>
          <w:ilvl w:val="0"/>
          <w:numId w:val="36"/>
        </w:numPr>
        <w:tabs>
          <w:tab w:val="clear" w:pos="1547"/>
          <w:tab w:val="num" w:pos="540"/>
          <w:tab w:val="left" w:pos="1620"/>
          <w:tab w:val="left" w:pos="1800"/>
          <w:tab w:val="left" w:pos="1980"/>
        </w:tabs>
        <w:spacing w:after="120"/>
        <w:ind w:left="0" w:firstLine="180"/>
        <w:jc w:val="both"/>
        <w:rPr>
          <w:iCs/>
        </w:rPr>
      </w:pPr>
      <w:r>
        <w:rPr>
          <w:iCs/>
        </w:rPr>
        <w:t xml:space="preserve">Отчетените разходи по бюджета на МС в тази група са в размер на </w:t>
      </w:r>
      <w:r>
        <w:rPr>
          <w:iCs/>
          <w:lang w:val="ru-RU"/>
        </w:rPr>
        <w:t>0,4</w:t>
      </w:r>
      <w:r>
        <w:rPr>
          <w:iCs/>
        </w:rPr>
        <w:t xml:space="preserve"> млн. лв. - средства по бюджета на Министерския съвет за 2015 г. се предвиждат и съответно отчитат </w:t>
      </w:r>
      <w:r>
        <w:rPr>
          <w:iCs/>
        </w:rPr>
        <w:lastRenderedPageBreak/>
        <w:t>за изплащане на обезщетения по Закона за политическа и гражданска реабилитация на репресирани лица.</w:t>
      </w:r>
    </w:p>
    <w:p w:rsidR="006E5AE0" w:rsidRDefault="006E5AE0" w:rsidP="006E5AE0">
      <w:pPr>
        <w:tabs>
          <w:tab w:val="left" w:pos="1620"/>
          <w:tab w:val="left" w:pos="1800"/>
          <w:tab w:val="left" w:pos="1980"/>
        </w:tabs>
        <w:spacing w:after="120"/>
        <w:ind w:firstLine="539"/>
        <w:jc w:val="both"/>
        <w:rPr>
          <w:iCs/>
          <w:lang w:val="en-US"/>
        </w:rPr>
      </w:pPr>
      <w:r>
        <w:rPr>
          <w:iCs/>
        </w:rPr>
        <w:t>За обезщетения по чл. 23</w:t>
      </w:r>
      <w:r>
        <w:rPr>
          <w:iCs/>
          <w:lang w:val="en-US"/>
        </w:rPr>
        <w:t>3</w:t>
      </w:r>
      <w:r>
        <w:rPr>
          <w:iCs/>
        </w:rPr>
        <w:t xml:space="preserve"> и за материално подпомагане по чл. 226з от Закона за отбраната и въоръжените сили на Република България и чл. 2</w:t>
      </w:r>
      <w:r>
        <w:rPr>
          <w:iCs/>
          <w:lang w:val="en-US"/>
        </w:rPr>
        <w:t>9</w:t>
      </w:r>
      <w:r>
        <w:rPr>
          <w:iCs/>
        </w:rPr>
        <w:t>, ал. 1 от Закона за убежището и бежанците са отчетени средства, както следва</w:t>
      </w:r>
      <w:r>
        <w:rPr>
          <w:iCs/>
          <w:lang w:val="en-US"/>
        </w:rPr>
        <w:t>:</w:t>
      </w:r>
      <w:r>
        <w:rPr>
          <w:iCs/>
        </w:rPr>
        <w:t xml:space="preserve"> по бюджета на Министерството на отбраната – 1,</w:t>
      </w:r>
      <w:r>
        <w:rPr>
          <w:iCs/>
          <w:lang w:val="en-US"/>
        </w:rPr>
        <w:t>1</w:t>
      </w:r>
      <w:r>
        <w:rPr>
          <w:iCs/>
        </w:rPr>
        <w:t xml:space="preserve"> млн. лв.</w:t>
      </w:r>
      <w:r>
        <w:rPr>
          <w:iCs/>
          <w:lang w:val="en-US"/>
        </w:rPr>
        <w:t xml:space="preserve">; </w:t>
      </w:r>
      <w:r>
        <w:rPr>
          <w:iCs/>
        </w:rPr>
        <w:t xml:space="preserve"> по бюджета на МВР – </w:t>
      </w:r>
      <w:r>
        <w:rPr>
          <w:iCs/>
          <w:lang w:val="en-US"/>
        </w:rPr>
        <w:t>0</w:t>
      </w:r>
      <w:r>
        <w:rPr>
          <w:iCs/>
        </w:rPr>
        <w:t>,</w:t>
      </w:r>
      <w:r>
        <w:rPr>
          <w:iCs/>
          <w:lang w:val="en-US"/>
        </w:rPr>
        <w:t>2</w:t>
      </w:r>
      <w:r>
        <w:rPr>
          <w:iCs/>
        </w:rPr>
        <w:t xml:space="preserve"> млн. лева. </w:t>
      </w:r>
    </w:p>
    <w:p w:rsidR="006E5AE0" w:rsidRDefault="006E5AE0" w:rsidP="006E5AE0">
      <w:pPr>
        <w:tabs>
          <w:tab w:val="left" w:pos="1620"/>
          <w:tab w:val="left" w:pos="1800"/>
          <w:tab w:val="left" w:pos="1980"/>
        </w:tabs>
        <w:ind w:firstLine="539"/>
        <w:jc w:val="both"/>
        <w:rPr>
          <w:iCs/>
        </w:rPr>
      </w:pPr>
      <w:r>
        <w:rPr>
          <w:iCs/>
        </w:rPr>
        <w:t xml:space="preserve">Отчетените разходи по бюджетите на МОН и МК общо за 2015 г. са в размер на 0,1 млн. лв. </w:t>
      </w:r>
    </w:p>
    <w:p w:rsidR="006E5AE0" w:rsidRDefault="006E5AE0" w:rsidP="006E5AE0">
      <w:pPr>
        <w:spacing w:after="120"/>
        <w:ind w:firstLine="540"/>
        <w:jc w:val="both"/>
        <w:rPr>
          <w:iCs/>
          <w:color w:val="0070C0"/>
          <w:sz w:val="4"/>
          <w:szCs w:val="4"/>
        </w:rPr>
      </w:pPr>
    </w:p>
    <w:p w:rsidR="006E5AE0" w:rsidRDefault="006E5AE0" w:rsidP="006E5AE0">
      <w:pPr>
        <w:spacing w:after="120"/>
        <w:ind w:firstLine="540"/>
        <w:jc w:val="both"/>
      </w:pPr>
      <w:r>
        <w:t xml:space="preserve">Отчетените разходи за социални помощи и обезщетения по </w:t>
      </w:r>
      <w:r>
        <w:rPr>
          <w:b/>
        </w:rPr>
        <w:t>бюджета на ДОО</w:t>
      </w:r>
      <w:r>
        <w:t xml:space="preserve"> са в размер на 1 250,1 млн. лв. </w:t>
      </w:r>
    </w:p>
    <w:p w:rsidR="006E5AE0" w:rsidRDefault="006E5AE0" w:rsidP="006E5AE0">
      <w:pPr>
        <w:ind w:firstLine="539"/>
        <w:jc w:val="both"/>
      </w:pPr>
      <w:r>
        <w:t xml:space="preserve">Спрямо 2014 г. </w:t>
      </w:r>
      <w:r>
        <w:rPr>
          <w:b/>
        </w:rPr>
        <w:t xml:space="preserve">изплатените обезщетения по КСО </w:t>
      </w:r>
      <w:r>
        <w:t>са нараснали с 92,</w:t>
      </w:r>
      <w:r>
        <w:rPr>
          <w:lang w:val="en-US"/>
        </w:rPr>
        <w:t>2</w:t>
      </w:r>
      <w:r>
        <w:t xml:space="preserve"> млн. лв., или ръст от 8,0 %. </w:t>
      </w:r>
    </w:p>
    <w:p w:rsidR="006E5AE0" w:rsidRDefault="006E5AE0" w:rsidP="006E5AE0">
      <w:pPr>
        <w:ind w:firstLine="539"/>
        <w:jc w:val="both"/>
      </w:pPr>
      <w:r>
        <w:t xml:space="preserve">Изплатените за годината обезщетения при безработица са в размер на </w:t>
      </w:r>
      <w:r>
        <w:rPr>
          <w:lang w:val="en-US"/>
        </w:rPr>
        <w:t>339</w:t>
      </w:r>
      <w:r>
        <w:t>,</w:t>
      </w:r>
      <w:r>
        <w:rPr>
          <w:lang w:val="en-US"/>
        </w:rPr>
        <w:t>0</w:t>
      </w:r>
      <w:r>
        <w:t xml:space="preserve"> млн. лв., с 0,4 % (1,2 млн. лв.) по-малко спрямо 2014 г. </w:t>
      </w:r>
    </w:p>
    <w:p w:rsidR="006E5AE0" w:rsidRDefault="006E5AE0" w:rsidP="006E5AE0">
      <w:pPr>
        <w:ind w:firstLine="539"/>
        <w:jc w:val="both"/>
      </w:pPr>
      <w:r>
        <w:t xml:space="preserve">Изплатените обезщетения за бременност и раждане към 31.12.2015 г. са в размер на 331,4 млн. лв., с 33,8 млн. лв. (11,4 %) повече спрямо 2014 г. Изплатените обезщетения за отглеждане на малко дете са в размер на 152,8 млн. лв., с 8,5 млн. лв. (5,9 %) повече спрямо 2014 г. </w:t>
      </w:r>
    </w:p>
    <w:p w:rsidR="006E5AE0" w:rsidRDefault="006E5AE0" w:rsidP="006E5AE0">
      <w:pPr>
        <w:spacing w:after="120"/>
        <w:ind w:firstLine="539"/>
        <w:jc w:val="both"/>
      </w:pPr>
      <w:r>
        <w:t xml:space="preserve">Изплатените обезщетения за временна неработоспособност поради общо заболяване, гледане на болен член от семейството и карантина, и нетрудови злополуки са в размер на 403,1 млн. лв., с 50,9 млн. лв. (14,4 %) повече спрямо 2014 година. </w:t>
      </w:r>
    </w:p>
    <w:p w:rsidR="006E5AE0" w:rsidRPr="004126A8" w:rsidRDefault="006E5AE0" w:rsidP="004126A8">
      <w:pPr>
        <w:spacing w:after="120"/>
        <w:ind w:firstLine="539"/>
        <w:jc w:val="both"/>
        <w:rPr>
          <w:lang w:val="en-US"/>
        </w:rPr>
      </w:pPr>
      <w:r>
        <w:t>Изплатените обезщетения за осиновяване на дете от 2 до 5 години за 2015 г. са 0,372 млн. лв., като разходите за изплатените обезщетения към м. декември са с 0,047 млн. лв. (14,5 %) повече в  сравнение  с  изплатените  за 2014 г.</w:t>
      </w:r>
    </w:p>
    <w:p w:rsidR="006E5AE0" w:rsidRDefault="006E5AE0" w:rsidP="006E5AE0">
      <w:pPr>
        <w:spacing w:after="120"/>
        <w:ind w:firstLine="539"/>
        <w:jc w:val="both"/>
        <w:rPr>
          <w:b/>
          <w:i/>
        </w:rPr>
      </w:pPr>
      <w:r>
        <w:rPr>
          <w:b/>
        </w:rPr>
        <w:t xml:space="preserve">Група В: </w:t>
      </w:r>
      <w:r>
        <w:rPr>
          <w:b/>
          <w:i/>
        </w:rPr>
        <w:t>„Програми, дейности и служби по социалното осигуряване, подпомагане и заетостта”</w:t>
      </w:r>
    </w:p>
    <w:p w:rsidR="006E5AE0" w:rsidRDefault="006E5AE0" w:rsidP="006E5AE0">
      <w:pPr>
        <w:tabs>
          <w:tab w:val="left" w:pos="540"/>
          <w:tab w:val="left" w:pos="720"/>
        </w:tabs>
        <w:autoSpaceDE w:val="0"/>
        <w:autoSpaceDN w:val="0"/>
        <w:adjustRightInd w:val="0"/>
        <w:spacing w:before="120" w:after="120"/>
        <w:ind w:firstLine="539"/>
        <w:jc w:val="both"/>
      </w:pPr>
      <w:r>
        <w:t xml:space="preserve">Общият размер на усвоените средства на консолидирана база по тази група за 2015 г. е </w:t>
      </w:r>
      <w:r w:rsidR="00BC3D93">
        <w:rPr>
          <w:lang w:val="ru-RU"/>
        </w:rPr>
        <w:t>976</w:t>
      </w:r>
      <w:r>
        <w:rPr>
          <w:lang w:val="ru-RU"/>
        </w:rPr>
        <w:t>,8 мл</w:t>
      </w:r>
      <w:r>
        <w:t>н. лв., като основните системи, по които са извършени разходите са държавния бюджет, бюджетите на общините и сметките за средства от ЕС.</w:t>
      </w:r>
    </w:p>
    <w:p w:rsidR="006E5AE0" w:rsidRDefault="006E5AE0" w:rsidP="006E5AE0">
      <w:pPr>
        <w:spacing w:after="120"/>
        <w:ind w:firstLine="539"/>
        <w:jc w:val="both"/>
      </w:pPr>
      <w:r>
        <w:t xml:space="preserve">Размерът на разходите по </w:t>
      </w:r>
      <w:r>
        <w:rPr>
          <w:b/>
        </w:rPr>
        <w:t>държавния бюджет</w:t>
      </w:r>
      <w:r>
        <w:t xml:space="preserve"> е </w:t>
      </w:r>
      <w:r w:rsidR="008F01DD">
        <w:rPr>
          <w:lang w:val="ru-RU"/>
        </w:rPr>
        <w:t>171</w:t>
      </w:r>
      <w:r>
        <w:rPr>
          <w:lang w:val="ru-RU"/>
        </w:rPr>
        <w:t>,2</w:t>
      </w:r>
      <w:r>
        <w:t xml:space="preserve"> млн. лв. От тях по бюджетите на министерствата и ведомствата са отчетени </w:t>
      </w:r>
      <w:r w:rsidR="008F01DD">
        <w:rPr>
          <w:lang w:val="ru-RU"/>
        </w:rPr>
        <w:t>150</w:t>
      </w:r>
      <w:r>
        <w:rPr>
          <w:lang w:val="ru-RU"/>
        </w:rPr>
        <w:t>,7</w:t>
      </w:r>
      <w:r>
        <w:t xml:space="preserve"> млн. лв. и по централния бюджет </w:t>
      </w:r>
      <w:r>
        <w:rPr>
          <w:lang w:val="ru-RU"/>
        </w:rPr>
        <w:t>20,4</w:t>
      </w:r>
      <w:r>
        <w:t xml:space="preserve"> млн. лв. Планираните разходи със ЗДБРБ за 2015 г. за министерства и ведомства в групата възлизат на </w:t>
      </w:r>
      <w:r>
        <w:rPr>
          <w:lang w:val="ru-RU"/>
        </w:rPr>
        <w:t>165,2</w:t>
      </w:r>
      <w:r>
        <w:t xml:space="preserve"> млн. </w:t>
      </w:r>
      <w:r>
        <w:rPr>
          <w:bCs/>
        </w:rPr>
        <w:t xml:space="preserve">лв. В тази група разходи са планирани по бюджета на МТСП средствата за активните мерки на пазара на труда, с които се осигурява запазването и развитието на политиката по намаляване на безработицата, съхраняване и поддържане на работната сила. От тази група разходи се финансира и дейността на агенциите второстепенни разпоредители към министъра на труда и социалната политика, които са ангажирани с изпълнението на социалната политика като: Агенцията по заетостта, Агенцията за социално подпомагане, Държавната агенция за закрила на детето и др., както и разходи за издръжка на дейността на Дома на ветераните на културата и изкуствата към Министерство на културата. </w:t>
      </w:r>
      <w:r>
        <w:t>Изразходваните средства за реализиране на активната политика по заетостта са в размер на 66,5 млн. лв., в т.ч. трансфери към министерства, ведомства и общини в размер на 27,7 млн. лева.</w:t>
      </w:r>
    </w:p>
    <w:p w:rsidR="006E5AE0" w:rsidRDefault="006E5AE0" w:rsidP="006E5AE0">
      <w:pPr>
        <w:spacing w:after="120"/>
        <w:ind w:firstLine="539"/>
        <w:jc w:val="both"/>
      </w:pPr>
      <w:r>
        <w:t xml:space="preserve">По </w:t>
      </w:r>
      <w:r>
        <w:rPr>
          <w:b/>
        </w:rPr>
        <w:t>бюджетите на общините</w:t>
      </w:r>
      <w:r>
        <w:t xml:space="preserve"> с разчетите към ЗДБРБ за 2015 г. в група „Програми, дейности и служби по социалното осигуряване, подпомагане и заетостта” са предвидени средства в размер на 302,9 млн. лв. Изпълнението е 466,1 млн. лв. </w:t>
      </w:r>
      <w:r>
        <w:rPr>
          <w:lang w:val="en-US"/>
        </w:rPr>
        <w:t>(</w:t>
      </w:r>
      <w:r>
        <w:t>от които 11,4 млн. лв. са капиталови разходи</w:t>
      </w:r>
      <w:r>
        <w:rPr>
          <w:lang w:val="en-US"/>
        </w:rPr>
        <w:t>)</w:t>
      </w:r>
      <w:r>
        <w:t>, което представлява 153,</w:t>
      </w:r>
      <w:r w:rsidR="006845DB">
        <w:t>9</w:t>
      </w:r>
      <w:r>
        <w:t xml:space="preserve"> % спрямо плана.</w:t>
      </w:r>
      <w:r>
        <w:rPr>
          <w:color w:val="0070C0"/>
        </w:rPr>
        <w:t xml:space="preserve"> </w:t>
      </w:r>
      <w:r>
        <w:t xml:space="preserve">Разходите по групата </w:t>
      </w:r>
      <w:r>
        <w:lastRenderedPageBreak/>
        <w:t>са предназначени за обезпечаване дейностите по социалното подпомагане и заетостта.</w:t>
      </w:r>
      <w:r>
        <w:rPr>
          <w:color w:val="0070C0"/>
        </w:rPr>
        <w:t xml:space="preserve"> </w:t>
      </w:r>
      <w:r>
        <w:t xml:space="preserve">Превишението на разходите спрямо закона се дължи на предоставените за общините трансфери от страна на МТСП за изплащане на възнагражденията на работещите по програмите за временна заетост, предоставени от централния бюджет средства за изплащане от държавата на присъдена издръжка и за компенсации на безплатни или по намалени цени пътувания на определени категории правоимащи лица, както и извършени социални разходи по решения на общинските съвети. </w:t>
      </w:r>
    </w:p>
    <w:p w:rsidR="006E5AE0" w:rsidRDefault="006E5AE0" w:rsidP="006E5AE0">
      <w:pPr>
        <w:spacing w:after="120"/>
        <w:ind w:firstLine="539"/>
        <w:jc w:val="both"/>
      </w:pPr>
      <w:r>
        <w:tab/>
        <w:t xml:space="preserve">Отчетените текущи разходи за </w:t>
      </w:r>
      <w:r>
        <w:rPr>
          <w:i/>
        </w:rPr>
        <w:t>държавни дейности</w:t>
      </w:r>
      <w:r>
        <w:t xml:space="preserve"> са в размер на 259,2 млн. лв., което е с 69,4 млн. лв. повече от разчетените по закона за 2015 г. или 136,6 %, а спрямо отчетените за 2014 г. намал</w:t>
      </w:r>
      <w:r w:rsidR="007906A5">
        <w:t>яват</w:t>
      </w:r>
      <w:r>
        <w:t xml:space="preserve"> с 4,7 млн.</w:t>
      </w:r>
      <w:r w:rsidR="007906A5">
        <w:t xml:space="preserve"> </w:t>
      </w:r>
      <w:r>
        <w:t>лева.</w:t>
      </w:r>
    </w:p>
    <w:p w:rsidR="006E5AE0" w:rsidRDefault="006E5AE0" w:rsidP="006E5AE0">
      <w:pPr>
        <w:spacing w:after="120"/>
        <w:ind w:firstLine="539"/>
        <w:jc w:val="both"/>
      </w:pPr>
      <w:r>
        <w:t>Тук се отчитат разходите за персонал и издръжка на специализираните институции за предоставяне на социални услуги (домове за възрастни хора с увреждания, домове за стари хора и домове за деца) и на социалните услуги, предоставяни в общността (дневни центрове за деца и възрастни хора с увреждания, центрове за социална рехабилитация и интеграция, за временно настаняване, за обществена подкрепа, за работа с деца на улицата, за настаняване от семеен тип и други, защитени, преходни и наблюдавани жилища, звена „Майка и бебе”, приюти). Отчетени са средства и за изплащане на възнагражденията на работещите по програмите за временна заетост, за изплащане от държавата на присъдена издръжка и за компенсации на безплатни или по намалени цени пътувания на определени категории правоимащи лица.</w:t>
      </w:r>
    </w:p>
    <w:p w:rsidR="006E5AE0" w:rsidRDefault="006E5AE0" w:rsidP="006E5AE0">
      <w:pPr>
        <w:pStyle w:val="BodyTextIndent"/>
        <w:widowControl w:val="0"/>
        <w:ind w:left="0" w:firstLine="540"/>
        <w:jc w:val="both"/>
        <w:rPr>
          <w:lang w:val="bg-BG"/>
        </w:rPr>
      </w:pPr>
      <w:r>
        <w:rPr>
          <w:lang w:val="bg-BG"/>
        </w:rPr>
        <w:t>През 201</w:t>
      </w:r>
      <w:r>
        <w:rPr>
          <w:lang w:val="ru-RU"/>
        </w:rPr>
        <w:t>5</w:t>
      </w:r>
      <w:r>
        <w:rPr>
          <w:lang w:val="bg-BG"/>
        </w:rPr>
        <w:t xml:space="preserve"> г. общините са дофинансирали със собствени приходи разходи в размер на </w:t>
      </w:r>
      <w:r>
        <w:rPr>
          <w:lang w:val="ru-RU"/>
        </w:rPr>
        <w:t>9,4</w:t>
      </w:r>
      <w:r>
        <w:rPr>
          <w:lang w:val="bg-BG"/>
        </w:rPr>
        <w:t xml:space="preserve"> млн. </w:t>
      </w:r>
      <w:r>
        <w:rPr>
          <w:lang w:val="ru-RU"/>
        </w:rPr>
        <w:t>лева</w:t>
      </w:r>
      <w:r>
        <w:rPr>
          <w:lang w:val="bg-BG"/>
        </w:rPr>
        <w:t xml:space="preserve">. </w:t>
      </w:r>
    </w:p>
    <w:p w:rsidR="006E5AE0" w:rsidRDefault="006E5AE0" w:rsidP="006E5AE0">
      <w:pPr>
        <w:pStyle w:val="BodyTextIndent"/>
        <w:widowControl w:val="0"/>
        <w:ind w:left="0" w:firstLine="540"/>
        <w:jc w:val="both"/>
        <w:rPr>
          <w:lang w:val="bg-BG"/>
        </w:rPr>
      </w:pPr>
      <w:r>
        <w:rPr>
          <w:lang w:val="bg-BG"/>
        </w:rPr>
        <w:t xml:space="preserve">Отчетените текущи разходи за </w:t>
      </w:r>
      <w:r>
        <w:rPr>
          <w:i/>
          <w:lang w:val="bg-BG"/>
        </w:rPr>
        <w:t>местни дейности</w:t>
      </w:r>
      <w:r>
        <w:rPr>
          <w:lang w:val="bg-BG"/>
        </w:rPr>
        <w:t xml:space="preserve"> са в размер на </w:t>
      </w:r>
      <w:r>
        <w:rPr>
          <w:lang w:val="ru-RU"/>
        </w:rPr>
        <w:t>1</w:t>
      </w:r>
      <w:r w:rsidR="007906A5">
        <w:rPr>
          <w:lang w:val="ru-RU"/>
        </w:rPr>
        <w:t>89</w:t>
      </w:r>
      <w:r>
        <w:rPr>
          <w:lang w:val="ru-RU"/>
        </w:rPr>
        <w:t>,</w:t>
      </w:r>
      <w:r w:rsidR="007906A5">
        <w:rPr>
          <w:lang w:val="ru-RU"/>
        </w:rPr>
        <w:t>3</w:t>
      </w:r>
      <w:r>
        <w:rPr>
          <w:lang w:val="bg-BG"/>
        </w:rPr>
        <w:t xml:space="preserve"> млн. лв., което е със 110,</w:t>
      </w:r>
      <w:r w:rsidR="007906A5">
        <w:rPr>
          <w:lang w:val="bg-BG"/>
        </w:rPr>
        <w:t>0</w:t>
      </w:r>
      <w:r>
        <w:rPr>
          <w:lang w:val="bg-BG"/>
        </w:rPr>
        <w:t xml:space="preserve"> млн. лв. повече спрямо отчетените за 2014 г. средства.  В местните дейности по тази група се отчитат разходите за домашен социален патронаж, трапезарии, клубове на пенсионера, инвалида, както и средства по решения на общинските съвети за обезщетения и помощи с цел подпомагане на определени категории от населението за улесняване на достъпа им до предоставяните публични услуги.</w:t>
      </w:r>
    </w:p>
    <w:p w:rsidR="006E5AE0" w:rsidRDefault="006E5AE0" w:rsidP="006E5AE0">
      <w:pPr>
        <w:pStyle w:val="BodyTextIndent"/>
        <w:widowControl w:val="0"/>
        <w:ind w:left="0" w:firstLine="540"/>
        <w:jc w:val="both"/>
        <w:rPr>
          <w:lang w:val="bg-BG"/>
        </w:rPr>
      </w:pPr>
      <w:r>
        <w:rPr>
          <w:b/>
          <w:lang w:val="bg-BG"/>
        </w:rPr>
        <w:t>Европейски средства</w:t>
      </w:r>
      <w:r>
        <w:rPr>
          <w:lang w:val="bg-BG"/>
        </w:rPr>
        <w:t xml:space="preserve"> – в група „Програми, дейности и служби по социалното осигуряване, подпомагане и заетостта” изразходваните средства са 271,8 млн. лв., основно по следните програми:</w:t>
      </w:r>
    </w:p>
    <w:p w:rsidR="006E5AE0" w:rsidRDefault="006E5AE0" w:rsidP="006E5AE0">
      <w:pPr>
        <w:autoSpaceDE w:val="0"/>
        <w:autoSpaceDN w:val="0"/>
        <w:adjustRightInd w:val="0"/>
        <w:jc w:val="both"/>
      </w:pPr>
      <w:r>
        <w:rPr>
          <w:b/>
          <w:i/>
        </w:rPr>
        <w:t>Оперативна програма „Развитие на човешките ресурси</w:t>
      </w:r>
      <w:r>
        <w:t>” (235,</w:t>
      </w:r>
      <w:r w:rsidR="00663F2E">
        <w:t xml:space="preserve">1 </w:t>
      </w:r>
      <w:r>
        <w:t>млн. лв.). Програмата цели да се подобри качеството на живот на хората в България чрез подобряване на човешкия капитал, постигане на високи нива на заетост, повишаване на производителността, достъп до качествено образование и учене през целия живот и засилване на социалното включване. Програмата финансира дейности за развитие на пазара на труда, увеличаване на адаптивността на заетите, развитие на социалната икономика, транснационално и междурегионално сътрудничество. Специално внимание се отделя на засилването на активните и превантивните мерки на пазара на труда с цел преодоляване на препятствията при навлизане на пазара на труда и оставане там и с цел насърчаване на мобилността на търсещите работа лица, безработните и неактивните, по-възрастните работници, както и тези, изправени пред риск от безработица, и най-вече на младите хора. Основна част от дейностите по програмата са насочени към достъпа до заетост на младите хора чрез облекчаване прехода от образование към работа,</w:t>
      </w:r>
      <w:r>
        <w:rPr>
          <w:color w:val="0070C0"/>
        </w:rPr>
        <w:t xml:space="preserve"> </w:t>
      </w:r>
      <w:r>
        <w:t xml:space="preserve">включително чрез професионално ориентиране, подпомагане за завършване на образование, достъп до подходящо обучение и стажуване, както и на удължаване на трудовия живот на по-възрастните с акцент върху обучение и заетост, подобряване на условията на труд и опазване здравето на работниците и служителите. Важен приоритет е </w:t>
      </w:r>
      <w:r>
        <w:lastRenderedPageBreak/>
        <w:t>и осигуряването на пазар на труда, насърчаващ включването на хора в неравностойно положение или изправени пред риск от социално изключване. Бенефициенти на програмата са образователни институции, консултантски фирми, работодатели, браншови организации, социално-икономически партньори, неправителствени организации, центрове за информация и професионално обучение.</w:t>
      </w:r>
    </w:p>
    <w:p w:rsidR="006E5AE0" w:rsidRDefault="006E5AE0" w:rsidP="006E5AE0">
      <w:pPr>
        <w:tabs>
          <w:tab w:val="left" w:pos="540"/>
          <w:tab w:val="left" w:pos="720"/>
        </w:tabs>
        <w:autoSpaceDE w:val="0"/>
        <w:autoSpaceDN w:val="0"/>
        <w:adjustRightInd w:val="0"/>
        <w:spacing w:before="120" w:after="240"/>
        <w:ind w:firstLine="540"/>
        <w:jc w:val="both"/>
        <w:rPr>
          <w:lang w:val="en-US"/>
        </w:rPr>
      </w:pPr>
      <w:r>
        <w:rPr>
          <w:b/>
          <w:i/>
        </w:rPr>
        <w:t>Оперативна програма „Регионално развитие</w:t>
      </w:r>
      <w:r>
        <w:t xml:space="preserve">” (15,5 млн. лв.) - чрез тази оперативна програма в частта на дейности по социалното осигуряване, подпомагане и заетост се цели създаване на  условия за развитие и трудова заетост, особено в отдалечените райони. </w:t>
      </w:r>
    </w:p>
    <w:p w:rsidR="004126A8" w:rsidRPr="004126A8" w:rsidRDefault="004126A8" w:rsidP="006E5AE0">
      <w:pPr>
        <w:tabs>
          <w:tab w:val="left" w:pos="540"/>
          <w:tab w:val="left" w:pos="720"/>
        </w:tabs>
        <w:autoSpaceDE w:val="0"/>
        <w:autoSpaceDN w:val="0"/>
        <w:adjustRightInd w:val="0"/>
        <w:spacing w:before="120" w:after="240"/>
        <w:ind w:firstLine="540"/>
        <w:jc w:val="both"/>
        <w:rPr>
          <w:lang w:val="en-US"/>
        </w:rPr>
      </w:pPr>
    </w:p>
    <w:p w:rsidR="006E5AE0" w:rsidRDefault="006E5AE0" w:rsidP="00781B85">
      <w:pPr>
        <w:pStyle w:val="Heading3"/>
        <w:numPr>
          <w:ilvl w:val="2"/>
          <w:numId w:val="15"/>
        </w:numPr>
        <w:spacing w:after="240"/>
        <w:rPr>
          <w:rFonts w:ascii="Times New Roman" w:hAnsi="Times New Roman"/>
          <w:sz w:val="24"/>
          <w:lang w:val="en-US"/>
        </w:rPr>
      </w:pPr>
      <w:bookmarkStart w:id="250" w:name="_Toc326315919"/>
      <w:bookmarkStart w:id="251" w:name="_Toc324863427"/>
      <w:bookmarkStart w:id="252" w:name="_Toc261276591"/>
      <w:bookmarkStart w:id="253" w:name="_Toc462146127"/>
      <w:r>
        <w:rPr>
          <w:rFonts w:ascii="Times New Roman" w:hAnsi="Times New Roman"/>
          <w:sz w:val="24"/>
          <w:lang w:val="bg-BG"/>
        </w:rPr>
        <w:t>Жилищно строителство, благоустройство, комунално стопанство и опазване на околната среда</w:t>
      </w:r>
      <w:bookmarkEnd w:id="250"/>
      <w:bookmarkEnd w:id="251"/>
      <w:bookmarkEnd w:id="252"/>
      <w:bookmarkEnd w:id="253"/>
    </w:p>
    <w:p w:rsidR="004126A8" w:rsidRPr="004126A8" w:rsidRDefault="004126A8" w:rsidP="004126A8">
      <w:pPr>
        <w:rPr>
          <w:lang w:val="en-US"/>
        </w:rPr>
      </w:pPr>
    </w:p>
    <w:p w:rsidR="006E5AE0" w:rsidRDefault="006E5AE0" w:rsidP="006E5AE0">
      <w:pPr>
        <w:ind w:firstLine="540"/>
        <w:jc w:val="both"/>
      </w:pPr>
      <w:r>
        <w:t xml:space="preserve">Основната част от разходите във функцията са </w:t>
      </w:r>
      <w:r>
        <w:rPr>
          <w:iCs/>
        </w:rPr>
        <w:t>предназначени за поддържане и изграждане на техническата инфраструктура и предоставяне на публични услуги на населението, свързани с дейностите по опазване на чистотата, водоснабдяване и канализация, озеленяване и други дейности от обществен интерес</w:t>
      </w:r>
      <w:r>
        <w:t>.</w:t>
      </w:r>
    </w:p>
    <w:p w:rsidR="004126A8" w:rsidRPr="004126A8" w:rsidRDefault="004126A8" w:rsidP="006E5AE0">
      <w:pPr>
        <w:jc w:val="both"/>
        <w:rPr>
          <w:color w:val="0070C0"/>
          <w:lang w:val="en-US"/>
        </w:rPr>
      </w:pPr>
    </w:p>
    <w:p w:rsidR="006E5AE0" w:rsidRDefault="006E5AE0" w:rsidP="006E5AE0">
      <w:pPr>
        <w:ind w:firstLine="8100"/>
        <w:rPr>
          <w:b/>
          <w:sz w:val="18"/>
          <w:szCs w:val="18"/>
        </w:rPr>
      </w:pPr>
      <w:r>
        <w:rPr>
          <w:b/>
          <w:sz w:val="18"/>
          <w:szCs w:val="18"/>
        </w:rPr>
        <w:t>(млн. лв.)</w:t>
      </w:r>
    </w:p>
    <w:tbl>
      <w:tblPr>
        <w:tblW w:w="10849" w:type="dxa"/>
        <w:jc w:val="center"/>
        <w:tblInd w:w="-497" w:type="dxa"/>
        <w:tblCellMar>
          <w:left w:w="70" w:type="dxa"/>
          <w:right w:w="70" w:type="dxa"/>
        </w:tblCellMar>
        <w:tblLook w:val="04A0" w:firstRow="1" w:lastRow="0" w:firstColumn="1" w:lastColumn="0" w:noHBand="0" w:noVBand="1"/>
      </w:tblPr>
      <w:tblGrid>
        <w:gridCol w:w="6096"/>
        <w:gridCol w:w="992"/>
        <w:gridCol w:w="455"/>
        <w:gridCol w:w="1018"/>
        <w:gridCol w:w="526"/>
        <w:gridCol w:w="816"/>
        <w:gridCol w:w="946"/>
      </w:tblGrid>
      <w:tr w:rsidR="006E5AE0" w:rsidTr="006E5AE0">
        <w:trPr>
          <w:trHeight w:val="660"/>
          <w:jc w:val="center"/>
        </w:trPr>
        <w:tc>
          <w:tcPr>
            <w:tcW w:w="6096"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ОТЧЕТ 2015 г.</w:t>
            </w:r>
          </w:p>
        </w:tc>
        <w:tc>
          <w:tcPr>
            <w:tcW w:w="992"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КФП</w:t>
            </w:r>
          </w:p>
        </w:tc>
        <w:tc>
          <w:tcPr>
            <w:tcW w:w="455" w:type="dxa"/>
            <w:tcBorders>
              <w:top w:val="double" w:sz="6" w:space="0" w:color="800000"/>
              <w:left w:val="nil"/>
              <w:bottom w:val="double" w:sz="6" w:space="0" w:color="800000"/>
              <w:right w:val="single" w:sz="4" w:space="0" w:color="FFFFFF"/>
            </w:tcBorders>
            <w:shd w:val="clear" w:color="auto" w:fill="800000"/>
            <w:vAlign w:val="center"/>
            <w:hideMark/>
          </w:tcPr>
          <w:p w:rsidR="006E5AE0" w:rsidRPr="006E5AE0" w:rsidRDefault="006E5AE0">
            <w:pPr>
              <w:jc w:val="center"/>
              <w:rPr>
                <w:b/>
                <w:bCs/>
                <w:color w:val="FFFFFF"/>
                <w:sz w:val="18"/>
                <w:szCs w:val="18"/>
              </w:rPr>
            </w:pPr>
            <w:r w:rsidRPr="006E5AE0">
              <w:rPr>
                <w:b/>
                <w:bCs/>
                <w:color w:val="FFFFFF"/>
                <w:sz w:val="18"/>
                <w:szCs w:val="18"/>
              </w:rPr>
              <w:t>ДБ</w:t>
            </w:r>
          </w:p>
        </w:tc>
        <w:tc>
          <w:tcPr>
            <w:tcW w:w="1018"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Общини</w:t>
            </w:r>
          </w:p>
        </w:tc>
        <w:tc>
          <w:tcPr>
            <w:tcW w:w="526" w:type="dxa"/>
            <w:tcBorders>
              <w:top w:val="double" w:sz="6" w:space="0" w:color="800000"/>
              <w:left w:val="nil"/>
              <w:bottom w:val="double" w:sz="6" w:space="0" w:color="800000"/>
              <w:right w:val="single" w:sz="4" w:space="0" w:color="FFFFFF"/>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ДМП</w:t>
            </w:r>
          </w:p>
        </w:tc>
        <w:tc>
          <w:tcPr>
            <w:tcW w:w="816" w:type="dxa"/>
            <w:tcBorders>
              <w:top w:val="double" w:sz="6" w:space="0" w:color="800000"/>
              <w:left w:val="nil"/>
              <w:bottom w:val="double" w:sz="6" w:space="0" w:color="800000"/>
              <w:right w:val="single" w:sz="4" w:space="0" w:color="FFFFFF"/>
            </w:tcBorders>
            <w:shd w:val="clear" w:color="auto" w:fill="800000"/>
            <w:vAlign w:val="center"/>
            <w:hideMark/>
          </w:tcPr>
          <w:p w:rsidR="006E5AE0" w:rsidRPr="006E5AE0" w:rsidRDefault="006E5AE0">
            <w:pPr>
              <w:jc w:val="center"/>
              <w:rPr>
                <w:b/>
                <w:bCs/>
                <w:color w:val="FFFFFF"/>
                <w:sz w:val="18"/>
                <w:szCs w:val="18"/>
              </w:rPr>
            </w:pPr>
            <w:r w:rsidRPr="006E5AE0">
              <w:rPr>
                <w:b/>
                <w:bCs/>
                <w:color w:val="FFFFFF"/>
                <w:sz w:val="18"/>
                <w:szCs w:val="18"/>
              </w:rPr>
              <w:t>ЕВРОП. СР/ВА</w:t>
            </w:r>
          </w:p>
        </w:tc>
        <w:tc>
          <w:tcPr>
            <w:tcW w:w="946" w:type="dxa"/>
            <w:tcBorders>
              <w:top w:val="double" w:sz="6" w:space="0" w:color="800000"/>
              <w:left w:val="nil"/>
              <w:bottom w:val="double" w:sz="6" w:space="0" w:color="800000"/>
              <w:right w:val="double" w:sz="6" w:space="0" w:color="800000"/>
            </w:tcBorders>
            <w:shd w:val="clear" w:color="auto" w:fill="800000"/>
            <w:vAlign w:val="center"/>
            <w:hideMark/>
          </w:tcPr>
          <w:p w:rsidR="006E5AE0" w:rsidRPr="006E5AE0" w:rsidRDefault="006E5AE0">
            <w:pPr>
              <w:jc w:val="center"/>
              <w:rPr>
                <w:b/>
                <w:bCs/>
                <w:color w:val="FFFFFF"/>
                <w:sz w:val="18"/>
                <w:szCs w:val="18"/>
              </w:rPr>
            </w:pPr>
            <w:r w:rsidRPr="006E5AE0">
              <w:rPr>
                <w:b/>
                <w:bCs/>
                <w:color w:val="FFFFFF"/>
                <w:sz w:val="18"/>
                <w:szCs w:val="18"/>
              </w:rPr>
              <w:t>ПУДООС</w:t>
            </w:r>
          </w:p>
        </w:tc>
      </w:tr>
      <w:tr w:rsidR="00616774" w:rsidTr="006E5AE0">
        <w:trPr>
          <w:trHeight w:val="270"/>
          <w:jc w:val="center"/>
        </w:trPr>
        <w:tc>
          <w:tcPr>
            <w:tcW w:w="6096" w:type="dxa"/>
            <w:tcBorders>
              <w:top w:val="nil"/>
              <w:left w:val="double" w:sz="6" w:space="0" w:color="800000"/>
              <w:bottom w:val="nil"/>
              <w:right w:val="single" w:sz="4" w:space="0" w:color="800000"/>
            </w:tcBorders>
            <w:shd w:val="clear" w:color="auto" w:fill="FFFFCC"/>
            <w:noWrap/>
            <w:vAlign w:val="bottom"/>
            <w:hideMark/>
          </w:tcPr>
          <w:p w:rsidR="00616774" w:rsidRDefault="00616774">
            <w:pPr>
              <w:rPr>
                <w:b/>
                <w:bCs/>
                <w:sz w:val="18"/>
                <w:szCs w:val="18"/>
              </w:rPr>
            </w:pPr>
            <w:r>
              <w:rPr>
                <w:b/>
                <w:bCs/>
                <w:sz w:val="18"/>
                <w:szCs w:val="18"/>
              </w:rPr>
              <w:t>VІ. ЖИЛИЩНО СТРОИТЕЛСТВО, БЛАГОУСТРОЙСТВО, КОМУНАЛНО СТОПАНСТВО И ОПАЗВАНЕ НА ОКОЛНАТА СРЕДА</w:t>
            </w:r>
          </w:p>
        </w:tc>
        <w:tc>
          <w:tcPr>
            <w:tcW w:w="992"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3 102,0</w:t>
            </w:r>
          </w:p>
        </w:tc>
        <w:tc>
          <w:tcPr>
            <w:tcW w:w="455"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72,6</w:t>
            </w:r>
          </w:p>
        </w:tc>
        <w:tc>
          <w:tcPr>
            <w:tcW w:w="1018"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865,4</w:t>
            </w:r>
          </w:p>
        </w:tc>
        <w:tc>
          <w:tcPr>
            <w:tcW w:w="526"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2,4</w:t>
            </w:r>
          </w:p>
        </w:tc>
        <w:tc>
          <w:tcPr>
            <w:tcW w:w="816"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2 144,4</w:t>
            </w:r>
          </w:p>
        </w:tc>
        <w:tc>
          <w:tcPr>
            <w:tcW w:w="946" w:type="dxa"/>
            <w:tcBorders>
              <w:top w:val="nil"/>
              <w:left w:val="nil"/>
              <w:bottom w:val="nil"/>
              <w:right w:val="double" w:sz="6"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17,2</w:t>
            </w:r>
          </w:p>
        </w:tc>
      </w:tr>
      <w:tr w:rsidR="00616774" w:rsidTr="006E5AE0">
        <w:trPr>
          <w:trHeight w:val="255"/>
          <w:jc w:val="center"/>
        </w:trPr>
        <w:tc>
          <w:tcPr>
            <w:tcW w:w="6096" w:type="dxa"/>
            <w:tcBorders>
              <w:top w:val="nil"/>
              <w:left w:val="double" w:sz="6" w:space="0" w:color="800000"/>
              <w:bottom w:val="nil"/>
              <w:right w:val="single" w:sz="4" w:space="0" w:color="800000"/>
            </w:tcBorders>
            <w:shd w:val="clear" w:color="auto" w:fill="FFFFCC"/>
            <w:noWrap/>
            <w:vAlign w:val="bottom"/>
            <w:hideMark/>
          </w:tcPr>
          <w:p w:rsidR="00616774" w:rsidRDefault="00616774">
            <w:pPr>
              <w:rPr>
                <w:b/>
                <w:bCs/>
                <w:sz w:val="18"/>
                <w:szCs w:val="18"/>
              </w:rPr>
            </w:pPr>
            <w:r>
              <w:rPr>
                <w:b/>
                <w:bCs/>
                <w:sz w:val="18"/>
                <w:szCs w:val="18"/>
              </w:rPr>
              <w:t xml:space="preserve">   А. ЖИЛИЩНО СТРОИТЕЛСТВО, БЛАГОУСТРОЙСТВО, КОМУНАЛНО СТОПАНСТВО</w:t>
            </w:r>
          </w:p>
        </w:tc>
        <w:tc>
          <w:tcPr>
            <w:tcW w:w="992"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1 491,9</w:t>
            </w:r>
          </w:p>
        </w:tc>
        <w:tc>
          <w:tcPr>
            <w:tcW w:w="455"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31,7</w:t>
            </w:r>
          </w:p>
        </w:tc>
        <w:tc>
          <w:tcPr>
            <w:tcW w:w="1018"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356,6</w:t>
            </w:r>
          </w:p>
        </w:tc>
        <w:tc>
          <w:tcPr>
            <w:tcW w:w="526"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0,5</w:t>
            </w:r>
          </w:p>
        </w:tc>
        <w:tc>
          <w:tcPr>
            <w:tcW w:w="816"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1 103,1</w:t>
            </w:r>
          </w:p>
        </w:tc>
        <w:tc>
          <w:tcPr>
            <w:tcW w:w="946" w:type="dxa"/>
            <w:tcBorders>
              <w:top w:val="nil"/>
              <w:left w:val="nil"/>
              <w:bottom w:val="nil"/>
              <w:right w:val="double" w:sz="6"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 </w:t>
            </w:r>
          </w:p>
        </w:tc>
      </w:tr>
      <w:tr w:rsidR="00616774" w:rsidTr="006E5AE0">
        <w:trPr>
          <w:trHeight w:val="270"/>
          <w:jc w:val="center"/>
        </w:trPr>
        <w:tc>
          <w:tcPr>
            <w:tcW w:w="6096" w:type="dxa"/>
            <w:tcBorders>
              <w:top w:val="nil"/>
              <w:left w:val="double" w:sz="6" w:space="0" w:color="800000"/>
              <w:bottom w:val="nil"/>
              <w:right w:val="single" w:sz="4" w:space="0" w:color="800000"/>
            </w:tcBorders>
            <w:shd w:val="clear" w:color="auto" w:fill="FFFFCC"/>
            <w:noWrap/>
            <w:vAlign w:val="bottom"/>
            <w:hideMark/>
          </w:tcPr>
          <w:p w:rsidR="00616774" w:rsidRDefault="00616774">
            <w:pPr>
              <w:rPr>
                <w:sz w:val="18"/>
                <w:szCs w:val="18"/>
              </w:rPr>
            </w:pPr>
            <w:r>
              <w:rPr>
                <w:sz w:val="18"/>
                <w:szCs w:val="18"/>
              </w:rPr>
              <w:t xml:space="preserve">   Текущи нелихвени разходи</w:t>
            </w:r>
          </w:p>
        </w:tc>
        <w:tc>
          <w:tcPr>
            <w:tcW w:w="992"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109,5</w:t>
            </w:r>
          </w:p>
        </w:tc>
        <w:tc>
          <w:tcPr>
            <w:tcW w:w="455"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24,9</w:t>
            </w:r>
          </w:p>
        </w:tc>
        <w:tc>
          <w:tcPr>
            <w:tcW w:w="1018"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59,5</w:t>
            </w:r>
          </w:p>
        </w:tc>
        <w:tc>
          <w:tcPr>
            <w:tcW w:w="526"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0,4</w:t>
            </w:r>
          </w:p>
        </w:tc>
        <w:tc>
          <w:tcPr>
            <w:tcW w:w="816"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24,8</w:t>
            </w:r>
          </w:p>
        </w:tc>
        <w:tc>
          <w:tcPr>
            <w:tcW w:w="946" w:type="dxa"/>
            <w:tcBorders>
              <w:top w:val="nil"/>
              <w:left w:val="nil"/>
              <w:bottom w:val="nil"/>
              <w:right w:val="double" w:sz="6" w:space="0" w:color="800000"/>
            </w:tcBorders>
            <w:shd w:val="clear" w:color="auto" w:fill="FFFFCC"/>
            <w:noWrap/>
            <w:vAlign w:val="bottom"/>
            <w:hideMark/>
          </w:tcPr>
          <w:p w:rsidR="00616774" w:rsidRDefault="00616774">
            <w:pPr>
              <w:jc w:val="right"/>
              <w:rPr>
                <w:sz w:val="18"/>
                <w:szCs w:val="18"/>
              </w:rPr>
            </w:pPr>
            <w:r>
              <w:rPr>
                <w:color w:val="000000"/>
                <w:sz w:val="18"/>
                <w:szCs w:val="18"/>
              </w:rPr>
              <w:t> </w:t>
            </w:r>
          </w:p>
        </w:tc>
      </w:tr>
      <w:tr w:rsidR="00616774" w:rsidTr="006E5AE0">
        <w:trPr>
          <w:trHeight w:val="270"/>
          <w:jc w:val="center"/>
        </w:trPr>
        <w:tc>
          <w:tcPr>
            <w:tcW w:w="6096" w:type="dxa"/>
            <w:tcBorders>
              <w:top w:val="nil"/>
              <w:left w:val="double" w:sz="6" w:space="0" w:color="800000"/>
              <w:bottom w:val="nil"/>
              <w:right w:val="single" w:sz="4" w:space="0" w:color="800000"/>
            </w:tcBorders>
            <w:shd w:val="clear" w:color="auto" w:fill="FFFFCC"/>
            <w:noWrap/>
            <w:vAlign w:val="bottom"/>
            <w:hideMark/>
          </w:tcPr>
          <w:p w:rsidR="00616774" w:rsidRDefault="00616774">
            <w:pPr>
              <w:rPr>
                <w:sz w:val="18"/>
                <w:szCs w:val="18"/>
              </w:rPr>
            </w:pPr>
            <w:r>
              <w:rPr>
                <w:sz w:val="18"/>
                <w:szCs w:val="18"/>
              </w:rPr>
              <w:t xml:space="preserve">   Капиталови разходи</w:t>
            </w:r>
          </w:p>
        </w:tc>
        <w:tc>
          <w:tcPr>
            <w:tcW w:w="992"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1 382,4</w:t>
            </w:r>
          </w:p>
        </w:tc>
        <w:tc>
          <w:tcPr>
            <w:tcW w:w="455"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6,9</w:t>
            </w:r>
          </w:p>
        </w:tc>
        <w:tc>
          <w:tcPr>
            <w:tcW w:w="1018"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297,1</w:t>
            </w:r>
          </w:p>
        </w:tc>
        <w:tc>
          <w:tcPr>
            <w:tcW w:w="526"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0,1</w:t>
            </w:r>
          </w:p>
        </w:tc>
        <w:tc>
          <w:tcPr>
            <w:tcW w:w="816"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1 078,3</w:t>
            </w:r>
          </w:p>
        </w:tc>
        <w:tc>
          <w:tcPr>
            <w:tcW w:w="946" w:type="dxa"/>
            <w:tcBorders>
              <w:top w:val="nil"/>
              <w:left w:val="nil"/>
              <w:bottom w:val="nil"/>
              <w:right w:val="double" w:sz="6" w:space="0" w:color="800000"/>
            </w:tcBorders>
            <w:shd w:val="clear" w:color="auto" w:fill="FFFFCC"/>
            <w:noWrap/>
            <w:vAlign w:val="bottom"/>
            <w:hideMark/>
          </w:tcPr>
          <w:p w:rsidR="00616774" w:rsidRDefault="00616774">
            <w:pPr>
              <w:jc w:val="right"/>
              <w:rPr>
                <w:sz w:val="18"/>
                <w:szCs w:val="18"/>
              </w:rPr>
            </w:pPr>
            <w:r>
              <w:rPr>
                <w:color w:val="000000"/>
                <w:sz w:val="18"/>
                <w:szCs w:val="18"/>
              </w:rPr>
              <w:t> </w:t>
            </w:r>
          </w:p>
        </w:tc>
      </w:tr>
      <w:tr w:rsidR="00616774" w:rsidTr="006E5AE0">
        <w:trPr>
          <w:trHeight w:val="255"/>
          <w:jc w:val="center"/>
        </w:trPr>
        <w:tc>
          <w:tcPr>
            <w:tcW w:w="6096" w:type="dxa"/>
            <w:tcBorders>
              <w:top w:val="nil"/>
              <w:left w:val="double" w:sz="6" w:space="0" w:color="800000"/>
              <w:bottom w:val="nil"/>
              <w:right w:val="single" w:sz="4" w:space="0" w:color="800000"/>
            </w:tcBorders>
            <w:shd w:val="clear" w:color="auto" w:fill="FFFFCC"/>
            <w:noWrap/>
            <w:vAlign w:val="bottom"/>
            <w:hideMark/>
          </w:tcPr>
          <w:p w:rsidR="00616774" w:rsidRDefault="00616774">
            <w:pPr>
              <w:rPr>
                <w:b/>
                <w:bCs/>
                <w:sz w:val="18"/>
                <w:szCs w:val="18"/>
              </w:rPr>
            </w:pPr>
            <w:r>
              <w:rPr>
                <w:b/>
                <w:bCs/>
                <w:sz w:val="18"/>
                <w:szCs w:val="18"/>
              </w:rPr>
              <w:t xml:space="preserve">  Б. ОПАЗВАНЕ НА ОКОЛНАТА СРЕДА</w:t>
            </w:r>
          </w:p>
        </w:tc>
        <w:tc>
          <w:tcPr>
            <w:tcW w:w="992"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1 610,0</w:t>
            </w:r>
          </w:p>
        </w:tc>
        <w:tc>
          <w:tcPr>
            <w:tcW w:w="455"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40,9</w:t>
            </w:r>
          </w:p>
        </w:tc>
        <w:tc>
          <w:tcPr>
            <w:tcW w:w="1018"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508,8</w:t>
            </w:r>
          </w:p>
        </w:tc>
        <w:tc>
          <w:tcPr>
            <w:tcW w:w="526"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1,9</w:t>
            </w:r>
          </w:p>
        </w:tc>
        <w:tc>
          <w:tcPr>
            <w:tcW w:w="816" w:type="dxa"/>
            <w:tcBorders>
              <w:top w:val="nil"/>
              <w:left w:val="nil"/>
              <w:bottom w:val="nil"/>
              <w:right w:val="single" w:sz="4"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1 041,3</w:t>
            </w:r>
          </w:p>
        </w:tc>
        <w:tc>
          <w:tcPr>
            <w:tcW w:w="946" w:type="dxa"/>
            <w:tcBorders>
              <w:top w:val="nil"/>
              <w:left w:val="nil"/>
              <w:bottom w:val="nil"/>
              <w:right w:val="double" w:sz="6" w:space="0" w:color="800000"/>
            </w:tcBorders>
            <w:shd w:val="clear" w:color="auto" w:fill="FFFFCC"/>
            <w:noWrap/>
            <w:vAlign w:val="bottom"/>
            <w:hideMark/>
          </w:tcPr>
          <w:p w:rsidR="00616774" w:rsidRDefault="00616774">
            <w:pPr>
              <w:jc w:val="right"/>
              <w:rPr>
                <w:b/>
                <w:bCs/>
                <w:sz w:val="18"/>
                <w:szCs w:val="18"/>
              </w:rPr>
            </w:pPr>
            <w:r>
              <w:rPr>
                <w:b/>
                <w:bCs/>
                <w:color w:val="000000"/>
                <w:sz w:val="18"/>
                <w:szCs w:val="18"/>
              </w:rPr>
              <w:t>17,2</w:t>
            </w:r>
          </w:p>
        </w:tc>
      </w:tr>
      <w:tr w:rsidR="00616774" w:rsidTr="006E5AE0">
        <w:trPr>
          <w:trHeight w:val="255"/>
          <w:jc w:val="center"/>
        </w:trPr>
        <w:tc>
          <w:tcPr>
            <w:tcW w:w="6096" w:type="dxa"/>
            <w:tcBorders>
              <w:top w:val="nil"/>
              <w:left w:val="double" w:sz="6" w:space="0" w:color="800000"/>
              <w:bottom w:val="nil"/>
              <w:right w:val="single" w:sz="4" w:space="0" w:color="800000"/>
            </w:tcBorders>
            <w:shd w:val="clear" w:color="auto" w:fill="FFFFCC"/>
            <w:noWrap/>
            <w:vAlign w:val="bottom"/>
            <w:hideMark/>
          </w:tcPr>
          <w:p w:rsidR="00616774" w:rsidRDefault="00616774">
            <w:pPr>
              <w:rPr>
                <w:sz w:val="18"/>
                <w:szCs w:val="18"/>
              </w:rPr>
            </w:pPr>
            <w:r>
              <w:rPr>
                <w:sz w:val="18"/>
                <w:szCs w:val="18"/>
              </w:rPr>
              <w:t xml:space="preserve">   Текущи нелихвени разходи</w:t>
            </w:r>
          </w:p>
        </w:tc>
        <w:tc>
          <w:tcPr>
            <w:tcW w:w="992"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519,5</w:t>
            </w:r>
          </w:p>
        </w:tc>
        <w:tc>
          <w:tcPr>
            <w:tcW w:w="455"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29,2</w:t>
            </w:r>
          </w:p>
        </w:tc>
        <w:tc>
          <w:tcPr>
            <w:tcW w:w="1018"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438,3</w:t>
            </w:r>
          </w:p>
        </w:tc>
        <w:tc>
          <w:tcPr>
            <w:tcW w:w="526"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1,8</w:t>
            </w:r>
          </w:p>
        </w:tc>
        <w:tc>
          <w:tcPr>
            <w:tcW w:w="816" w:type="dxa"/>
            <w:tcBorders>
              <w:top w:val="nil"/>
              <w:left w:val="nil"/>
              <w:bottom w:val="nil"/>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46,0</w:t>
            </w:r>
          </w:p>
        </w:tc>
        <w:tc>
          <w:tcPr>
            <w:tcW w:w="946" w:type="dxa"/>
            <w:tcBorders>
              <w:top w:val="nil"/>
              <w:left w:val="nil"/>
              <w:bottom w:val="nil"/>
              <w:right w:val="double" w:sz="6" w:space="0" w:color="800000"/>
            </w:tcBorders>
            <w:shd w:val="clear" w:color="auto" w:fill="FFFFCC"/>
            <w:noWrap/>
            <w:vAlign w:val="bottom"/>
            <w:hideMark/>
          </w:tcPr>
          <w:p w:rsidR="00616774" w:rsidRDefault="00616774">
            <w:pPr>
              <w:jc w:val="right"/>
              <w:rPr>
                <w:sz w:val="18"/>
                <w:szCs w:val="18"/>
              </w:rPr>
            </w:pPr>
            <w:r>
              <w:rPr>
                <w:color w:val="000000"/>
                <w:sz w:val="18"/>
                <w:szCs w:val="18"/>
              </w:rPr>
              <w:t>4,2</w:t>
            </w:r>
          </w:p>
        </w:tc>
      </w:tr>
      <w:tr w:rsidR="00616774" w:rsidTr="006E5AE0">
        <w:trPr>
          <w:trHeight w:val="270"/>
          <w:jc w:val="center"/>
        </w:trPr>
        <w:tc>
          <w:tcPr>
            <w:tcW w:w="6096" w:type="dxa"/>
            <w:tcBorders>
              <w:top w:val="nil"/>
              <w:left w:val="double" w:sz="6" w:space="0" w:color="800000"/>
              <w:bottom w:val="double" w:sz="6" w:space="0" w:color="800000"/>
              <w:right w:val="single" w:sz="4" w:space="0" w:color="800000"/>
            </w:tcBorders>
            <w:shd w:val="clear" w:color="auto" w:fill="FFFFCC"/>
            <w:noWrap/>
            <w:vAlign w:val="bottom"/>
            <w:hideMark/>
          </w:tcPr>
          <w:p w:rsidR="00616774" w:rsidRDefault="00616774">
            <w:pPr>
              <w:rPr>
                <w:sz w:val="18"/>
                <w:szCs w:val="18"/>
              </w:rPr>
            </w:pPr>
            <w:r>
              <w:rPr>
                <w:sz w:val="18"/>
                <w:szCs w:val="18"/>
              </w:rPr>
              <w:t xml:space="preserve">   Капиталови разходи</w:t>
            </w:r>
          </w:p>
        </w:tc>
        <w:tc>
          <w:tcPr>
            <w:tcW w:w="992" w:type="dxa"/>
            <w:tcBorders>
              <w:top w:val="nil"/>
              <w:left w:val="nil"/>
              <w:bottom w:val="double" w:sz="6" w:space="0" w:color="800000"/>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1 090,5</w:t>
            </w:r>
          </w:p>
        </w:tc>
        <w:tc>
          <w:tcPr>
            <w:tcW w:w="455" w:type="dxa"/>
            <w:tcBorders>
              <w:top w:val="nil"/>
              <w:left w:val="nil"/>
              <w:bottom w:val="double" w:sz="6" w:space="0" w:color="800000"/>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11,7</w:t>
            </w:r>
          </w:p>
        </w:tc>
        <w:tc>
          <w:tcPr>
            <w:tcW w:w="1018" w:type="dxa"/>
            <w:tcBorders>
              <w:top w:val="nil"/>
              <w:left w:val="nil"/>
              <w:bottom w:val="double" w:sz="6" w:space="0" w:color="800000"/>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70,5</w:t>
            </w:r>
          </w:p>
        </w:tc>
        <w:tc>
          <w:tcPr>
            <w:tcW w:w="526" w:type="dxa"/>
            <w:tcBorders>
              <w:top w:val="nil"/>
              <w:left w:val="nil"/>
              <w:bottom w:val="double" w:sz="6" w:space="0" w:color="800000"/>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0,1</w:t>
            </w:r>
          </w:p>
        </w:tc>
        <w:tc>
          <w:tcPr>
            <w:tcW w:w="816" w:type="dxa"/>
            <w:tcBorders>
              <w:top w:val="nil"/>
              <w:left w:val="nil"/>
              <w:bottom w:val="double" w:sz="6" w:space="0" w:color="800000"/>
              <w:right w:val="single" w:sz="4" w:space="0" w:color="800000"/>
            </w:tcBorders>
            <w:shd w:val="clear" w:color="auto" w:fill="FFFFCC"/>
            <w:noWrap/>
            <w:vAlign w:val="bottom"/>
            <w:hideMark/>
          </w:tcPr>
          <w:p w:rsidR="00616774" w:rsidRDefault="00616774">
            <w:pPr>
              <w:jc w:val="right"/>
              <w:rPr>
                <w:sz w:val="18"/>
                <w:szCs w:val="18"/>
              </w:rPr>
            </w:pPr>
            <w:r>
              <w:rPr>
                <w:color w:val="000000"/>
                <w:sz w:val="18"/>
                <w:szCs w:val="18"/>
              </w:rPr>
              <w:t>995,3</w:t>
            </w:r>
          </w:p>
        </w:tc>
        <w:tc>
          <w:tcPr>
            <w:tcW w:w="946" w:type="dxa"/>
            <w:tcBorders>
              <w:top w:val="nil"/>
              <w:left w:val="nil"/>
              <w:bottom w:val="double" w:sz="6" w:space="0" w:color="800000"/>
              <w:right w:val="double" w:sz="6" w:space="0" w:color="800000"/>
            </w:tcBorders>
            <w:shd w:val="clear" w:color="auto" w:fill="FFFFCC"/>
            <w:noWrap/>
            <w:vAlign w:val="bottom"/>
            <w:hideMark/>
          </w:tcPr>
          <w:p w:rsidR="00616774" w:rsidRDefault="00616774">
            <w:pPr>
              <w:jc w:val="right"/>
              <w:rPr>
                <w:sz w:val="18"/>
                <w:szCs w:val="18"/>
              </w:rPr>
            </w:pPr>
            <w:r>
              <w:rPr>
                <w:color w:val="000000"/>
                <w:sz w:val="18"/>
                <w:szCs w:val="18"/>
              </w:rPr>
              <w:t>12,9</w:t>
            </w:r>
          </w:p>
        </w:tc>
      </w:tr>
    </w:tbl>
    <w:p w:rsidR="006E5AE0" w:rsidRDefault="006E5AE0" w:rsidP="006E5AE0">
      <w:pPr>
        <w:ind w:hanging="142"/>
        <w:rPr>
          <w:b/>
          <w:color w:val="0070C0"/>
          <w:sz w:val="18"/>
          <w:szCs w:val="18"/>
        </w:rPr>
      </w:pPr>
    </w:p>
    <w:p w:rsidR="006E5AE0" w:rsidRDefault="006E5AE0" w:rsidP="006E5AE0">
      <w:pPr>
        <w:tabs>
          <w:tab w:val="left" w:pos="1320"/>
        </w:tabs>
        <w:rPr>
          <w:color w:val="0070C0"/>
          <w:sz w:val="12"/>
          <w:szCs w:val="12"/>
        </w:rPr>
      </w:pPr>
      <w:r>
        <w:rPr>
          <w:color w:val="0070C0"/>
        </w:rPr>
        <w:tab/>
      </w:r>
    </w:p>
    <w:p w:rsidR="006E5AE0" w:rsidRDefault="006E5AE0" w:rsidP="006E5AE0">
      <w:pPr>
        <w:ind w:firstLine="360"/>
        <w:jc w:val="center"/>
        <w:rPr>
          <w:b/>
          <w:color w:val="0070C0"/>
          <w:lang w:val="en-US"/>
        </w:rPr>
      </w:pPr>
    </w:p>
    <w:p w:rsidR="006E5AE0" w:rsidRDefault="006E5AE0" w:rsidP="006E5AE0">
      <w:pPr>
        <w:ind w:firstLine="360"/>
        <w:jc w:val="center"/>
        <w:rPr>
          <w:b/>
          <w:color w:val="0070C0"/>
          <w:lang w:val="en-US"/>
        </w:rPr>
      </w:pPr>
    </w:p>
    <w:p w:rsidR="006E5AE0" w:rsidRDefault="006E5AE0" w:rsidP="006E5AE0">
      <w:pPr>
        <w:ind w:firstLine="360"/>
        <w:jc w:val="center"/>
        <w:rPr>
          <w:b/>
        </w:rPr>
      </w:pPr>
      <w:r>
        <w:rPr>
          <w:b/>
        </w:rPr>
        <w:t xml:space="preserve">Група А: </w:t>
      </w:r>
      <w:r>
        <w:rPr>
          <w:b/>
          <w:i/>
        </w:rPr>
        <w:t>„Жилищно строителство, благоустройство, комунално стопанство”</w:t>
      </w:r>
    </w:p>
    <w:p w:rsidR="006E5AE0" w:rsidRDefault="006E5AE0" w:rsidP="006E5AE0">
      <w:pPr>
        <w:ind w:firstLine="540"/>
        <w:jc w:val="both"/>
        <w:rPr>
          <w:color w:val="0070C0"/>
          <w:sz w:val="12"/>
          <w:szCs w:val="12"/>
        </w:rPr>
      </w:pPr>
    </w:p>
    <w:p w:rsidR="006E5AE0" w:rsidRDefault="006E5AE0" w:rsidP="006E5AE0">
      <w:pPr>
        <w:ind w:firstLine="540"/>
        <w:jc w:val="both"/>
      </w:pPr>
      <w:r>
        <w:t>Със ЗДБРБ за 201</w:t>
      </w:r>
      <w:r>
        <w:rPr>
          <w:lang w:val="en-US"/>
        </w:rPr>
        <w:t>5</w:t>
      </w:r>
      <w:r>
        <w:t xml:space="preserve"> г. по група „Жилищно строителство, благоустройство, комунално стопанство” </w:t>
      </w:r>
      <w:r>
        <w:rPr>
          <w:b/>
        </w:rPr>
        <w:t>за министерствата и ведомствата</w:t>
      </w:r>
      <w:r>
        <w:t xml:space="preserve"> са утвърдени средства в размер на </w:t>
      </w:r>
      <w:r>
        <w:rPr>
          <w:lang w:val="en-US"/>
        </w:rPr>
        <w:t>39</w:t>
      </w:r>
      <w:r>
        <w:t>,</w:t>
      </w:r>
      <w:r>
        <w:rPr>
          <w:lang w:val="en-US"/>
        </w:rPr>
        <w:t>6</w:t>
      </w:r>
      <w:r>
        <w:t xml:space="preserve"> млн. лв.</w:t>
      </w:r>
      <w:r>
        <w:rPr>
          <w:lang w:val="en-US"/>
        </w:rPr>
        <w:t xml:space="preserve"> </w:t>
      </w:r>
      <w:r>
        <w:t>Одобрените средства са за реализиране на следните приоритетни политики на правителството, изпълнявани чрез МРРБ:</w:t>
      </w:r>
    </w:p>
    <w:p w:rsidR="006E5AE0" w:rsidRDefault="006E5AE0" w:rsidP="00781B85">
      <w:pPr>
        <w:numPr>
          <w:ilvl w:val="0"/>
          <w:numId w:val="37"/>
        </w:numPr>
        <w:tabs>
          <w:tab w:val="left" w:pos="1260"/>
        </w:tabs>
        <w:ind w:left="0" w:firstLine="900"/>
        <w:jc w:val="both"/>
      </w:pPr>
      <w:r>
        <w:t>Развитие на регионите в страната и намаляване на различията, ефективно и ефикасно използване на публичните финанси за подобряване качеството на жизнената среда и създаване на работни места;</w:t>
      </w:r>
    </w:p>
    <w:p w:rsidR="006E5AE0" w:rsidRDefault="006E5AE0" w:rsidP="00781B85">
      <w:pPr>
        <w:numPr>
          <w:ilvl w:val="0"/>
          <w:numId w:val="37"/>
        </w:numPr>
        <w:tabs>
          <w:tab w:val="left" w:pos="1260"/>
        </w:tabs>
        <w:ind w:left="0" w:firstLine="900"/>
        <w:jc w:val="both"/>
      </w:pPr>
      <w:r>
        <w:t>Подобряване на инфраструктурната свързаност на регионите – изграждане и модернизиране на пътната и ВиК инфраструктура;</w:t>
      </w:r>
    </w:p>
    <w:p w:rsidR="006E5AE0" w:rsidRDefault="006E5AE0" w:rsidP="00781B85">
      <w:pPr>
        <w:numPr>
          <w:ilvl w:val="0"/>
          <w:numId w:val="37"/>
        </w:numPr>
        <w:tabs>
          <w:tab w:val="left" w:pos="1260"/>
        </w:tabs>
        <w:ind w:left="0" w:firstLine="900"/>
        <w:jc w:val="both"/>
      </w:pPr>
      <w:r>
        <w:t>Подобряване на инвестиционния процес, чрез развитие на устройственото планиране, усъвършенстване на информационните системи на кадастъра и имотния регистър, стимулиране на публично-частното партньорство, подобряване качеството на превантивния и текущия контрол и прилагане на европейските стандарти.</w:t>
      </w:r>
    </w:p>
    <w:p w:rsidR="006E5AE0" w:rsidRDefault="006E5AE0" w:rsidP="006E5AE0">
      <w:pPr>
        <w:tabs>
          <w:tab w:val="left" w:pos="1260"/>
        </w:tabs>
        <w:ind w:left="900"/>
        <w:jc w:val="both"/>
      </w:pPr>
    </w:p>
    <w:p w:rsidR="006E5AE0" w:rsidRDefault="006E5AE0" w:rsidP="006E5AE0">
      <w:pPr>
        <w:spacing w:after="120"/>
        <w:ind w:firstLine="567"/>
        <w:jc w:val="both"/>
        <w:rPr>
          <w:color w:val="0070C0"/>
        </w:rPr>
      </w:pPr>
      <w:r>
        <w:rPr>
          <w:iCs/>
          <w:szCs w:val="20"/>
        </w:rPr>
        <w:lastRenderedPageBreak/>
        <w:t xml:space="preserve">Към 31.12.2015 г. в </w:t>
      </w:r>
      <w:r>
        <w:t xml:space="preserve">група „Жилищно строителство, благоустройство, комунално стопанство” </w:t>
      </w:r>
      <w:r>
        <w:rPr>
          <w:iCs/>
          <w:szCs w:val="20"/>
        </w:rPr>
        <w:t xml:space="preserve">по бюджета на </w:t>
      </w:r>
      <w:r>
        <w:rPr>
          <w:b/>
          <w:iCs/>
          <w:szCs w:val="20"/>
        </w:rPr>
        <w:t>Министерство на регионалното развитие и благоустройството</w:t>
      </w:r>
      <w:r>
        <w:rPr>
          <w:iCs/>
          <w:szCs w:val="20"/>
        </w:rPr>
        <w:t xml:space="preserve"> са отчетени общо разходи в размер на 31,7 млн. лв., което представлява 97,1 % от уточнения план на средствата в това функционално направление по бюджета на МРРБ. С отчетените разходи по бюджета на МРРБ през 2015 г. са финансирани дейности по изграждането на приоритетни водоснабдителни обекти и управлението на ВиК инфраструктурата,</w:t>
      </w:r>
      <w:r>
        <w:rPr>
          <w:iCs/>
          <w:color w:val="0070C0"/>
          <w:szCs w:val="20"/>
        </w:rPr>
        <w:t xml:space="preserve"> </w:t>
      </w:r>
      <w:r>
        <w:rPr>
          <w:iCs/>
          <w:szCs w:val="20"/>
        </w:rPr>
        <w:t>дейности по създаване на условия за подобряване състоянието на съществуващия сграден фонд и проекти на техническата инфраструктура.</w:t>
      </w:r>
      <w:r>
        <w:rPr>
          <w:iCs/>
          <w:color w:val="0070C0"/>
          <w:szCs w:val="20"/>
        </w:rPr>
        <w:t xml:space="preserve"> </w:t>
      </w:r>
      <w:r>
        <w:rPr>
          <w:iCs/>
          <w:szCs w:val="20"/>
        </w:rPr>
        <w:t>От отчетените разходи по бюджета на МРРБ 3,2 млн. лв. са разходи по държавно инвестиционен заем изпълняван в тази група – проект „Развитие на общинската инфраструктура”.</w:t>
      </w:r>
      <w:r>
        <w:rPr>
          <w:iCs/>
          <w:color w:val="0070C0"/>
          <w:szCs w:val="20"/>
        </w:rPr>
        <w:t xml:space="preserve"> </w:t>
      </w:r>
    </w:p>
    <w:p w:rsidR="007906A5" w:rsidRDefault="006E5AE0" w:rsidP="00EC33FC">
      <w:pPr>
        <w:spacing w:before="120"/>
        <w:ind w:firstLine="539"/>
        <w:jc w:val="both"/>
        <w:rPr>
          <w:iCs/>
        </w:rPr>
      </w:pPr>
      <w:r>
        <w:rPr>
          <w:iCs/>
        </w:rPr>
        <w:t xml:space="preserve">По </w:t>
      </w:r>
      <w:r>
        <w:rPr>
          <w:b/>
          <w:iCs/>
        </w:rPr>
        <w:t>бюджетите на общините</w:t>
      </w:r>
      <w:r>
        <w:rPr>
          <w:iCs/>
        </w:rPr>
        <w:t xml:space="preserve"> разходите, отчетени в група „Жилищно строителство, благоустройство, комунално стопанство”, са в размер на </w:t>
      </w:r>
      <w:r w:rsidR="00810EF0">
        <w:rPr>
          <w:iCs/>
        </w:rPr>
        <w:t>356,6</w:t>
      </w:r>
      <w:r>
        <w:rPr>
          <w:iCs/>
        </w:rPr>
        <w:t xml:space="preserve"> млн. лв. Отчетените текущи разходи за група „Жилищно строителство, благоустройство, комунално стопанство” са в размер на </w:t>
      </w:r>
      <w:r w:rsidR="00810EF0">
        <w:rPr>
          <w:iCs/>
        </w:rPr>
        <w:t>59,5</w:t>
      </w:r>
      <w:r>
        <w:rPr>
          <w:iCs/>
        </w:rPr>
        <w:t xml:space="preserve"> млн. лв., което е </w:t>
      </w:r>
      <w:r w:rsidR="00810EF0">
        <w:rPr>
          <w:iCs/>
        </w:rPr>
        <w:t>23,8</w:t>
      </w:r>
      <w:r>
        <w:rPr>
          <w:iCs/>
        </w:rPr>
        <w:t xml:space="preserve"> % спрямо разчетените със закона (250,0 млн. лв.</w:t>
      </w:r>
      <w:r>
        <w:rPr>
          <w:iCs/>
          <w:lang w:val="ru-RU"/>
        </w:rPr>
        <w:t>)</w:t>
      </w:r>
      <w:r>
        <w:rPr>
          <w:iCs/>
        </w:rPr>
        <w:t xml:space="preserve"> и </w:t>
      </w:r>
      <w:r w:rsidR="00810EF0">
        <w:rPr>
          <w:iCs/>
        </w:rPr>
        <w:t>27,6</w:t>
      </w:r>
      <w:r>
        <w:rPr>
          <w:iCs/>
        </w:rPr>
        <w:t xml:space="preserve"> % спрямо отчетените през 2014 г. Н</w:t>
      </w:r>
      <w:r w:rsidR="007906A5">
        <w:rPr>
          <w:iCs/>
        </w:rPr>
        <w:t xml:space="preserve">иският размер </w:t>
      </w:r>
      <w:r>
        <w:rPr>
          <w:iCs/>
        </w:rPr>
        <w:t>на отчетените текущи разходи спрямо планираните по закон е резултат от отчетени</w:t>
      </w:r>
      <w:r w:rsidR="007906A5">
        <w:rPr>
          <w:iCs/>
        </w:rPr>
        <w:t>я значителен възстановен данъчен кредит на ДДС по европейски проекти в следствие на ускореното усвояване на средствата от ЕС.</w:t>
      </w:r>
      <w:r>
        <w:rPr>
          <w:iCs/>
        </w:rPr>
        <w:t xml:space="preserve"> </w:t>
      </w:r>
    </w:p>
    <w:p w:rsidR="006E5AE0" w:rsidRDefault="006E5AE0" w:rsidP="00EC33FC">
      <w:pPr>
        <w:spacing w:before="120"/>
        <w:ind w:firstLine="539"/>
        <w:jc w:val="both"/>
        <w:rPr>
          <w:iCs/>
        </w:rPr>
      </w:pPr>
      <w:r>
        <w:rPr>
          <w:iCs/>
        </w:rPr>
        <w:t>Размерът на отчетените капиталови разходи в тази група по бюджетите на общините е 297,</w:t>
      </w:r>
      <w:r w:rsidR="005C19A1">
        <w:rPr>
          <w:iCs/>
        </w:rPr>
        <w:t xml:space="preserve">1 </w:t>
      </w:r>
      <w:r>
        <w:rPr>
          <w:iCs/>
        </w:rPr>
        <w:t>млн. лв.</w:t>
      </w:r>
      <w:r w:rsidR="005C19A1">
        <w:rPr>
          <w:iCs/>
        </w:rPr>
        <w:t>,</w:t>
      </w:r>
      <w:r>
        <w:rPr>
          <w:iCs/>
        </w:rPr>
        <w:t xml:space="preserve"> със 73,</w:t>
      </w:r>
      <w:r w:rsidR="005C19A1">
        <w:rPr>
          <w:iCs/>
        </w:rPr>
        <w:t xml:space="preserve">4 </w:t>
      </w:r>
      <w:r>
        <w:rPr>
          <w:iCs/>
        </w:rPr>
        <w:t xml:space="preserve">млн. лв. по-малко от отчетените през 2014 г., предвид </w:t>
      </w:r>
      <w:r w:rsidRPr="009002A0">
        <w:rPr>
          <w:iCs/>
        </w:rPr>
        <w:t>предоставените</w:t>
      </w:r>
      <w:r w:rsidRPr="009002A0">
        <w:t xml:space="preserve"> </w:t>
      </w:r>
      <w:r w:rsidRPr="009002A0">
        <w:rPr>
          <w:iCs/>
        </w:rPr>
        <w:t xml:space="preserve">през 2014 г. средства по ПИП. В общия размер на капиталовите </w:t>
      </w:r>
      <w:r w:rsidRPr="003658A6">
        <w:rPr>
          <w:iCs/>
        </w:rPr>
        <w:t xml:space="preserve">разходи с най-голям относителен дял - </w:t>
      </w:r>
      <w:r w:rsidR="009002A0" w:rsidRPr="009002A0">
        <w:rPr>
          <w:iCs/>
        </w:rPr>
        <w:t>175,9</w:t>
      </w:r>
      <w:r w:rsidRPr="009002A0">
        <w:rPr>
          <w:iCs/>
        </w:rPr>
        <w:t xml:space="preserve"> млн. лв. или 59,2 % са разходите за основен ремонт, следвани от разходите за придобиване на дълготрайни материални активи – 115,0 млн. лв. (38,7 %). В групата се отчитат разходите, определени по решение на общинския</w:t>
      </w:r>
      <w:r>
        <w:rPr>
          <w:iCs/>
        </w:rPr>
        <w:t xml:space="preserve"> съвет, свързани с поддържането на уличната мрежа и осветление, водоснабдяване, канализация и други публични услуги, предоставяни на населението. </w:t>
      </w:r>
    </w:p>
    <w:p w:rsidR="006E5AE0" w:rsidRDefault="006E5AE0" w:rsidP="006E5AE0">
      <w:pPr>
        <w:pStyle w:val="BodyTextIndent2"/>
        <w:spacing w:line="240" w:lineRule="auto"/>
        <w:ind w:left="0" w:firstLine="539"/>
        <w:jc w:val="both"/>
      </w:pPr>
      <w:r>
        <w:rPr>
          <w:b/>
        </w:rPr>
        <w:t>Европейски средства</w:t>
      </w:r>
      <w:r>
        <w:t xml:space="preserve"> – през 2015 г. за група „</w:t>
      </w:r>
      <w:r>
        <w:rPr>
          <w:iCs/>
        </w:rPr>
        <w:t>Жилищно строителство, благоустройство, комунално стопанство</w:t>
      </w:r>
      <w:r>
        <w:t>” изразходваните средства са 1 </w:t>
      </w:r>
      <w:r w:rsidR="00A66BF4">
        <w:t>103,1</w:t>
      </w:r>
      <w:r>
        <w:t xml:space="preserve"> млн. лв., от които:</w:t>
      </w:r>
    </w:p>
    <w:p w:rsidR="006E5AE0" w:rsidRDefault="006E5AE0" w:rsidP="006E5AE0">
      <w:pPr>
        <w:pStyle w:val="BodyTextIndent2"/>
        <w:spacing w:line="240" w:lineRule="auto"/>
        <w:ind w:left="0" w:firstLine="539"/>
        <w:jc w:val="both"/>
      </w:pPr>
      <w:r>
        <w:rPr>
          <w:b/>
          <w:i/>
        </w:rPr>
        <w:t xml:space="preserve">Оперативна програма „Околна среда” </w:t>
      </w:r>
      <w:r>
        <w:t>(</w:t>
      </w:r>
      <w:r w:rsidR="00325BCE">
        <w:t>498,9</w:t>
      </w:r>
      <w:r>
        <w:t xml:space="preserve"> млн. лв. за групата). Програмата, основни бенефициенти по която са общините,  финансира дейности свързани с опазване на водните ресурси, развитие на екологичната инфраструктура, подобряване и развитие на инфраструктурата за питейни и отпадъчни води, подобряване управлението на отпадъците. </w:t>
      </w:r>
    </w:p>
    <w:p w:rsidR="006E5AE0" w:rsidRDefault="006E5AE0" w:rsidP="006E5AE0">
      <w:pPr>
        <w:autoSpaceDE w:val="0"/>
        <w:autoSpaceDN w:val="0"/>
        <w:adjustRightInd w:val="0"/>
        <w:spacing w:after="120"/>
        <w:ind w:firstLine="539"/>
        <w:jc w:val="both"/>
        <w:rPr>
          <w:rFonts w:eastAsia="ArialNarrow"/>
        </w:rPr>
      </w:pPr>
      <w:r>
        <w:rPr>
          <w:b/>
          <w:i/>
        </w:rPr>
        <w:t xml:space="preserve">Оперативна програма „Регионално развитие” </w:t>
      </w:r>
      <w:r>
        <w:t>(23</w:t>
      </w:r>
      <w:r w:rsidR="005F6D6B">
        <w:t>2</w:t>
      </w:r>
      <w:r>
        <w:t>,</w:t>
      </w:r>
      <w:r w:rsidR="005F6D6B">
        <w:t>3</w:t>
      </w:r>
      <w:r>
        <w:t xml:space="preserve"> млн. лв.) - в това функционално направление, целта на оперативната програма е повишаване на конкурентоспособността и привлекателността на регионите и общините посредством подобряване на жилищната среда на градските райони и достъпността на селските райони. Една от основните цели на програмата е </w:t>
      </w:r>
      <w:r>
        <w:rPr>
          <w:rFonts w:eastAsia="ArialNarrow"/>
        </w:rPr>
        <w:t xml:space="preserve">да се осигурят по-добри условия на живот за хората и да се допринесе за социалната интеграция чрез повишаване на жизнения стандарт и общо подобряване на качеството на живот на хора в неравностойно и уязвимо положение. В частта на </w:t>
      </w:r>
      <w:r>
        <w:t>жилищното строителство, благоустройството и комунално стопанство</w:t>
      </w:r>
      <w:r>
        <w:rPr>
          <w:rFonts w:eastAsia="ArialNarrow"/>
        </w:rPr>
        <w:t xml:space="preserve"> оперативната програма цели освен повишаване на качеството на живот и поддържане на съответните екологични условия, включително предотвратяване на</w:t>
      </w:r>
      <w:r>
        <w:rPr>
          <w:rFonts w:eastAsia="ArialNarrow"/>
          <w:color w:val="0070C0"/>
        </w:rPr>
        <w:t xml:space="preserve"> </w:t>
      </w:r>
      <w:r>
        <w:rPr>
          <w:rFonts w:eastAsia="ArialNarrow"/>
        </w:rPr>
        <w:t>рискове, както и подобряване на физическата среда на градските центрове и агломерации като част от по-широкообхватната стратегия за социално и екологично възраждане.</w:t>
      </w:r>
    </w:p>
    <w:p w:rsidR="006E5AE0" w:rsidRPr="004126A8" w:rsidRDefault="006E5AE0" w:rsidP="004126A8">
      <w:pPr>
        <w:autoSpaceDE w:val="0"/>
        <w:autoSpaceDN w:val="0"/>
        <w:adjustRightInd w:val="0"/>
        <w:spacing w:after="120"/>
        <w:ind w:firstLine="539"/>
        <w:jc w:val="both"/>
        <w:rPr>
          <w:lang w:val="en-US"/>
        </w:rPr>
      </w:pPr>
      <w:r>
        <w:rPr>
          <w:b/>
          <w:i/>
        </w:rPr>
        <w:lastRenderedPageBreak/>
        <w:t xml:space="preserve">Европейски средства, предоставени от Разплащателната агенция към ДФЗ на общините </w:t>
      </w:r>
      <w:r>
        <w:t xml:space="preserve">като бенефициенти </w:t>
      </w:r>
      <w:r>
        <w:rPr>
          <w:lang w:val="ru-RU"/>
        </w:rPr>
        <w:t>(</w:t>
      </w:r>
      <w:r>
        <w:t>мерки по Програмата за развитие на селските райони</w:t>
      </w:r>
      <w:r>
        <w:rPr>
          <w:lang w:val="ru-RU"/>
        </w:rPr>
        <w:t xml:space="preserve">) </w:t>
      </w:r>
      <w:r>
        <w:t>– 346,</w:t>
      </w:r>
      <w:r w:rsidR="00C71221">
        <w:t xml:space="preserve">8 </w:t>
      </w:r>
      <w:r>
        <w:t>млн. лева.</w:t>
      </w:r>
    </w:p>
    <w:p w:rsidR="006E5AE0" w:rsidRDefault="006E5AE0" w:rsidP="006E5AE0">
      <w:pPr>
        <w:ind w:firstLine="540"/>
        <w:jc w:val="both"/>
        <w:rPr>
          <w:iCs/>
          <w:color w:val="0070C0"/>
          <w:sz w:val="12"/>
          <w:szCs w:val="12"/>
          <w:lang w:val="en-US"/>
        </w:rPr>
      </w:pPr>
    </w:p>
    <w:p w:rsidR="006E5AE0" w:rsidRDefault="006E5AE0" w:rsidP="006E5AE0">
      <w:pPr>
        <w:ind w:firstLine="540"/>
        <w:rPr>
          <w:b/>
        </w:rPr>
      </w:pPr>
      <w:r>
        <w:rPr>
          <w:b/>
        </w:rPr>
        <w:t xml:space="preserve">Група Б: </w:t>
      </w:r>
      <w:r>
        <w:rPr>
          <w:b/>
          <w:i/>
        </w:rPr>
        <w:t>„Опазване на околната среда”</w:t>
      </w:r>
    </w:p>
    <w:p w:rsidR="006E5AE0" w:rsidRDefault="006E5AE0" w:rsidP="006E5AE0">
      <w:pPr>
        <w:ind w:firstLine="540"/>
        <w:jc w:val="both"/>
        <w:rPr>
          <w:iCs/>
          <w:sz w:val="12"/>
          <w:szCs w:val="12"/>
        </w:rPr>
      </w:pPr>
    </w:p>
    <w:p w:rsidR="006E5AE0" w:rsidRDefault="006E5AE0" w:rsidP="006E5AE0">
      <w:pPr>
        <w:ind w:firstLine="540"/>
        <w:jc w:val="both"/>
        <w:rPr>
          <w:iCs/>
        </w:rPr>
      </w:pPr>
      <w:r>
        <w:rPr>
          <w:iCs/>
        </w:rPr>
        <w:t>Основните цели и съответно извършените разходи в областта на опазването на околната среда са свързани с:</w:t>
      </w:r>
    </w:p>
    <w:p w:rsidR="006E5AE0" w:rsidRDefault="006E5AE0" w:rsidP="006E5AE0">
      <w:pPr>
        <w:ind w:firstLine="540"/>
        <w:jc w:val="both"/>
        <w:rPr>
          <w:iCs/>
          <w:color w:val="0070C0"/>
          <w:sz w:val="8"/>
          <w:szCs w:val="8"/>
        </w:rPr>
      </w:pPr>
    </w:p>
    <w:p w:rsidR="006E5AE0" w:rsidRDefault="006E5AE0" w:rsidP="00781B85">
      <w:pPr>
        <w:numPr>
          <w:ilvl w:val="0"/>
          <w:numId w:val="38"/>
        </w:numPr>
        <w:tabs>
          <w:tab w:val="clear" w:pos="720"/>
          <w:tab w:val="left" w:pos="360"/>
          <w:tab w:val="left" w:pos="851"/>
        </w:tabs>
        <w:ind w:left="0" w:firstLine="567"/>
        <w:jc w:val="both"/>
        <w:rPr>
          <w:iCs/>
        </w:rPr>
      </w:pPr>
      <w:r>
        <w:rPr>
          <w:iCs/>
        </w:rPr>
        <w:t>подобряване управлението на водите, постигане и поддържане на добро състояние на водите в Р</w:t>
      </w:r>
      <w:r w:rsidR="00BF589D">
        <w:rPr>
          <w:iCs/>
        </w:rPr>
        <w:t>епублика</w:t>
      </w:r>
      <w:r>
        <w:rPr>
          <w:iCs/>
        </w:rPr>
        <w:t xml:space="preserve"> България и устойчиво ползване на водните ресурси, подобряване управлението на отпадъците и качеството на атмосферния въздух, опазване на биологичното разнообразие, предотвратяване на вредното въздействие на химичните вещества и препарати върху околната среда, повишаване обществената култура и съзнание и осигуряване на представителна информация за околната среда, интегриране на политиката по околна среда и на екологични проблеми в секторните политики за постигане на устойчиво развитие, намаляване на неблагоприятното въздействие, предизвикано от изменение на климата, върху човешкото здраве, екосистемите и националното стопанство; </w:t>
      </w:r>
    </w:p>
    <w:p w:rsidR="006E5AE0" w:rsidRDefault="006E5AE0" w:rsidP="00781B85">
      <w:pPr>
        <w:numPr>
          <w:ilvl w:val="0"/>
          <w:numId w:val="38"/>
        </w:numPr>
        <w:tabs>
          <w:tab w:val="clear" w:pos="720"/>
          <w:tab w:val="left" w:pos="360"/>
          <w:tab w:val="left" w:pos="851"/>
        </w:tabs>
        <w:ind w:left="0" w:firstLine="567"/>
        <w:jc w:val="both"/>
        <w:rPr>
          <w:iCs/>
        </w:rPr>
      </w:pPr>
      <w:r>
        <w:rPr>
          <w:iCs/>
        </w:rPr>
        <w:t>укрепване на свлачища и  геозащита.</w:t>
      </w:r>
    </w:p>
    <w:p w:rsidR="006E5AE0" w:rsidRDefault="006E5AE0" w:rsidP="006E5AE0">
      <w:pPr>
        <w:ind w:firstLine="540"/>
        <w:jc w:val="both"/>
        <w:rPr>
          <w:iCs/>
          <w:color w:val="0070C0"/>
          <w:sz w:val="12"/>
          <w:szCs w:val="12"/>
        </w:rPr>
      </w:pPr>
    </w:p>
    <w:p w:rsidR="006E5AE0" w:rsidRDefault="006E5AE0" w:rsidP="006E5AE0">
      <w:pPr>
        <w:ind w:firstLine="539"/>
        <w:jc w:val="both"/>
        <w:rPr>
          <w:iCs/>
        </w:rPr>
      </w:pPr>
      <w:r>
        <w:rPr>
          <w:iCs/>
        </w:rPr>
        <w:t>Със ЗДБРБ за 2015 г. за група „Опазване на околната среда” по държавния бюджет са утвърдени средства в размер на 97,0 млн. лв. и са отчетени разходи в размер на 40,9 млн. лв. (42,1 % изпълнение на закона).</w:t>
      </w:r>
    </w:p>
    <w:p w:rsidR="006E5AE0" w:rsidRDefault="006E5AE0" w:rsidP="006E5AE0">
      <w:pPr>
        <w:tabs>
          <w:tab w:val="num" w:pos="426"/>
          <w:tab w:val="num" w:pos="962"/>
        </w:tabs>
        <w:ind w:firstLine="567"/>
        <w:jc w:val="both"/>
      </w:pPr>
      <w:r>
        <w:rPr>
          <w:iCs/>
        </w:rPr>
        <w:t xml:space="preserve">По бюджета на Министерство на околната среда и водите за 2015 г. </w:t>
      </w:r>
      <w:r>
        <w:t xml:space="preserve">в това функционално направление са усвоени средства в размер на 29,0 млн. лв. Изпълнението на разходите в това функционално направление възлиза на 99,3 % от уточнения план на разходите в размер на 29,2 млн. лева. </w:t>
      </w:r>
    </w:p>
    <w:p w:rsidR="006E5AE0" w:rsidRDefault="006E5AE0" w:rsidP="006E5AE0">
      <w:pPr>
        <w:tabs>
          <w:tab w:val="num" w:pos="426"/>
          <w:tab w:val="num" w:pos="962"/>
        </w:tabs>
        <w:ind w:firstLine="567"/>
        <w:jc w:val="both"/>
      </w:pPr>
      <w:r>
        <w:t xml:space="preserve">През 2015 г., чрез предоставяне на трансфери за общини в областта на управление на водите, Предприятието за управление на дейностите по опазване на околната среда е финансирало изграждането на малки водоснабдителни обекти с цел осигуряване на оптимално количество и качество на населението, както и за канализационни мрежи и довеждащи колектори на обща стойност  32 млн. лв. по 54 договора. За осигуряване на оптимално количество и качество вода на населението, за изграждане на малки водоснабдителни обекти по проекти финансирани от ПУДООС, са изградени или реконструирани около 51 км водопроводна мрежа, като са завършени 18 обекта с дължина 25 км. По сключени договори за финансиране на канализационна мрежа и осигуряване на отвеждане на отпадъчни води е изградена мрежа от 7,8 км. </w:t>
      </w:r>
    </w:p>
    <w:p w:rsidR="006E5AE0" w:rsidRDefault="006E5AE0" w:rsidP="006E5AE0">
      <w:pPr>
        <w:tabs>
          <w:tab w:val="num" w:pos="426"/>
          <w:tab w:val="num" w:pos="962"/>
        </w:tabs>
        <w:ind w:firstLine="567"/>
        <w:jc w:val="both"/>
      </w:pPr>
      <w:r>
        <w:t>Трябва да се отбележи, че в областта на повишаване на екологичното съзнание и култура, информационна и образователна дейност са финансирани проекти на обща стойност за 4 млн. лв., част от които за оценка и мониторинг за въздействието на атмосферния въздух върху горските екосистеми.</w:t>
      </w:r>
    </w:p>
    <w:p w:rsidR="006E5AE0" w:rsidRDefault="006E5AE0" w:rsidP="006E5AE0">
      <w:pPr>
        <w:tabs>
          <w:tab w:val="num" w:pos="426"/>
          <w:tab w:val="num" w:pos="962"/>
        </w:tabs>
        <w:ind w:firstLine="567"/>
        <w:jc w:val="both"/>
      </w:pPr>
      <w:r>
        <w:t>В областта на управление на отпадъците са разходвани 47,3 млн. лв. за изграждане на интегрирана система от съоръжения за третиране на отпадъци, за закриване на сепариращи инсталации, както и за закриване и рекултив</w:t>
      </w:r>
      <w:r w:rsidR="004126A8">
        <w:t>ация на общински депа за</w:t>
      </w:r>
      <w:r w:rsidR="004126A8">
        <w:rPr>
          <w:lang w:val="en-US"/>
        </w:rPr>
        <w:t xml:space="preserve"> o</w:t>
      </w:r>
      <w:r>
        <w:t xml:space="preserve">тпадъци.  </w:t>
      </w:r>
    </w:p>
    <w:p w:rsidR="006E5AE0" w:rsidRDefault="006E5AE0" w:rsidP="006E5AE0">
      <w:pPr>
        <w:tabs>
          <w:tab w:val="num" w:pos="426"/>
          <w:tab w:val="num" w:pos="962"/>
        </w:tabs>
        <w:ind w:firstLine="567"/>
        <w:jc w:val="both"/>
      </w:pPr>
      <w:r>
        <w:t>Към 31.12.20</w:t>
      </w:r>
      <w:r>
        <w:rPr>
          <w:lang w:val="ru-RU"/>
        </w:rPr>
        <w:t>15</w:t>
      </w:r>
      <w:r>
        <w:t xml:space="preserve"> г. по бюджета на Министерство на регионалното развитие и благоустройството в това функционално направление са усвоени средства в размер на 9,1 млн. лв., в т.ч. </w:t>
      </w:r>
      <w:r>
        <w:rPr>
          <w:lang w:val="ru-RU"/>
        </w:rPr>
        <w:t>0,</w:t>
      </w:r>
      <w:r>
        <w:t xml:space="preserve">2 млн. лв. разходи по ДИЗ, изпълнявани от МРРБ. Изпълнението на разходите в това функционално направление възлиза на 99,9 % спрямо уточнения план. </w:t>
      </w:r>
    </w:p>
    <w:p w:rsidR="006E5AE0" w:rsidRDefault="006E5AE0" w:rsidP="006E5AE0">
      <w:pPr>
        <w:ind w:firstLine="567"/>
        <w:jc w:val="both"/>
      </w:pPr>
      <w:r>
        <w:t xml:space="preserve">В рамките на това направление МРРБ реализира своята политика за „Създаване и изпълнение на национална програма за превенция и ограничаване на въздействието на </w:t>
      </w:r>
      <w:r>
        <w:lastRenderedPageBreak/>
        <w:t xml:space="preserve">свлачищните процеси, ерозията и абразията” чрез изпълнението на програма „Устройствено планиране, геозащита, водоснабдяване и канализация”, в. т. и дейности по държавно-инвестиционен заем, а именно, проект „Техническа инфраструктура”, финансиран от </w:t>
      </w:r>
      <w:r>
        <w:rPr>
          <w:lang w:val="en-US"/>
        </w:rPr>
        <w:t>KFW (</w:t>
      </w:r>
      <w:r>
        <w:t>Държавна банка за развитие - Германия</w:t>
      </w:r>
      <w:r>
        <w:rPr>
          <w:lang w:val="en-US"/>
        </w:rPr>
        <w:t>)</w:t>
      </w:r>
      <w:r>
        <w:t xml:space="preserve">. </w:t>
      </w:r>
    </w:p>
    <w:p w:rsidR="006E5AE0" w:rsidRDefault="006E5AE0" w:rsidP="006E5AE0">
      <w:pPr>
        <w:ind w:firstLine="567"/>
        <w:jc w:val="both"/>
      </w:pPr>
      <w:r>
        <w:t>С усвоените средства през отчетния период са предприети ефективни превантивни мерки и дейности за ограничаване на риска от възникване на свлачищни процеси, ерозионни процеси по Дунавското и абразионни процеси по Черноморското крайбрежие. Извършен беше ефективен мониторинг на свлачищните райони на територията на Република България, извършени са инженерно-геоложки обследвания, хидрогеоложки, инклинометрични и геодезически измервания на територията на 20 общини. Изградени бяха 3 бр. контролно-измервателни системи в свлачища в община Балчик и Аксаково. Извършени са 2 583 бр. режимни изследвания на свлачища.</w:t>
      </w:r>
    </w:p>
    <w:p w:rsidR="006E5AE0" w:rsidRDefault="006E5AE0" w:rsidP="006E5AE0">
      <w:pPr>
        <w:ind w:firstLine="567"/>
        <w:jc w:val="both"/>
      </w:pPr>
      <w:r>
        <w:t xml:space="preserve">През 2015 г. по сключено тристранно рамково финансиране за предоставяне на финансиране на схема за зелени инвестиции между Министерство на финансите, ПУДООС и НДЕФ в изпълнение на взети от УС на ПУДООС решения, през изтеклата година съвместната работа на трите институции доведе до пълна реализация на инвестиционни проекти в различни сектори на икономиката, които водят до намаляване на парниковите газове и подобряване на качеството на околната среда общо в размер на 3,8 млн. лв. В резултат на успешната съвместна работа бяха сключени и финансирани 9 договора в публични обекти като училища, детски градини и болници. </w:t>
      </w:r>
    </w:p>
    <w:p w:rsidR="006E5AE0" w:rsidRDefault="006E5AE0" w:rsidP="006E5AE0">
      <w:pPr>
        <w:pStyle w:val="BodyText"/>
        <w:widowControl w:val="0"/>
        <w:ind w:firstLine="720"/>
        <w:jc w:val="both"/>
      </w:pPr>
      <w:r>
        <w:rPr>
          <w:iCs/>
        </w:rPr>
        <w:t xml:space="preserve">Основните разходи по КФП в групата са извършени  </w:t>
      </w:r>
      <w:r>
        <w:rPr>
          <w:b/>
          <w:iCs/>
        </w:rPr>
        <w:t>по бюджетите на общините</w:t>
      </w:r>
      <w:r>
        <w:rPr>
          <w:iCs/>
        </w:rPr>
        <w:t xml:space="preserve">, като за годината те възлизат на </w:t>
      </w:r>
      <w:r w:rsidR="00A66BF4">
        <w:rPr>
          <w:iCs/>
        </w:rPr>
        <w:t>508,8</w:t>
      </w:r>
      <w:r>
        <w:rPr>
          <w:iCs/>
        </w:rPr>
        <w:t xml:space="preserve"> млн. лв. Текущите разходи са в размер на </w:t>
      </w:r>
      <w:r w:rsidR="00A66BF4">
        <w:rPr>
          <w:iCs/>
        </w:rPr>
        <w:t>438,3</w:t>
      </w:r>
      <w:r>
        <w:rPr>
          <w:iCs/>
        </w:rPr>
        <w:t xml:space="preserve"> млн. лв., което е с </w:t>
      </w:r>
      <w:r w:rsidR="00A66BF4">
        <w:rPr>
          <w:iCs/>
        </w:rPr>
        <w:t>53,2</w:t>
      </w:r>
      <w:r>
        <w:rPr>
          <w:iCs/>
        </w:rPr>
        <w:t xml:space="preserve"> млн. лв. по-малко или 89,</w:t>
      </w:r>
      <w:r w:rsidR="00A66BF4">
        <w:rPr>
          <w:iCs/>
        </w:rPr>
        <w:t xml:space="preserve">2 </w:t>
      </w:r>
      <w:r>
        <w:rPr>
          <w:iCs/>
        </w:rPr>
        <w:t xml:space="preserve">% от планираните със закона за 2015 г. </w:t>
      </w:r>
      <w:r w:rsidR="005F6D6B">
        <w:t xml:space="preserve">По-ниският размер </w:t>
      </w:r>
      <w:r>
        <w:t>на текущите разходи по отчет спрямо разчетените по закон се дължи предимно на отчетени</w:t>
      </w:r>
      <w:r w:rsidR="005F6D6B">
        <w:t>я</w:t>
      </w:r>
      <w:r>
        <w:t xml:space="preserve"> </w:t>
      </w:r>
      <w:r w:rsidR="005F6D6B">
        <w:rPr>
          <w:iCs/>
        </w:rPr>
        <w:t>възстановен данъчен кредит на ДДС по европейски проекти в следствие на ускореното усвояване на средствата от ЕС</w:t>
      </w:r>
      <w:r>
        <w:t xml:space="preserve">. В групата с висок относителен дял са разходите за издръжка, в т.ч. разходите, свързани с поддържането на чистотата и благоустрояването, извършвани от фирми или общински предприятия. Размерът на отчетените </w:t>
      </w:r>
      <w:r>
        <w:rPr>
          <w:i/>
        </w:rPr>
        <w:t>капиталови</w:t>
      </w:r>
      <w:r>
        <w:t xml:space="preserve"> разходи в тази група е 70,5 млн. лв. или с 30,7 млн. лв. по-малко спрямо планираните по закон и с 6,4 млн. лв. повече от отчетените през 2014 г. В групата се отчитат разходите, определени по решение на общинския съвет за дейностите по поддържане на чистота, озеленяване, пречистване на отпадъчни води, управление на отпадъците и други публични услуги с обществено значение.</w:t>
      </w:r>
    </w:p>
    <w:p w:rsidR="006E5AE0" w:rsidRDefault="006E5AE0" w:rsidP="006E5AE0">
      <w:pPr>
        <w:pStyle w:val="BodyTextIndent2"/>
        <w:spacing w:line="240" w:lineRule="auto"/>
        <w:ind w:left="0" w:firstLine="539"/>
        <w:jc w:val="both"/>
        <w:rPr>
          <w:lang w:val="en-US"/>
        </w:rPr>
      </w:pPr>
      <w:r>
        <w:rPr>
          <w:b/>
        </w:rPr>
        <w:t>Европейски средства</w:t>
      </w:r>
      <w:r>
        <w:t xml:space="preserve"> – за група „Опазване на околната среда” изразходваните средства са 1 </w:t>
      </w:r>
      <w:r w:rsidR="001403A8">
        <w:t>041,3</w:t>
      </w:r>
      <w:r>
        <w:t xml:space="preserve"> млн. лв., основно по </w:t>
      </w:r>
      <w:r>
        <w:rPr>
          <w:b/>
          <w:i/>
        </w:rPr>
        <w:t>Оперативна програма „Околна среда”.</w:t>
      </w:r>
      <w:r>
        <w:t xml:space="preserve"> Основната цел на програмата е подобряване, запазване и възстановяване на естествената околна среда и развитие на екологичната инфраструктура. Програмата финансира дейности свързани с: опазване и подобряване състоянието на водните ресурси; подобряване на управлението на отпадъците и на защитата на почвите; опазване на биоразнообразието и защита на природата и др. Предмет на програмата са: инфраструктурни проекти за третиране на отпадъци, питейни и отпадни води; проекти за възстановяване на биологичното разнообразие. Бенефициенти са: общини; басейнови дирекции; регионални асоциации; регионални структури на МОСВ; Изпълнителна агенция по горите; администрации, управляващи НАТУРА 2000; неправителствени организации.</w:t>
      </w:r>
    </w:p>
    <w:p w:rsidR="006E5AE0" w:rsidRDefault="006E5AE0" w:rsidP="00781B85">
      <w:pPr>
        <w:pStyle w:val="Heading3"/>
        <w:numPr>
          <w:ilvl w:val="2"/>
          <w:numId w:val="15"/>
        </w:numPr>
        <w:rPr>
          <w:rFonts w:ascii="Times New Roman" w:hAnsi="Times New Roman"/>
          <w:sz w:val="24"/>
          <w:lang w:val="en-US"/>
        </w:rPr>
      </w:pPr>
      <w:bookmarkStart w:id="254" w:name="_Toc326315920"/>
      <w:bookmarkStart w:id="255" w:name="_Toc324863428"/>
      <w:bookmarkStart w:id="256" w:name="_Toc261276592"/>
      <w:bookmarkStart w:id="257" w:name="_Toc462146128"/>
      <w:r>
        <w:rPr>
          <w:rFonts w:ascii="Times New Roman" w:hAnsi="Times New Roman"/>
          <w:sz w:val="24"/>
          <w:lang w:val="bg-BG"/>
        </w:rPr>
        <w:t>Почивно дело, култура, религиозни дейности</w:t>
      </w:r>
      <w:bookmarkEnd w:id="254"/>
      <w:bookmarkEnd w:id="255"/>
      <w:bookmarkEnd w:id="256"/>
      <w:bookmarkEnd w:id="257"/>
    </w:p>
    <w:p w:rsidR="006E5AE0" w:rsidRDefault="006E5AE0" w:rsidP="006E5AE0">
      <w:pPr>
        <w:rPr>
          <w:sz w:val="10"/>
          <w:szCs w:val="10"/>
          <w:lang w:val="en-US"/>
        </w:rPr>
      </w:pPr>
    </w:p>
    <w:p w:rsidR="006E5AE0" w:rsidRDefault="006E5AE0" w:rsidP="006E5AE0">
      <w:pPr>
        <w:ind w:firstLine="540"/>
        <w:jc w:val="both"/>
        <w:rPr>
          <w:sz w:val="2"/>
          <w:szCs w:val="2"/>
        </w:rPr>
      </w:pPr>
    </w:p>
    <w:p w:rsidR="006E5AE0" w:rsidRPr="004126A8" w:rsidRDefault="006E5AE0" w:rsidP="004126A8">
      <w:pPr>
        <w:ind w:firstLine="540"/>
        <w:jc w:val="both"/>
        <w:rPr>
          <w:lang w:val="en-US"/>
        </w:rPr>
      </w:pPr>
      <w:r>
        <w:t>Основната част от разходите по функция „Почивно дело, култура, религиозни дейности” са в група В. „Култура” и група Б. „Физическа култура и спорт”. В това функционално направление разходите са извършени от министерствата и ведомствата, БНТ, БНР, БТА и общините.</w:t>
      </w:r>
    </w:p>
    <w:p w:rsidR="006E5AE0" w:rsidRDefault="006E5AE0" w:rsidP="006E5AE0">
      <w:pPr>
        <w:ind w:firstLine="8563"/>
        <w:jc w:val="both"/>
        <w:rPr>
          <w:b/>
          <w:color w:val="0070C0"/>
          <w:sz w:val="10"/>
          <w:szCs w:val="10"/>
          <w:lang w:val="en-US"/>
        </w:rPr>
      </w:pPr>
    </w:p>
    <w:p w:rsidR="006E5AE0" w:rsidRDefault="006E5AE0" w:rsidP="006E5AE0">
      <w:pPr>
        <w:ind w:firstLine="8563"/>
        <w:jc w:val="both"/>
        <w:rPr>
          <w:b/>
          <w:sz w:val="18"/>
          <w:szCs w:val="18"/>
        </w:rPr>
      </w:pPr>
      <w:r>
        <w:rPr>
          <w:b/>
          <w:sz w:val="18"/>
          <w:szCs w:val="18"/>
        </w:rPr>
        <w:t>(млн. лв.)</w:t>
      </w:r>
    </w:p>
    <w:tbl>
      <w:tblPr>
        <w:tblW w:w="9498" w:type="dxa"/>
        <w:jc w:val="center"/>
        <w:tblInd w:w="-923" w:type="dxa"/>
        <w:tblCellMar>
          <w:left w:w="70" w:type="dxa"/>
          <w:right w:w="70" w:type="dxa"/>
        </w:tblCellMar>
        <w:tblLook w:val="04A0" w:firstRow="1" w:lastRow="0" w:firstColumn="1" w:lastColumn="0" w:noHBand="0" w:noVBand="1"/>
      </w:tblPr>
      <w:tblGrid>
        <w:gridCol w:w="2553"/>
        <w:gridCol w:w="709"/>
        <w:gridCol w:w="992"/>
        <w:gridCol w:w="567"/>
        <w:gridCol w:w="708"/>
        <w:gridCol w:w="709"/>
        <w:gridCol w:w="709"/>
        <w:gridCol w:w="850"/>
        <w:gridCol w:w="687"/>
        <w:gridCol w:w="1014"/>
      </w:tblGrid>
      <w:tr w:rsidR="006E5AE0" w:rsidTr="006E5AE0">
        <w:trPr>
          <w:trHeight w:val="972"/>
          <w:jc w:val="center"/>
        </w:trPr>
        <w:tc>
          <w:tcPr>
            <w:tcW w:w="2553"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ОТЧЕТ 2015 г.</w:t>
            </w:r>
          </w:p>
        </w:tc>
        <w:tc>
          <w:tcPr>
            <w:tcW w:w="709"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КФП</w:t>
            </w:r>
          </w:p>
        </w:tc>
        <w:tc>
          <w:tcPr>
            <w:tcW w:w="992"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ДБ</w:t>
            </w:r>
          </w:p>
        </w:tc>
        <w:tc>
          <w:tcPr>
            <w:tcW w:w="567"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БАН</w:t>
            </w:r>
          </w:p>
        </w:tc>
        <w:tc>
          <w:tcPr>
            <w:tcW w:w="708"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БНР</w:t>
            </w:r>
          </w:p>
        </w:tc>
        <w:tc>
          <w:tcPr>
            <w:tcW w:w="709"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БНТ</w:t>
            </w:r>
          </w:p>
        </w:tc>
        <w:tc>
          <w:tcPr>
            <w:tcW w:w="709"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БТА</w:t>
            </w:r>
          </w:p>
        </w:tc>
        <w:tc>
          <w:tcPr>
            <w:tcW w:w="850" w:type="dxa"/>
            <w:tcBorders>
              <w:top w:val="double" w:sz="6" w:space="0" w:color="800000"/>
              <w:left w:val="double" w:sz="6" w:space="0" w:color="800000"/>
              <w:bottom w:val="double" w:sz="6" w:space="0" w:color="800000"/>
              <w:right w:val="double" w:sz="6" w:space="0" w:color="800000"/>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Общини</w:t>
            </w:r>
          </w:p>
        </w:tc>
        <w:tc>
          <w:tcPr>
            <w:tcW w:w="687" w:type="dxa"/>
            <w:tcBorders>
              <w:top w:val="double" w:sz="6" w:space="0" w:color="800000"/>
              <w:left w:val="double" w:sz="6" w:space="0" w:color="800000"/>
              <w:bottom w:val="double" w:sz="6" w:space="0" w:color="800000"/>
              <w:right w:val="double" w:sz="6" w:space="0" w:color="800000"/>
            </w:tcBorders>
            <w:shd w:val="clear" w:color="auto" w:fill="800000"/>
            <w:vAlign w:val="bottom"/>
          </w:tcPr>
          <w:p w:rsidR="006E5AE0" w:rsidRPr="006E5AE0" w:rsidRDefault="006E5AE0">
            <w:pPr>
              <w:jc w:val="center"/>
              <w:rPr>
                <w:b/>
                <w:bCs/>
                <w:color w:val="FFFFFF"/>
                <w:sz w:val="16"/>
                <w:szCs w:val="16"/>
              </w:rPr>
            </w:pPr>
            <w:r w:rsidRPr="006E5AE0">
              <w:rPr>
                <w:b/>
                <w:bCs/>
                <w:color w:val="FFFFFF"/>
                <w:sz w:val="16"/>
                <w:szCs w:val="16"/>
              </w:rPr>
              <w:t>ДМП</w:t>
            </w:r>
          </w:p>
          <w:p w:rsidR="006E5AE0" w:rsidRPr="006E5AE0" w:rsidRDefault="006E5AE0">
            <w:pPr>
              <w:jc w:val="center"/>
              <w:rPr>
                <w:b/>
                <w:bCs/>
                <w:color w:val="FFFFFF"/>
                <w:sz w:val="16"/>
                <w:szCs w:val="16"/>
              </w:rPr>
            </w:pPr>
          </w:p>
          <w:p w:rsidR="006E5AE0" w:rsidRPr="006E5AE0" w:rsidRDefault="006E5AE0">
            <w:pPr>
              <w:jc w:val="center"/>
              <w:rPr>
                <w:b/>
                <w:bCs/>
                <w:color w:val="FFFFFF"/>
                <w:sz w:val="16"/>
                <w:szCs w:val="16"/>
              </w:rPr>
            </w:pPr>
          </w:p>
        </w:tc>
        <w:tc>
          <w:tcPr>
            <w:tcW w:w="1014" w:type="dxa"/>
            <w:tcBorders>
              <w:top w:val="double" w:sz="6" w:space="0" w:color="800000"/>
              <w:left w:val="double" w:sz="6" w:space="0" w:color="800000"/>
              <w:bottom w:val="double" w:sz="6" w:space="0" w:color="800000"/>
              <w:right w:val="double" w:sz="6" w:space="0" w:color="800000"/>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ЕВРОП. СР/ВА</w:t>
            </w:r>
          </w:p>
        </w:tc>
      </w:tr>
      <w:tr w:rsidR="00325B7D" w:rsidTr="006E5AE0">
        <w:trPr>
          <w:trHeight w:val="270"/>
          <w:jc w:val="center"/>
        </w:trPr>
        <w:tc>
          <w:tcPr>
            <w:tcW w:w="2553" w:type="dxa"/>
            <w:tcBorders>
              <w:top w:val="double" w:sz="6" w:space="0" w:color="800000"/>
              <w:left w:val="double" w:sz="6" w:space="0" w:color="800000"/>
              <w:bottom w:val="nil"/>
              <w:right w:val="single" w:sz="4" w:space="0" w:color="800000"/>
            </w:tcBorders>
            <w:shd w:val="clear" w:color="auto" w:fill="FFFFCC"/>
            <w:noWrap/>
            <w:vAlign w:val="bottom"/>
            <w:hideMark/>
          </w:tcPr>
          <w:p w:rsidR="00325B7D" w:rsidRDefault="00325B7D">
            <w:pPr>
              <w:rPr>
                <w:b/>
                <w:bCs/>
                <w:sz w:val="18"/>
                <w:szCs w:val="18"/>
              </w:rPr>
            </w:pPr>
            <w:r>
              <w:rPr>
                <w:b/>
                <w:bCs/>
                <w:sz w:val="18"/>
                <w:szCs w:val="18"/>
              </w:rPr>
              <w:t>VII. ПОЧИВНО ДЕЛО, КУЛТУРА, РЕЛИГИОЗНИ ДЕЙНОСТИ</w:t>
            </w:r>
          </w:p>
        </w:tc>
        <w:tc>
          <w:tcPr>
            <w:tcW w:w="709" w:type="dxa"/>
            <w:tcBorders>
              <w:top w:val="double" w:sz="6" w:space="0" w:color="800000"/>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875,4</w:t>
            </w:r>
          </w:p>
        </w:tc>
        <w:tc>
          <w:tcPr>
            <w:tcW w:w="992" w:type="dxa"/>
            <w:tcBorders>
              <w:top w:val="double" w:sz="6" w:space="0" w:color="800000"/>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182,4</w:t>
            </w:r>
          </w:p>
        </w:tc>
        <w:tc>
          <w:tcPr>
            <w:tcW w:w="567" w:type="dxa"/>
            <w:tcBorders>
              <w:top w:val="double" w:sz="6" w:space="0" w:color="800000"/>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1,7</w:t>
            </w:r>
          </w:p>
        </w:tc>
        <w:tc>
          <w:tcPr>
            <w:tcW w:w="708" w:type="dxa"/>
            <w:tcBorders>
              <w:top w:val="double" w:sz="6" w:space="0" w:color="800000"/>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43,9</w:t>
            </w:r>
          </w:p>
        </w:tc>
        <w:tc>
          <w:tcPr>
            <w:tcW w:w="709" w:type="dxa"/>
            <w:tcBorders>
              <w:top w:val="double" w:sz="6" w:space="0" w:color="800000"/>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83,8</w:t>
            </w:r>
          </w:p>
        </w:tc>
        <w:tc>
          <w:tcPr>
            <w:tcW w:w="709" w:type="dxa"/>
            <w:tcBorders>
              <w:top w:val="double" w:sz="6" w:space="0" w:color="800000"/>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6,0</w:t>
            </w:r>
          </w:p>
        </w:tc>
        <w:tc>
          <w:tcPr>
            <w:tcW w:w="850" w:type="dxa"/>
            <w:tcBorders>
              <w:top w:val="double" w:sz="6" w:space="0" w:color="800000"/>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338,7</w:t>
            </w:r>
          </w:p>
        </w:tc>
        <w:tc>
          <w:tcPr>
            <w:tcW w:w="687" w:type="dxa"/>
            <w:tcBorders>
              <w:top w:val="double" w:sz="6" w:space="0" w:color="800000"/>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2,0</w:t>
            </w:r>
          </w:p>
        </w:tc>
        <w:tc>
          <w:tcPr>
            <w:tcW w:w="1014" w:type="dxa"/>
            <w:tcBorders>
              <w:top w:val="double" w:sz="6" w:space="0" w:color="800000"/>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217,0</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b/>
                <w:bCs/>
                <w:sz w:val="18"/>
                <w:szCs w:val="18"/>
              </w:rPr>
            </w:pPr>
            <w:r>
              <w:rPr>
                <w:b/>
                <w:bCs/>
                <w:sz w:val="18"/>
                <w:szCs w:val="18"/>
              </w:rPr>
              <w:t xml:space="preserve">  А. ПОЧИВНО ДЕЛО</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22,3</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14,1</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0,2</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0,1</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0,5</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3,4</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3,9</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sz w:val="18"/>
                <w:szCs w:val="18"/>
              </w:rPr>
            </w:pPr>
            <w:r>
              <w:rPr>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16,8</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13,6</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0,2</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0,1</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0,5</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2,4</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0,1</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sz w:val="18"/>
                <w:szCs w:val="18"/>
              </w:rPr>
            </w:pPr>
            <w:r>
              <w:rPr>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5,5</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0,6</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0,0</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0,0</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1,0</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3,8</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b/>
                <w:bCs/>
                <w:sz w:val="18"/>
                <w:szCs w:val="18"/>
              </w:rPr>
            </w:pPr>
            <w:r>
              <w:rPr>
                <w:b/>
                <w:bCs/>
                <w:sz w:val="18"/>
                <w:szCs w:val="18"/>
              </w:rPr>
              <w:t xml:space="preserve">  Б. ФИЗИЧЕСКА КУЛТУРА И СПОРТ</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320,5</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48,6</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117,6</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154,3</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sz w:val="18"/>
                <w:szCs w:val="18"/>
              </w:rPr>
            </w:pPr>
            <w:r>
              <w:rPr>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109,4</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48,3</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53,1</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7,9</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sz w:val="18"/>
                <w:szCs w:val="18"/>
              </w:rPr>
            </w:pPr>
            <w:r>
              <w:rPr>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211,1</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0,3</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64,5</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146,4</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b/>
                <w:bCs/>
                <w:sz w:val="18"/>
                <w:szCs w:val="18"/>
              </w:rPr>
            </w:pPr>
            <w:r>
              <w:rPr>
                <w:b/>
                <w:bCs/>
                <w:sz w:val="18"/>
                <w:szCs w:val="18"/>
              </w:rPr>
              <w:t xml:space="preserve">  В. КУЛТУРА</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525,4</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112,4</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1,5</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43,8</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83,2</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6,0</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217,6</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2,0</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58,8</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sz w:val="18"/>
                <w:szCs w:val="18"/>
              </w:rPr>
            </w:pPr>
            <w:r>
              <w:rPr>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432,2</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110,9</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1,5</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39,1</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70,1</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6,0</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194,6</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1,5</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8,6</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sz w:val="18"/>
                <w:szCs w:val="18"/>
              </w:rPr>
            </w:pPr>
            <w:r>
              <w:rPr>
                <w:sz w:val="18"/>
                <w:szCs w:val="18"/>
              </w:rPr>
              <w:t xml:space="preserve">   Капиталови разходи</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93,2</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1,5</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0,0</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4,7</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13,2</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0,0</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23,0</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0,5</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50,2</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b/>
                <w:bCs/>
                <w:sz w:val="18"/>
                <w:szCs w:val="18"/>
              </w:rPr>
            </w:pPr>
            <w:r>
              <w:rPr>
                <w:b/>
                <w:bCs/>
                <w:sz w:val="18"/>
                <w:szCs w:val="18"/>
              </w:rPr>
              <w:t xml:space="preserve">  Г. РЕЛИГИОЗНО ДЕЛО</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7,2</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7,2</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b/>
                <w:bCs/>
                <w:color w:val="000000"/>
                <w:sz w:val="18"/>
                <w:szCs w:val="18"/>
              </w:rPr>
            </w:pPr>
            <w:r>
              <w:rPr>
                <w:b/>
                <w:bCs/>
                <w:color w:val="000000"/>
                <w:sz w:val="18"/>
                <w:szCs w:val="18"/>
              </w:rPr>
              <w:t> </w:t>
            </w:r>
          </w:p>
        </w:tc>
      </w:tr>
      <w:tr w:rsidR="00325B7D" w:rsidTr="006E5AE0">
        <w:trPr>
          <w:trHeight w:val="255"/>
          <w:jc w:val="center"/>
        </w:trPr>
        <w:tc>
          <w:tcPr>
            <w:tcW w:w="2553" w:type="dxa"/>
            <w:tcBorders>
              <w:top w:val="nil"/>
              <w:left w:val="double" w:sz="6" w:space="0" w:color="800000"/>
              <w:bottom w:val="nil"/>
              <w:right w:val="single" w:sz="4" w:space="0" w:color="800000"/>
            </w:tcBorders>
            <w:shd w:val="clear" w:color="auto" w:fill="FFFFCC"/>
            <w:noWrap/>
            <w:vAlign w:val="bottom"/>
            <w:hideMark/>
          </w:tcPr>
          <w:p w:rsidR="00325B7D" w:rsidRDefault="00325B7D">
            <w:pPr>
              <w:rPr>
                <w:sz w:val="18"/>
                <w:szCs w:val="18"/>
              </w:rPr>
            </w:pPr>
            <w:r>
              <w:rPr>
                <w:sz w:val="18"/>
                <w:szCs w:val="18"/>
              </w:rPr>
              <w:t xml:space="preserve">   Текущи нелихвени разходи</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7,2</w:t>
            </w:r>
          </w:p>
        </w:tc>
        <w:tc>
          <w:tcPr>
            <w:tcW w:w="992"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7,2</w:t>
            </w:r>
          </w:p>
        </w:tc>
        <w:tc>
          <w:tcPr>
            <w:tcW w:w="56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8"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9"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850"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687"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1014" w:type="dxa"/>
            <w:tcBorders>
              <w:top w:val="nil"/>
              <w:left w:val="nil"/>
              <w:bottom w:val="nil"/>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r>
      <w:tr w:rsidR="00325B7D" w:rsidTr="006E5AE0">
        <w:trPr>
          <w:trHeight w:val="270"/>
          <w:jc w:val="center"/>
        </w:trPr>
        <w:tc>
          <w:tcPr>
            <w:tcW w:w="2553" w:type="dxa"/>
            <w:tcBorders>
              <w:top w:val="nil"/>
              <w:left w:val="double" w:sz="6" w:space="0" w:color="800000"/>
              <w:bottom w:val="double" w:sz="6" w:space="0" w:color="800000"/>
              <w:right w:val="single" w:sz="4" w:space="0" w:color="800000"/>
            </w:tcBorders>
            <w:shd w:val="clear" w:color="auto" w:fill="FFFFCC"/>
            <w:noWrap/>
            <w:vAlign w:val="bottom"/>
            <w:hideMark/>
          </w:tcPr>
          <w:p w:rsidR="00325B7D" w:rsidRDefault="00325B7D">
            <w:pPr>
              <w:rPr>
                <w:sz w:val="18"/>
                <w:szCs w:val="18"/>
              </w:rPr>
            </w:pPr>
            <w:r>
              <w:rPr>
                <w:sz w:val="18"/>
                <w:szCs w:val="18"/>
              </w:rPr>
              <w:t xml:space="preserve">   Капиталови разходи</w:t>
            </w:r>
          </w:p>
        </w:tc>
        <w:tc>
          <w:tcPr>
            <w:tcW w:w="709" w:type="dxa"/>
            <w:tcBorders>
              <w:top w:val="nil"/>
              <w:left w:val="nil"/>
              <w:bottom w:val="double" w:sz="6" w:space="0" w:color="800000"/>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992" w:type="dxa"/>
            <w:tcBorders>
              <w:top w:val="nil"/>
              <w:left w:val="nil"/>
              <w:bottom w:val="double" w:sz="6" w:space="0" w:color="800000"/>
              <w:right w:val="single" w:sz="4" w:space="0" w:color="800000"/>
            </w:tcBorders>
            <w:shd w:val="clear" w:color="auto" w:fill="FFFFCC"/>
            <w:noWrap/>
            <w:vAlign w:val="bottom"/>
            <w:hideMark/>
          </w:tcPr>
          <w:p w:rsidR="00325B7D" w:rsidRDefault="00325B7D" w:rsidP="00F57F4E">
            <w:pPr>
              <w:jc w:val="right"/>
              <w:rPr>
                <w:color w:val="000000"/>
                <w:sz w:val="18"/>
                <w:szCs w:val="18"/>
              </w:rPr>
            </w:pPr>
          </w:p>
        </w:tc>
        <w:tc>
          <w:tcPr>
            <w:tcW w:w="567" w:type="dxa"/>
            <w:tcBorders>
              <w:top w:val="nil"/>
              <w:left w:val="nil"/>
              <w:bottom w:val="double" w:sz="6" w:space="0" w:color="800000"/>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8" w:type="dxa"/>
            <w:tcBorders>
              <w:top w:val="nil"/>
              <w:left w:val="nil"/>
              <w:bottom w:val="double" w:sz="6" w:space="0" w:color="800000"/>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9" w:type="dxa"/>
            <w:tcBorders>
              <w:top w:val="nil"/>
              <w:left w:val="nil"/>
              <w:bottom w:val="double" w:sz="6" w:space="0" w:color="800000"/>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709" w:type="dxa"/>
            <w:tcBorders>
              <w:top w:val="nil"/>
              <w:left w:val="nil"/>
              <w:bottom w:val="double" w:sz="6" w:space="0" w:color="800000"/>
              <w:right w:val="nil"/>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850" w:type="dxa"/>
            <w:tcBorders>
              <w:top w:val="nil"/>
              <w:left w:val="single" w:sz="4" w:space="0" w:color="800000"/>
              <w:bottom w:val="double" w:sz="6" w:space="0" w:color="800000"/>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687" w:type="dxa"/>
            <w:tcBorders>
              <w:top w:val="nil"/>
              <w:left w:val="nil"/>
              <w:bottom w:val="double" w:sz="6" w:space="0" w:color="800000"/>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c>
          <w:tcPr>
            <w:tcW w:w="1014" w:type="dxa"/>
            <w:tcBorders>
              <w:top w:val="nil"/>
              <w:left w:val="nil"/>
              <w:bottom w:val="double" w:sz="6" w:space="0" w:color="800000"/>
              <w:right w:val="single" w:sz="4" w:space="0" w:color="800000"/>
            </w:tcBorders>
            <w:shd w:val="clear" w:color="auto" w:fill="FFFFCC"/>
            <w:noWrap/>
            <w:vAlign w:val="bottom"/>
            <w:hideMark/>
          </w:tcPr>
          <w:p w:rsidR="00325B7D" w:rsidRDefault="00325B7D">
            <w:pPr>
              <w:jc w:val="right"/>
              <w:rPr>
                <w:color w:val="000000"/>
                <w:sz w:val="18"/>
                <w:szCs w:val="18"/>
              </w:rPr>
            </w:pPr>
            <w:r>
              <w:rPr>
                <w:color w:val="000000"/>
                <w:sz w:val="18"/>
                <w:szCs w:val="18"/>
              </w:rPr>
              <w:t> </w:t>
            </w:r>
          </w:p>
        </w:tc>
      </w:tr>
    </w:tbl>
    <w:p w:rsidR="006E5AE0" w:rsidRDefault="006E5AE0" w:rsidP="006E5AE0">
      <w:pPr>
        <w:ind w:firstLine="720"/>
        <w:rPr>
          <w:b/>
          <w:color w:val="0070C0"/>
          <w:lang w:val="en-US"/>
        </w:rPr>
      </w:pPr>
    </w:p>
    <w:p w:rsidR="006066E1" w:rsidRDefault="006066E1" w:rsidP="006E5AE0">
      <w:pPr>
        <w:ind w:firstLine="720"/>
        <w:rPr>
          <w:b/>
          <w:lang w:val="en-US"/>
        </w:rPr>
      </w:pPr>
    </w:p>
    <w:p w:rsidR="006E5AE0" w:rsidRDefault="006E5AE0" w:rsidP="006E5AE0">
      <w:pPr>
        <w:ind w:firstLine="720"/>
        <w:rPr>
          <w:b/>
          <w:i/>
        </w:rPr>
      </w:pPr>
      <w:r>
        <w:rPr>
          <w:b/>
        </w:rPr>
        <w:t xml:space="preserve">Група А: </w:t>
      </w:r>
      <w:r>
        <w:rPr>
          <w:b/>
          <w:i/>
        </w:rPr>
        <w:t>„Почивно дело”</w:t>
      </w:r>
    </w:p>
    <w:p w:rsidR="006E5AE0" w:rsidRDefault="006E5AE0" w:rsidP="006E5AE0">
      <w:pPr>
        <w:rPr>
          <w:b/>
          <w:color w:val="0070C0"/>
          <w:sz w:val="12"/>
          <w:szCs w:val="12"/>
        </w:rPr>
      </w:pPr>
    </w:p>
    <w:p w:rsidR="006E5AE0" w:rsidRDefault="006E5AE0" w:rsidP="006E5AE0">
      <w:pPr>
        <w:ind w:firstLine="709"/>
        <w:jc w:val="both"/>
      </w:pPr>
      <w:r>
        <w:t>Основната цел на публичните разходи и през 2015 г. за група „Почивно дело” е подобряване условията за отдих на работещите. Предвидените със ЗДБРБ за 2015 г. разходи по</w:t>
      </w:r>
      <w:r>
        <w:rPr>
          <w:b/>
        </w:rPr>
        <w:t xml:space="preserve"> държавния бюджет</w:t>
      </w:r>
      <w:r>
        <w:t xml:space="preserve"> за тази група са в размер на </w:t>
      </w:r>
      <w:r w:rsidR="00090A22">
        <w:t>10</w:t>
      </w:r>
      <w:r>
        <w:t>,</w:t>
      </w:r>
      <w:r w:rsidR="00090A22">
        <w:t>6</w:t>
      </w:r>
      <w:r>
        <w:t xml:space="preserve"> млн. лв. и са за финансово обезпечаване на материално техническата база на почивните станции към министерствата и ведомствата. По отчет разходите за почивно дело по държавния бюджет са в размер на 14,1 млн. лв., в т.ч. 13,6 млн. лв. текущи разходи. По </w:t>
      </w:r>
      <w:r>
        <w:rPr>
          <w:b/>
        </w:rPr>
        <w:t>общинските бюджети</w:t>
      </w:r>
      <w:r>
        <w:t xml:space="preserve"> за дейностите в групата са усвоени 3,4 млн. лв., от които 1,0 млн. лв. са капиталови разходи.</w:t>
      </w:r>
    </w:p>
    <w:p w:rsidR="006E5AE0" w:rsidRDefault="006E5AE0" w:rsidP="006E5AE0">
      <w:pPr>
        <w:ind w:firstLine="540"/>
        <w:rPr>
          <w:b/>
          <w:color w:val="0070C0"/>
          <w:sz w:val="12"/>
          <w:szCs w:val="12"/>
        </w:rPr>
      </w:pPr>
    </w:p>
    <w:p w:rsidR="006066E1" w:rsidRDefault="006066E1" w:rsidP="006E5AE0">
      <w:pPr>
        <w:ind w:firstLine="540"/>
        <w:rPr>
          <w:b/>
          <w:lang w:val="en-US"/>
        </w:rPr>
      </w:pPr>
    </w:p>
    <w:p w:rsidR="006E5AE0" w:rsidRDefault="006E5AE0" w:rsidP="006E5AE0">
      <w:pPr>
        <w:ind w:firstLine="540"/>
        <w:rPr>
          <w:b/>
        </w:rPr>
      </w:pPr>
      <w:r>
        <w:rPr>
          <w:b/>
        </w:rPr>
        <w:t xml:space="preserve">Група Б: </w:t>
      </w:r>
      <w:r>
        <w:rPr>
          <w:b/>
          <w:i/>
        </w:rPr>
        <w:t>„Физическа култура и спорт”</w:t>
      </w:r>
    </w:p>
    <w:p w:rsidR="006E5AE0" w:rsidRDefault="006E5AE0" w:rsidP="006E5AE0">
      <w:pPr>
        <w:ind w:firstLine="540"/>
        <w:rPr>
          <w:b/>
          <w:color w:val="0070C0"/>
          <w:sz w:val="12"/>
          <w:szCs w:val="12"/>
        </w:rPr>
      </w:pPr>
    </w:p>
    <w:p w:rsidR="006E5AE0" w:rsidRDefault="00F57F4E" w:rsidP="006E5AE0">
      <w:pPr>
        <w:ind w:firstLine="567"/>
        <w:jc w:val="both"/>
      </w:pPr>
      <w:r>
        <w:t>Отчетените р</w:t>
      </w:r>
      <w:r w:rsidR="006E5AE0">
        <w:t xml:space="preserve">азходи за група „Физическа култура и спорт” по бюджетите на </w:t>
      </w:r>
      <w:r w:rsidR="006E5AE0">
        <w:rPr>
          <w:b/>
        </w:rPr>
        <w:t>министерствата и ведомствата</w:t>
      </w:r>
      <w:r w:rsidR="006E5AE0">
        <w:rPr>
          <w:lang w:val="ru-RU"/>
        </w:rPr>
        <w:t xml:space="preserve"> </w:t>
      </w:r>
      <w:r w:rsidR="006E5AE0">
        <w:t>за 2015 г. са в размер на 48,6 млн. лв. и са средства по бюджета на Министерство на младежта и спорта. За периода разходите за дейности по група „Физическа култура и спорт“ по бюджета на министерството  са нараснали с 4,0 млн. лв. във връзка с извършени промени по  реда на чл.  110, ал. 1 от Закона за публичните финанси за увеличаване на разходите за сметка на налични и постъпили средства по банковата сметка за чужди средства по чл. 59б от Закона за физическото възпитание и спорта /съгл. § 15 от преходните и заключителните разпоредби на ЗПФ/</w:t>
      </w:r>
      <w:r>
        <w:t>, от тях 1,2 млн. лв. са</w:t>
      </w:r>
      <w:r w:rsidR="006E5AE0">
        <w:t xml:space="preserve"> предоставен трансфер на община Кърджали по договор за финансово подпомагане на основен ремонт на стадион „Дружба“.</w:t>
      </w:r>
    </w:p>
    <w:p w:rsidR="006E5AE0" w:rsidRDefault="006E5AE0" w:rsidP="006E5AE0">
      <w:pPr>
        <w:ind w:firstLine="567"/>
        <w:jc w:val="both"/>
      </w:pPr>
      <w:r>
        <w:t xml:space="preserve">Средствата в размер на 48,6 млн. лв. са усвоени за постигане на основните цели и приоритети на провежданите политики в областта на физическото възпитание и спорта: </w:t>
      </w:r>
    </w:p>
    <w:p w:rsidR="006E5AE0" w:rsidRDefault="006E5AE0" w:rsidP="00781B85">
      <w:pPr>
        <w:numPr>
          <w:ilvl w:val="0"/>
          <w:numId w:val="39"/>
        </w:numPr>
        <w:tabs>
          <w:tab w:val="num" w:pos="0"/>
          <w:tab w:val="num" w:pos="851"/>
        </w:tabs>
        <w:ind w:left="851" w:hanging="284"/>
        <w:jc w:val="both"/>
      </w:pPr>
      <w:r>
        <w:t>развитие на ученическия спорт и спорта за високи постижения, като средство за повишаване престижа на нацията;</w:t>
      </w:r>
    </w:p>
    <w:p w:rsidR="006E5AE0" w:rsidRDefault="006E5AE0" w:rsidP="00781B85">
      <w:pPr>
        <w:numPr>
          <w:ilvl w:val="0"/>
          <w:numId w:val="39"/>
        </w:numPr>
        <w:tabs>
          <w:tab w:val="num" w:pos="0"/>
          <w:tab w:val="num" w:pos="851"/>
        </w:tabs>
        <w:ind w:left="851" w:hanging="284"/>
        <w:jc w:val="both"/>
      </w:pPr>
      <w:r>
        <w:t>създаване на условия и възможности за двигателна активност и практикуването на спорта от всички;</w:t>
      </w:r>
    </w:p>
    <w:p w:rsidR="006E5AE0" w:rsidRDefault="006E5AE0" w:rsidP="00781B85">
      <w:pPr>
        <w:numPr>
          <w:ilvl w:val="0"/>
          <w:numId w:val="39"/>
        </w:numPr>
        <w:tabs>
          <w:tab w:val="num" w:pos="0"/>
          <w:tab w:val="num" w:pos="851"/>
        </w:tabs>
        <w:spacing w:after="120"/>
        <w:ind w:left="851" w:hanging="284"/>
        <w:jc w:val="both"/>
      </w:pPr>
      <w:r>
        <w:lastRenderedPageBreak/>
        <w:t>реконструкция и модернизация на спортни обекти и съоръжения и привеждането им в съответствие с международните стандарти.</w:t>
      </w:r>
    </w:p>
    <w:p w:rsidR="006E5AE0" w:rsidRDefault="006E5AE0" w:rsidP="006E5AE0">
      <w:pPr>
        <w:spacing w:after="120"/>
        <w:ind w:firstLine="567"/>
        <w:jc w:val="both"/>
      </w:pPr>
      <w:r>
        <w:t>За периода са отчетени текущи разходи в размер на 48,3 млн. лв.</w:t>
      </w:r>
      <w:r w:rsidRPr="00F57F4E">
        <w:t xml:space="preserve"> От отчетените</w:t>
      </w:r>
      <w:r>
        <w:rPr>
          <w:color w:val="0070C0"/>
        </w:rPr>
        <w:t xml:space="preserve"> </w:t>
      </w:r>
      <w:r>
        <w:t xml:space="preserve">текущи разходи с най-голям относителен дял са разходите за финансиране на спортни дейности 95,5 % </w:t>
      </w:r>
      <w:r w:rsidR="00F57F4E">
        <w:t>(</w:t>
      </w:r>
      <w:r>
        <w:t>46,1 млн. лв.</w:t>
      </w:r>
      <w:r w:rsidR="00F57F4E">
        <w:t>)</w:t>
      </w:r>
      <w:r>
        <w:t xml:space="preserve"> - предоставени субсидии на юридически лица с нестопанска цел за подпомагане реализирането на дейности/проекти на спортни организации във връзка с  развитието на физическото възпитание и спорта в страната. Средствата са изразходвани за реализиране на спортни дейности и проекти по утвърдените бюджетни програми на ММС, както следва:</w:t>
      </w:r>
    </w:p>
    <w:p w:rsidR="00F57F4E" w:rsidRDefault="006E5AE0" w:rsidP="00F57F4E">
      <w:pPr>
        <w:numPr>
          <w:ilvl w:val="0"/>
          <w:numId w:val="39"/>
        </w:numPr>
        <w:tabs>
          <w:tab w:val="num" w:pos="0"/>
          <w:tab w:val="num" w:pos="851"/>
          <w:tab w:val="num" w:pos="1155"/>
          <w:tab w:val="num" w:pos="1210"/>
        </w:tabs>
        <w:ind w:left="0" w:firstLine="567"/>
        <w:jc w:val="both"/>
      </w:pPr>
      <w:r>
        <w:t xml:space="preserve">Бюджетна програма „Олимпийска подготовка“– 31,1 млн. лв., в т.ч.: 15,0 млн. лв. предоставени средства на спортни федерации по договори за олимпийска подготовка, развитие на елитния спорт и олимпийския резерв;  8,3 млн. лв. за развитие на спорта за високи постижения и детско-юношеския спорт; 6,4 млн. лв. за дейности по програма за развитие на спорта в спортните клубове, членове на олимпийски федерации; 1,0 млн. лв. за участието на българската делегация на Първите летни европейски игри в Баку, Азербайджан 2015 г.; </w:t>
      </w:r>
    </w:p>
    <w:p w:rsidR="006E5AE0" w:rsidRDefault="006E5AE0" w:rsidP="00F57F4E">
      <w:pPr>
        <w:numPr>
          <w:ilvl w:val="0"/>
          <w:numId w:val="39"/>
        </w:numPr>
        <w:tabs>
          <w:tab w:val="num" w:pos="0"/>
          <w:tab w:val="num" w:pos="851"/>
          <w:tab w:val="num" w:pos="1155"/>
          <w:tab w:val="num" w:pos="1210"/>
        </w:tabs>
        <w:ind w:left="0" w:firstLine="567"/>
        <w:jc w:val="both"/>
      </w:pPr>
      <w:r>
        <w:t xml:space="preserve">Бюджетна програма „Спорт за високи постижения” – 10,5 млн. лв., в т.ч.: 6,9 млн. лв. за подпомагане организирането и провеждането на световни и европейски първенства на територията на Република България, включени в международния спортен календар; 2,4 млн. лв. предоставени средства по договори за финансиране дейността на  елитния спорт на неолимпийските спортове; </w:t>
      </w:r>
    </w:p>
    <w:p w:rsidR="006E5AE0" w:rsidRDefault="006E5AE0" w:rsidP="00781B85">
      <w:pPr>
        <w:numPr>
          <w:ilvl w:val="0"/>
          <w:numId w:val="39"/>
        </w:numPr>
        <w:tabs>
          <w:tab w:val="num" w:pos="0"/>
          <w:tab w:val="num" w:pos="851"/>
          <w:tab w:val="num" w:pos="1155"/>
          <w:tab w:val="num" w:pos="1210"/>
        </w:tabs>
        <w:ind w:left="0" w:firstLine="567"/>
        <w:jc w:val="both"/>
      </w:pPr>
      <w:r>
        <w:t>Бюджетна програма „Спорт за учащи” –</w:t>
      </w:r>
      <w:r>
        <w:rPr>
          <w:color w:val="0070C0"/>
        </w:rPr>
        <w:t xml:space="preserve"> </w:t>
      </w:r>
      <w:r>
        <w:t xml:space="preserve">1,1 млн. лв., в т.ч.: 0,5 млн. лв. за организиране и провеждане на ученически игри за общообразователни и специални училища; 0,4 млн. лв. по договори за спортна дейност на многоспортови федерации в областта на спорта за учащи; 0,2 млн. лв. за подпомагане реализирането на проекти по програми </w:t>
      </w:r>
      <w:r w:rsidR="00090A22">
        <w:t xml:space="preserve"> „</w:t>
      </w:r>
      <w:r>
        <w:t>Спорт за децата в детските градини</w:t>
      </w:r>
      <w:r w:rsidR="00090A22">
        <w:t>“</w:t>
      </w:r>
      <w:r>
        <w:t xml:space="preserve">, </w:t>
      </w:r>
      <w:r w:rsidR="00090A22">
        <w:t xml:space="preserve"> „</w:t>
      </w:r>
      <w:r>
        <w:t>Спорт за хората с уреждания и деца в риск</w:t>
      </w:r>
      <w:r w:rsidR="00090A22">
        <w:t>“</w:t>
      </w:r>
      <w:r>
        <w:t xml:space="preserve"> и др. проекти на спортни организации; </w:t>
      </w:r>
    </w:p>
    <w:p w:rsidR="006E5AE0" w:rsidRDefault="006E5AE0" w:rsidP="00781B85">
      <w:pPr>
        <w:numPr>
          <w:ilvl w:val="0"/>
          <w:numId w:val="39"/>
        </w:numPr>
        <w:tabs>
          <w:tab w:val="num" w:pos="0"/>
          <w:tab w:val="num" w:pos="851"/>
          <w:tab w:val="num" w:pos="1155"/>
          <w:tab w:val="num" w:pos="1210"/>
        </w:tabs>
        <w:ind w:left="0" w:firstLine="567"/>
        <w:jc w:val="both"/>
      </w:pPr>
      <w:r>
        <w:t>Бюджетна програма „Спорт в свободното време” – 3,4 млн. лв., в т.ч.: 1,0  млн. лв. за финансово подпомагане на проекти на спортни организации по програма спорт за децата в свободното време; 0,9 млн. лв. по програми «Научи се да плуваш» и «Научи се да караш ски»; 0,6 млн. лв. по програми и проекти на спортни организации за развитието на детския футбол, за финансиране на проекти по програми «Децата и спортния клуб» и «Тенисът спорт за всички»; 0,9 млн. лв. за осигуряване на възможности за физическа активност, спортно-състезателна дейност и спортни резултати – финансово подпомагане дейността на 10 многоспортови федерации.</w:t>
      </w:r>
    </w:p>
    <w:p w:rsidR="006E5AE0" w:rsidRDefault="00F57F4E" w:rsidP="006E5AE0">
      <w:pPr>
        <w:ind w:firstLine="567"/>
        <w:jc w:val="both"/>
      </w:pPr>
      <w:r>
        <w:t xml:space="preserve">Средства в размер на </w:t>
      </w:r>
      <w:r w:rsidR="006E5AE0">
        <w:t>2,2 млн. лв.</w:t>
      </w:r>
      <w:r>
        <w:t xml:space="preserve"> са</w:t>
      </w:r>
      <w:r w:rsidR="006E5AE0">
        <w:t xml:space="preserve"> усвоен</w:t>
      </w:r>
      <w:r>
        <w:t>и</w:t>
      </w:r>
      <w:r w:rsidR="006E5AE0">
        <w:t xml:space="preserve"> за  награждаване на спортисти за постигнати призови класирания на световни и европейски първенства (2,0 млн. лв.) и разходи за персонал, издръжка и др. текущи разходи (0,2 млн. лв.). </w:t>
      </w:r>
    </w:p>
    <w:p w:rsidR="006E5AE0" w:rsidRDefault="006E5AE0" w:rsidP="006E5AE0">
      <w:pPr>
        <w:ind w:firstLine="567"/>
        <w:jc w:val="both"/>
      </w:pPr>
      <w:r>
        <w:t>За 2015 г. са отчетени капиталови разходи в размер на 0,3 млн. лв. Средствата са усвоени за реализиране на дейности по бюджетна програма „Спортни обекти и съоръжения“ - предоставен капиталов трансфер на спортна организация за основен ремонт на тренировъчно игрище на стадион „Верея“, гр. Стара Загора.</w:t>
      </w:r>
    </w:p>
    <w:p w:rsidR="006E5AE0" w:rsidRDefault="006E5AE0" w:rsidP="00EC33FC">
      <w:pPr>
        <w:ind w:firstLine="567"/>
        <w:jc w:val="both"/>
      </w:pPr>
      <w:r>
        <w:rPr>
          <w:b/>
        </w:rPr>
        <w:t>По бюджетите на общините</w:t>
      </w:r>
      <w:r>
        <w:t xml:space="preserve"> за група “Физическа култура и спорт” са усвоените средства</w:t>
      </w:r>
      <w:r>
        <w:rPr>
          <w:b/>
        </w:rPr>
        <w:t xml:space="preserve"> </w:t>
      </w:r>
      <w:r>
        <w:t xml:space="preserve">в размер на 117,6 млн. лв., при планирани 42,8 млн. лв. В групата за </w:t>
      </w:r>
      <w:r>
        <w:rPr>
          <w:i/>
        </w:rPr>
        <w:t>делегираните от държавата дейности</w:t>
      </w:r>
      <w:r>
        <w:t xml:space="preserve"> са отчетени текущи разходи в размер на 3,1 млн. лв., които представляват предоставени целеви средства от централния бюджет на общините за подпомагане на физкултурата и спорта в общинските детски градини и училища, в изпълнение на ПМС № 129/2000 г. за определяне на минимални диференцирани размери на паричните средства за физическо възпитание и спорт. По отчетни данни за 2015 г. общините са дофинансирали държавните дейности със собствени </w:t>
      </w:r>
      <w:r>
        <w:lastRenderedPageBreak/>
        <w:t>приходи общо в размер на 0,3 млн. лв</w:t>
      </w:r>
      <w:r>
        <w:rPr>
          <w:lang w:val="en-US"/>
        </w:rPr>
        <w:t xml:space="preserve">. </w:t>
      </w:r>
      <w:r>
        <w:t xml:space="preserve">В </w:t>
      </w:r>
      <w:r>
        <w:rPr>
          <w:i/>
        </w:rPr>
        <w:t>местните дейности</w:t>
      </w:r>
      <w:r>
        <w:t xml:space="preserve"> по групата са отчетени текущи разходи в размер на 4</w:t>
      </w:r>
      <w:r w:rsidR="00F57F4E">
        <w:t>9</w:t>
      </w:r>
      <w:r>
        <w:t>,</w:t>
      </w:r>
      <w:r w:rsidR="00F57F4E">
        <w:t>7</w:t>
      </w:r>
      <w:r>
        <w:t xml:space="preserve"> млн. лв. или с 26,</w:t>
      </w:r>
      <w:r w:rsidR="00F57F4E">
        <w:t>9</w:t>
      </w:r>
      <w:r>
        <w:t xml:space="preserve"> млн. лв. повече спрямо закона, което се дължи предимно на увеличението на предоставените трансфери от общините на спортни организации. Спрямо отчетените за 2014 г. текущите разходи имат увеличение с </w:t>
      </w:r>
      <w:r w:rsidR="00F57F4E">
        <w:t>7</w:t>
      </w:r>
      <w:r>
        <w:t>,</w:t>
      </w:r>
      <w:r w:rsidR="00F57F4E">
        <w:t>1</w:t>
      </w:r>
      <w:r>
        <w:t xml:space="preserve"> млн. лв. Тук се включват разходите за детски и специализирани спортни школи, спортни бази за спорт за всички. Отчетените капиталови разходи по групата са в размер на 64,5 млн. лв., които са основно за местни дейности. Съпоставени с отчета за 2014 г., капиталовите разходи имат увеличение с 11,5 млн. лева.</w:t>
      </w:r>
    </w:p>
    <w:p w:rsidR="006E5AE0" w:rsidRDefault="006E5AE0" w:rsidP="006E5AE0">
      <w:pPr>
        <w:spacing w:after="360"/>
        <w:ind w:firstLine="539"/>
        <w:jc w:val="both"/>
      </w:pPr>
      <w:r>
        <w:rPr>
          <w:b/>
        </w:rPr>
        <w:t>Европейски средства</w:t>
      </w:r>
      <w:r>
        <w:t xml:space="preserve"> – в групата са изразходвани 154,3 млн. лв.</w:t>
      </w:r>
      <w:r>
        <w:rPr>
          <w:b/>
          <w:i/>
        </w:rPr>
        <w:t xml:space="preserve">, </w:t>
      </w:r>
      <w:r>
        <w:t>като това са основно средства</w:t>
      </w:r>
      <w:r>
        <w:rPr>
          <w:b/>
          <w:i/>
        </w:rPr>
        <w:t xml:space="preserve">, </w:t>
      </w:r>
      <w:r>
        <w:t>предоставени от Разплащателната агенция към ДФЗ на общините като бенефициенти по проекти - мерки по Програмата за развитие на селските райони, включващи изграждане на спортни площадки и други спортни съоръжения.</w:t>
      </w:r>
    </w:p>
    <w:p w:rsidR="006E5AE0" w:rsidRDefault="006E5AE0" w:rsidP="006E5AE0">
      <w:pPr>
        <w:spacing w:after="120"/>
        <w:ind w:firstLine="539"/>
        <w:rPr>
          <w:b/>
        </w:rPr>
      </w:pPr>
      <w:r>
        <w:rPr>
          <w:b/>
        </w:rPr>
        <w:t xml:space="preserve">Група В: </w:t>
      </w:r>
      <w:r>
        <w:rPr>
          <w:b/>
          <w:i/>
        </w:rPr>
        <w:t>„Култура”</w:t>
      </w:r>
    </w:p>
    <w:p w:rsidR="006E5AE0" w:rsidRDefault="006E5AE0" w:rsidP="006E5AE0">
      <w:pPr>
        <w:autoSpaceDE w:val="0"/>
        <w:autoSpaceDN w:val="0"/>
        <w:adjustRightInd w:val="0"/>
        <w:spacing w:before="120" w:after="120"/>
        <w:ind w:firstLine="540"/>
        <w:jc w:val="both"/>
      </w:pPr>
      <w:r>
        <w:t xml:space="preserve">Разходите за 2015 г. за група „Култура” по КФП са 525,4 млн. лв., </w:t>
      </w:r>
      <w:r w:rsidR="00F57F4E">
        <w:t xml:space="preserve">отчетени по следните </w:t>
      </w:r>
      <w:r>
        <w:t>основни бюджетни системи: държав</w:t>
      </w:r>
      <w:r w:rsidR="00C72B22">
        <w:t>е</w:t>
      </w:r>
      <w:r>
        <w:t>н бюджет, бюджетите на БНТ, БНР, бюджетите на общините и сметките за европейски средства. Основните цели на</w:t>
      </w:r>
      <w:r>
        <w:rPr>
          <w:color w:val="0070C0"/>
        </w:rPr>
        <w:t xml:space="preserve"> </w:t>
      </w:r>
      <w:r>
        <w:t xml:space="preserve">публичните разходи в областта на културата са насочени към създаване условия за устойчиво развитие на българската култура и изкуство, опазване на културно-историческото наследство, популяризиране достиженията на българските творци и повишаване конкурентоспособността на културния продукт. </w:t>
      </w:r>
    </w:p>
    <w:p w:rsidR="006E5AE0" w:rsidRDefault="006E5AE0" w:rsidP="006E5AE0">
      <w:pPr>
        <w:ind w:firstLine="540"/>
        <w:jc w:val="both"/>
      </w:pPr>
      <w:r>
        <w:t xml:space="preserve">Общо предвидените със ЗДБРБ за 2015 г. разходи за група “Култура” по бюджетите на </w:t>
      </w:r>
      <w:r>
        <w:rPr>
          <w:b/>
        </w:rPr>
        <w:t xml:space="preserve">министерствата и ведомствата </w:t>
      </w:r>
      <w:r>
        <w:t>са в размер на 106,</w:t>
      </w:r>
      <w:r w:rsidR="00F61222">
        <w:t>9</w:t>
      </w:r>
      <w:r>
        <w:t xml:space="preserve"> млн. лв.</w:t>
      </w:r>
      <w:r w:rsidR="009A0EE8">
        <w:rPr>
          <w:lang w:val="en-US"/>
        </w:rPr>
        <w:t xml:space="preserve"> </w:t>
      </w:r>
      <w:r w:rsidR="009A0EE8">
        <w:rPr>
          <w:lang w:val="ru-RU"/>
        </w:rPr>
        <w:t>(</w:t>
      </w:r>
      <w:r w:rsidR="009A0EE8">
        <w:t>вкл. резерва за непредвидени и неотложни разходи</w:t>
      </w:r>
      <w:r w:rsidR="009A0EE8">
        <w:rPr>
          <w:lang w:val="ru-RU"/>
        </w:rPr>
        <w:t>)</w:t>
      </w:r>
      <w:r>
        <w:t>, в т.ч. капиталови разходи – 5,0 млн. лв. Средствата са предназначени за финансиране на част от дейностите за култура на МК, на Държавна агенция „Архиви” към МС, на МВнР, МО и МОН. Отчетените разходи са 111,7 млн. лв., в т.ч. капиталови разходи – 1,5 млн. лева.</w:t>
      </w:r>
    </w:p>
    <w:p w:rsidR="006E5AE0" w:rsidRDefault="006E5AE0" w:rsidP="006E5AE0">
      <w:pPr>
        <w:ind w:firstLine="567"/>
        <w:jc w:val="both"/>
      </w:pPr>
      <w:r>
        <w:t>Чрез бюджета на Министерството на културата се финансират основните системи в областта на културата, като отчетените разходи са в размер на 101,1 млн. лв. и включват управление, контрол и регулиране на дейностите по културата, които обхващат дейността на Националния институт за недвижимо културно наследство и Изпълнителна агенция ”Национален филмов център”, дейности в областта на развитие на културата - „Национален фонд Култура”, дейности в областта на международно културно сътрудничество, осъществявани от българските културни институти в чужбина, дейности в областта на театралното изкуство, осъществявани от драматичните и куклени театри, дейности в областта на музикалното и танцовото изкуство, осъществявани от оперно-филхармонични дружества, опери и оркестри и ансамбли, дейности в областта на музейното дело, осъществявани от музеи и галерии, дейности в областта на българския книжен сектор, дейности в областта на популяризиране на българската култура и участия в международни фестивали и конкурси.</w:t>
      </w:r>
    </w:p>
    <w:p w:rsidR="006E5AE0" w:rsidRDefault="006E5AE0" w:rsidP="006E5AE0">
      <w:pPr>
        <w:ind w:firstLine="567"/>
        <w:jc w:val="both"/>
      </w:pPr>
      <w:r>
        <w:t xml:space="preserve">Отчетените разходи за култура в размер на </w:t>
      </w:r>
      <w:r>
        <w:rPr>
          <w:lang w:val="en-US"/>
        </w:rPr>
        <w:t>6</w:t>
      </w:r>
      <w:r>
        <w:t>,0 млн. лв. от Държавна агенция „Архиви”, второстепенен разпоредител с бюджет към Министерския съвет, са за дейностите по съхраняване и обработка на архивни документи.</w:t>
      </w:r>
    </w:p>
    <w:p w:rsidR="006E5AE0" w:rsidRDefault="006E5AE0" w:rsidP="006E5AE0">
      <w:pPr>
        <w:ind w:firstLine="567"/>
        <w:jc w:val="both"/>
      </w:pPr>
      <w:r>
        <w:t>За популяризиране на българската култура, осъществявана от културния институт към Министерство на външните работи, са отчетени разходи в размер на 0,2 млн. лева.</w:t>
      </w:r>
    </w:p>
    <w:p w:rsidR="006E5AE0" w:rsidRDefault="006E5AE0" w:rsidP="006E5AE0">
      <w:pPr>
        <w:ind w:firstLine="567"/>
        <w:jc w:val="both"/>
      </w:pPr>
      <w:r>
        <w:t>За съхраняване историята на образованието по бюджета на Министерство на образованието и науката са направени разходи в размер на 0,2 млн. лева.</w:t>
      </w:r>
    </w:p>
    <w:p w:rsidR="006E5AE0" w:rsidRDefault="006E5AE0" w:rsidP="006E5AE0">
      <w:pPr>
        <w:ind w:firstLine="567"/>
        <w:jc w:val="both"/>
      </w:pPr>
      <w:r>
        <w:t>Отчетените разходи по група „Култура“ по бюджета на Министерството на отбраната са в размер на 4,2 млн. лв. Средствата са използвани за Националния военно исторически музей, Ансамбъла на българската армия и Военния телевизионен канал.</w:t>
      </w:r>
    </w:p>
    <w:p w:rsidR="006E5AE0" w:rsidRDefault="006E5AE0" w:rsidP="006E5AE0">
      <w:pPr>
        <w:ind w:firstLine="567"/>
        <w:jc w:val="both"/>
      </w:pPr>
      <w:r>
        <w:lastRenderedPageBreak/>
        <w:t xml:space="preserve">Разходите по бюджета на </w:t>
      </w:r>
      <w:r>
        <w:rPr>
          <w:b/>
        </w:rPr>
        <w:t>Българската академия на науките</w:t>
      </w:r>
      <w:r>
        <w:t xml:space="preserve"> по функция "Култура“ в размер на 1,5 млн. лв. са извършени за Института по експериментална морфология, патология и антропология с Националния природонаучен музей и Института за етнология и фолклористика с Етнографски музей.</w:t>
      </w:r>
    </w:p>
    <w:p w:rsidR="006E5AE0" w:rsidRDefault="006E5AE0" w:rsidP="006E5AE0">
      <w:pPr>
        <w:ind w:firstLine="567"/>
        <w:jc w:val="both"/>
        <w:rPr>
          <w:lang w:eastAsia="en-US"/>
        </w:rPr>
      </w:pPr>
      <w:r w:rsidRPr="00131995">
        <w:t>Отчете</w:t>
      </w:r>
      <w:r w:rsidRPr="00DC7A48">
        <w:t xml:space="preserve">ните разходи на </w:t>
      </w:r>
      <w:r w:rsidRPr="00131995">
        <w:rPr>
          <w:b/>
        </w:rPr>
        <w:t>БНТ</w:t>
      </w:r>
      <w:r w:rsidRPr="00131995">
        <w:t xml:space="preserve"> в размер на 83,2</w:t>
      </w:r>
      <w:r w:rsidRPr="00131995">
        <w:rPr>
          <w:lang w:val="en-US"/>
        </w:rPr>
        <w:t xml:space="preserve"> </w:t>
      </w:r>
      <w:r w:rsidRPr="00131995">
        <w:t xml:space="preserve">млн. лв. са за </w:t>
      </w:r>
      <w:r w:rsidRPr="00131995">
        <w:rPr>
          <w:lang w:eastAsia="en-US"/>
        </w:rPr>
        <w:t>подготовка, създаване и</w:t>
      </w:r>
      <w:r>
        <w:rPr>
          <w:lang w:eastAsia="en-US"/>
        </w:rPr>
        <w:t xml:space="preserve"> разпространение на национални, сателитната и регионални програми.</w:t>
      </w:r>
    </w:p>
    <w:p w:rsidR="006E5AE0" w:rsidRDefault="006E5AE0" w:rsidP="006E5AE0">
      <w:pPr>
        <w:tabs>
          <w:tab w:val="num" w:pos="720"/>
        </w:tabs>
        <w:ind w:firstLine="567"/>
        <w:jc w:val="both"/>
        <w:rPr>
          <w:lang w:eastAsia="en-US"/>
        </w:rPr>
      </w:pPr>
      <w:r>
        <w:t xml:space="preserve">Отчетените разходи на </w:t>
      </w:r>
      <w:r>
        <w:rPr>
          <w:b/>
        </w:rPr>
        <w:t>БНР</w:t>
      </w:r>
      <w:r>
        <w:t xml:space="preserve"> в размер на 43,8 млн. лв. са използвани за </w:t>
      </w:r>
      <w:r>
        <w:rPr>
          <w:lang w:eastAsia="en-US"/>
        </w:rPr>
        <w:t>подготовка, създаване и разпространение на национални и регионални програми, международна програма „Радио България“ и интернет радио.</w:t>
      </w:r>
    </w:p>
    <w:p w:rsidR="006E5AE0" w:rsidRDefault="006E5AE0" w:rsidP="006E5AE0">
      <w:pPr>
        <w:ind w:firstLine="567"/>
        <w:jc w:val="both"/>
        <w:rPr>
          <w:lang w:eastAsia="en-US"/>
        </w:rPr>
      </w:pPr>
      <w:r>
        <w:rPr>
          <w:lang w:eastAsia="en-US"/>
        </w:rPr>
        <w:t xml:space="preserve">Разходите на </w:t>
      </w:r>
      <w:r>
        <w:rPr>
          <w:b/>
          <w:lang w:eastAsia="en-US"/>
        </w:rPr>
        <w:t>Българска телеграфна агенция</w:t>
      </w:r>
      <w:r>
        <w:rPr>
          <w:lang w:eastAsia="en-US"/>
        </w:rPr>
        <w:t xml:space="preserve"> в размер на 6,0</w:t>
      </w:r>
      <w:r>
        <w:rPr>
          <w:lang w:val="en-US" w:eastAsia="en-US"/>
        </w:rPr>
        <w:t> </w:t>
      </w:r>
      <w:r>
        <w:rPr>
          <w:lang w:eastAsia="en-US"/>
        </w:rPr>
        <w:t>млн. лв. са предназначен</w:t>
      </w:r>
      <w:r w:rsidR="00C72B22">
        <w:rPr>
          <w:lang w:eastAsia="en-US"/>
        </w:rPr>
        <w:t>и</w:t>
      </w:r>
      <w:r>
        <w:rPr>
          <w:lang w:eastAsia="en-US"/>
        </w:rPr>
        <w:t xml:space="preserve"> за финансиране на дейностите, които агенцията осъществява като национален независим информационен институт на Република България.</w:t>
      </w:r>
    </w:p>
    <w:p w:rsidR="006E5AE0" w:rsidRDefault="006E5AE0" w:rsidP="006E5AE0">
      <w:pPr>
        <w:ind w:firstLine="540"/>
        <w:jc w:val="both"/>
      </w:pPr>
      <w:r>
        <w:t xml:space="preserve">В група „Култура” по </w:t>
      </w:r>
      <w:r>
        <w:rPr>
          <w:b/>
        </w:rPr>
        <w:t>бюджетите на общините</w:t>
      </w:r>
      <w:r>
        <w:t xml:space="preserve"> са отчетени разходи в размер на 217,6 млн. лв., от които текущи 194,6 млн. лв. и капиталови 23,0 млн. лв. Изпълнението на общо разходите в групата спрямо предвидените разчети към ЗДБРБ за 2014 г. е 102,8 %. Разходите в тази група за общините са с най-голям дял по КФП. </w:t>
      </w:r>
    </w:p>
    <w:p w:rsidR="006E5AE0" w:rsidRDefault="006E5AE0" w:rsidP="006E5AE0">
      <w:pPr>
        <w:ind w:firstLine="540"/>
        <w:jc w:val="both"/>
      </w:pPr>
      <w:r>
        <w:t xml:space="preserve">Отчетените текущи разходи за </w:t>
      </w:r>
      <w:r>
        <w:rPr>
          <w:i/>
        </w:rPr>
        <w:t>делегираните от държавата дейности</w:t>
      </w:r>
      <w:r>
        <w:t xml:space="preserve"> за годината са в общ размер на 86,5 млн. лв. В делегираните от държавата дейности се отчитат разходите за персонал и издръжка на библиотеките, музеите и художествените галерии с регионален характер и на читалищата. С най-голям относителен дял са отчетените субсидии за читалищата в размер на 51,6 млн. лв. или 59,7 %</w:t>
      </w:r>
      <w:r w:rsidR="00C72B22">
        <w:t xml:space="preserve"> от текущите разходи в групата</w:t>
      </w:r>
      <w:r>
        <w:t>. По отчетни данни за 201</w:t>
      </w:r>
      <w:r w:rsidR="00C72B22">
        <w:t>5</w:t>
      </w:r>
      <w:r>
        <w:t xml:space="preserve"> г. общините са дофинансирали държавните дейности със собствени приходи общо в размер на 17,6 млн. лв. </w:t>
      </w:r>
    </w:p>
    <w:p w:rsidR="006E5AE0" w:rsidRDefault="006E5AE0" w:rsidP="006E5AE0">
      <w:pPr>
        <w:spacing w:after="120"/>
        <w:ind w:firstLine="539"/>
        <w:jc w:val="both"/>
      </w:pPr>
      <w:r>
        <w:t xml:space="preserve">В </w:t>
      </w:r>
      <w:r>
        <w:rPr>
          <w:i/>
        </w:rPr>
        <w:t xml:space="preserve">местните дейности </w:t>
      </w:r>
      <w:r>
        <w:t>по група „Култура” са отчетени текущи разходи в размер на 96,4 млн. лв., което е 93,2 % спрямо разчетените по закон и 110,0 % спрямо отчетените за 2014 г. Тук се включват разходите за общински театри, филхармонии, оркестри и ансамбли, музеи, художествени галерии с местен характер, градски библиотеки, обредни домове и зали, зоопаркове и други дейности по културата.</w:t>
      </w:r>
    </w:p>
    <w:p w:rsidR="006066E1" w:rsidRPr="004126A8" w:rsidRDefault="006E5AE0" w:rsidP="004126A8">
      <w:pPr>
        <w:pStyle w:val="BodyText2"/>
        <w:spacing w:after="0" w:line="240" w:lineRule="auto"/>
        <w:ind w:firstLine="539"/>
        <w:jc w:val="both"/>
        <w:rPr>
          <w:lang w:val="en-US"/>
        </w:rPr>
      </w:pPr>
      <w:r>
        <w:rPr>
          <w:b/>
        </w:rPr>
        <w:t xml:space="preserve">Европейски средства - </w:t>
      </w:r>
      <w:r>
        <w:t>изразходваните средства в група „Култура“ са 58,8 млн. лв.</w:t>
      </w:r>
      <w:r>
        <w:rPr>
          <w:color w:val="0070C0"/>
        </w:rPr>
        <w:t xml:space="preserve"> </w:t>
      </w:r>
      <w:r>
        <w:t xml:space="preserve">От тези средства, 34,0 млн. лв. са по </w:t>
      </w:r>
      <w:r>
        <w:rPr>
          <w:b/>
          <w:i/>
        </w:rPr>
        <w:t>Оперативна програма „Регионално развитие</w:t>
      </w:r>
      <w:r>
        <w:t xml:space="preserve">”. Стратегия на програмата в това функционално направление е да се повиши конкурентоспособността и привлекателността на регионите и общините посредством подобряване на културната среда на градските райони и достъпността на селските райони по отношение на пътните, информационните и комуникационни, както и енергийните мрежи. Една от целите на програмата в областта на културата е подобряване състоянието на физическата среда и благоустройството в градовете и селата за подобряване на тяхното развитие. В тази функционална област се извършват дейности по благоустройството, свързани с поддръжката и опазването на културно-историческото наследство в населените места. Програмата спомага за превръщането на културно-историческото наследство от обект на опазване в инструмент за градско развитие. </w:t>
      </w:r>
    </w:p>
    <w:p w:rsidR="006E5AE0" w:rsidRDefault="006E5AE0" w:rsidP="006E5AE0">
      <w:pPr>
        <w:pStyle w:val="BodyText2"/>
        <w:spacing w:after="0" w:line="240" w:lineRule="auto"/>
        <w:ind w:firstLine="539"/>
        <w:jc w:val="both"/>
        <w:rPr>
          <w:color w:val="0070C0"/>
          <w:sz w:val="10"/>
          <w:szCs w:val="10"/>
        </w:rPr>
      </w:pPr>
    </w:p>
    <w:p w:rsidR="006E5AE0" w:rsidRDefault="006E5AE0" w:rsidP="006E5AE0">
      <w:pPr>
        <w:spacing w:after="120"/>
        <w:ind w:firstLine="539"/>
        <w:rPr>
          <w:b/>
        </w:rPr>
      </w:pPr>
      <w:r>
        <w:rPr>
          <w:b/>
        </w:rPr>
        <w:t xml:space="preserve">Група Г: </w:t>
      </w:r>
      <w:r>
        <w:rPr>
          <w:b/>
          <w:i/>
        </w:rPr>
        <w:t>„Религиозно дело”</w:t>
      </w:r>
    </w:p>
    <w:p w:rsidR="006066E1" w:rsidRDefault="006E5AE0" w:rsidP="004126A8">
      <w:pPr>
        <w:spacing w:before="120"/>
        <w:ind w:right="-288" w:firstLine="540"/>
        <w:jc w:val="both"/>
        <w:rPr>
          <w:lang w:val="en-US"/>
        </w:rPr>
      </w:pPr>
      <w:r>
        <w:t>Съгласно ч</w:t>
      </w:r>
      <w:r>
        <w:rPr>
          <w:bCs/>
        </w:rPr>
        <w:t xml:space="preserve">л. 28 от </w:t>
      </w:r>
      <w:r>
        <w:t>Закона за вероизповеданията р</w:t>
      </w:r>
      <w:r>
        <w:rPr>
          <w:rStyle w:val="selection"/>
        </w:rPr>
        <w:t>азпределението</w:t>
      </w:r>
      <w:r>
        <w:t xml:space="preserve"> на държавната субсидия за регистрираните вероизповедания се извършва с годишния закон за държавния бюджет. Със ЗДБРБ за 2015 г. за група „Религиозно дело“ </w:t>
      </w:r>
      <w:r w:rsidR="00C72B22">
        <w:t xml:space="preserve">по държавния бюджет </w:t>
      </w:r>
      <w:r>
        <w:t xml:space="preserve">са предвидени </w:t>
      </w:r>
      <w:r w:rsidR="00C72B22">
        <w:t>13</w:t>
      </w:r>
      <w:r>
        <w:t>,</w:t>
      </w:r>
      <w:r w:rsidR="00C72B22">
        <w:t>2</w:t>
      </w:r>
      <w:r>
        <w:t xml:space="preserve"> млн. лв.</w:t>
      </w:r>
      <w:r w:rsidR="00C72B22">
        <w:t>, от които са у</w:t>
      </w:r>
      <w:r>
        <w:t>своени 7,2 млн. лв.</w:t>
      </w:r>
      <w:r w:rsidR="00C72B22">
        <w:t xml:space="preserve">, изразходвани </w:t>
      </w:r>
      <w:r>
        <w:t xml:space="preserve">основно </w:t>
      </w:r>
      <w:r w:rsidR="00C72B22">
        <w:t xml:space="preserve">за </w:t>
      </w:r>
      <w:r>
        <w:t>текущи разходи.</w:t>
      </w:r>
    </w:p>
    <w:p w:rsidR="00392639" w:rsidRDefault="00392639" w:rsidP="004126A8">
      <w:pPr>
        <w:spacing w:before="120"/>
        <w:ind w:right="-288" w:firstLine="540"/>
        <w:jc w:val="both"/>
        <w:rPr>
          <w:lang w:val="en-US"/>
        </w:rPr>
      </w:pPr>
    </w:p>
    <w:p w:rsidR="00392639" w:rsidRPr="00392639" w:rsidRDefault="00392639" w:rsidP="004126A8">
      <w:pPr>
        <w:spacing w:before="120"/>
        <w:ind w:right="-288" w:firstLine="540"/>
        <w:jc w:val="both"/>
        <w:rPr>
          <w:lang w:val="en-US"/>
        </w:rPr>
      </w:pPr>
    </w:p>
    <w:p w:rsidR="006E5AE0" w:rsidRDefault="006E5AE0" w:rsidP="00781B85">
      <w:pPr>
        <w:pStyle w:val="Heading3"/>
        <w:numPr>
          <w:ilvl w:val="2"/>
          <w:numId w:val="15"/>
        </w:numPr>
        <w:spacing w:before="120" w:after="0"/>
        <w:rPr>
          <w:rFonts w:ascii="Times New Roman" w:hAnsi="Times New Roman"/>
          <w:sz w:val="24"/>
          <w:lang w:val="en-US"/>
        </w:rPr>
      </w:pPr>
      <w:bookmarkStart w:id="258" w:name="_Toc326315921"/>
      <w:bookmarkStart w:id="259" w:name="_Toc324863429"/>
      <w:bookmarkStart w:id="260" w:name="_Toc261276593"/>
      <w:bookmarkStart w:id="261" w:name="_Toc462146129"/>
      <w:r>
        <w:rPr>
          <w:rFonts w:ascii="Times New Roman" w:hAnsi="Times New Roman"/>
          <w:sz w:val="24"/>
          <w:lang w:val="bg-BG"/>
        </w:rPr>
        <w:lastRenderedPageBreak/>
        <w:t>Икономически дейности и услуги</w:t>
      </w:r>
      <w:bookmarkEnd w:id="258"/>
      <w:bookmarkEnd w:id="259"/>
      <w:bookmarkEnd w:id="260"/>
      <w:bookmarkEnd w:id="261"/>
    </w:p>
    <w:p w:rsidR="006066E1" w:rsidRPr="006066E1" w:rsidRDefault="006066E1" w:rsidP="006066E1">
      <w:pPr>
        <w:rPr>
          <w:lang w:val="en-US"/>
        </w:rPr>
      </w:pPr>
    </w:p>
    <w:p w:rsidR="006E5AE0" w:rsidRDefault="006E5AE0" w:rsidP="006E5AE0">
      <w:pPr>
        <w:ind w:firstLine="567"/>
        <w:jc w:val="both"/>
        <w:rPr>
          <w:lang w:val="en-US"/>
        </w:rPr>
      </w:pPr>
      <w:r>
        <w:t>Тази функция отразява ангажименти по извършване на структурните реформи и взаимоотношенията на бюджета с реалния сектор. Основен механизъм на тези взаимоотношения са програмите по финансиране и субсидиране на отделните подотрасли, както и издръжката на администрациите, ангажирани в този процес.</w:t>
      </w:r>
    </w:p>
    <w:p w:rsidR="004126A8" w:rsidRPr="004126A8" w:rsidRDefault="004126A8" w:rsidP="004126A8">
      <w:pPr>
        <w:rPr>
          <w:b/>
          <w:sz w:val="20"/>
          <w:lang w:val="en-US"/>
        </w:rPr>
      </w:pPr>
    </w:p>
    <w:tbl>
      <w:tblPr>
        <w:tblpPr w:leftFromText="141" w:rightFromText="141" w:vertAnchor="text" w:horzAnchor="margin" w:tblpXSpec="center" w:tblpY="178"/>
        <w:tblW w:w="10704" w:type="dxa"/>
        <w:tblLayout w:type="fixed"/>
        <w:tblCellMar>
          <w:left w:w="70" w:type="dxa"/>
          <w:right w:w="70" w:type="dxa"/>
        </w:tblCellMar>
        <w:tblLook w:val="04A0" w:firstRow="1" w:lastRow="0" w:firstColumn="1" w:lastColumn="0" w:noHBand="0" w:noVBand="1"/>
      </w:tblPr>
      <w:tblGrid>
        <w:gridCol w:w="3758"/>
        <w:gridCol w:w="992"/>
        <w:gridCol w:w="851"/>
        <w:gridCol w:w="708"/>
        <w:gridCol w:w="993"/>
        <w:gridCol w:w="850"/>
        <w:gridCol w:w="851"/>
        <w:gridCol w:w="850"/>
        <w:gridCol w:w="851"/>
      </w:tblGrid>
      <w:tr w:rsidR="006E5AE0" w:rsidTr="00E96E16">
        <w:trPr>
          <w:trHeight w:val="780"/>
        </w:trPr>
        <w:tc>
          <w:tcPr>
            <w:tcW w:w="3758"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ОТЧЕТ 2015 г.</w:t>
            </w:r>
          </w:p>
        </w:tc>
        <w:tc>
          <w:tcPr>
            <w:tcW w:w="992" w:type="dxa"/>
            <w:tcBorders>
              <w:top w:val="double" w:sz="6" w:space="0" w:color="800000"/>
              <w:left w:val="single" w:sz="4" w:space="0" w:color="FFFFFF"/>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КФП</w:t>
            </w:r>
          </w:p>
        </w:tc>
        <w:tc>
          <w:tcPr>
            <w:tcW w:w="851" w:type="dxa"/>
            <w:tcBorders>
              <w:top w:val="double" w:sz="6" w:space="0" w:color="800000"/>
              <w:left w:val="single" w:sz="4" w:space="0" w:color="FFFFFF"/>
              <w:bottom w:val="double" w:sz="6" w:space="0" w:color="800000"/>
              <w:right w:val="single" w:sz="4" w:space="0" w:color="FFFFFF"/>
            </w:tcBorders>
            <w:shd w:val="clear" w:color="auto" w:fill="800000"/>
            <w:vAlign w:val="center"/>
            <w:hideMark/>
          </w:tcPr>
          <w:p w:rsidR="006E5AE0" w:rsidRPr="006E5AE0" w:rsidRDefault="006E5AE0">
            <w:pPr>
              <w:jc w:val="center"/>
              <w:rPr>
                <w:b/>
                <w:bCs/>
                <w:color w:val="FFFFFF"/>
                <w:sz w:val="18"/>
                <w:szCs w:val="18"/>
              </w:rPr>
            </w:pPr>
            <w:r w:rsidRPr="006E5AE0">
              <w:rPr>
                <w:b/>
                <w:bCs/>
                <w:color w:val="FFFFFF"/>
                <w:sz w:val="18"/>
                <w:szCs w:val="18"/>
              </w:rPr>
              <w:t>ДБ</w:t>
            </w:r>
          </w:p>
        </w:tc>
        <w:tc>
          <w:tcPr>
            <w:tcW w:w="708" w:type="dxa"/>
            <w:tcBorders>
              <w:top w:val="double" w:sz="6" w:space="0" w:color="800000"/>
              <w:left w:val="single" w:sz="4" w:space="0" w:color="FFFFFF"/>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БАН</w:t>
            </w:r>
          </w:p>
        </w:tc>
        <w:tc>
          <w:tcPr>
            <w:tcW w:w="993" w:type="dxa"/>
            <w:tcBorders>
              <w:top w:val="double" w:sz="6" w:space="0" w:color="800000"/>
              <w:left w:val="single" w:sz="4" w:space="0" w:color="FFFFFF"/>
              <w:bottom w:val="double" w:sz="6" w:space="0" w:color="800000"/>
              <w:right w:val="single" w:sz="4" w:space="0" w:color="FFFFFF"/>
            </w:tcBorders>
            <w:shd w:val="clear" w:color="auto" w:fill="800000"/>
            <w:vAlign w:val="center"/>
            <w:hideMark/>
          </w:tcPr>
          <w:p w:rsidR="006E5AE0" w:rsidRPr="006E5AE0" w:rsidRDefault="006E5AE0">
            <w:pPr>
              <w:jc w:val="center"/>
              <w:rPr>
                <w:b/>
                <w:bCs/>
                <w:color w:val="FFFFFF"/>
                <w:sz w:val="18"/>
                <w:szCs w:val="18"/>
              </w:rPr>
            </w:pPr>
            <w:r w:rsidRPr="006E5AE0">
              <w:rPr>
                <w:b/>
                <w:bCs/>
                <w:color w:val="FFFFFF"/>
                <w:sz w:val="18"/>
                <w:szCs w:val="18"/>
              </w:rPr>
              <w:t>Общини</w:t>
            </w:r>
          </w:p>
        </w:tc>
        <w:tc>
          <w:tcPr>
            <w:tcW w:w="850" w:type="dxa"/>
            <w:tcBorders>
              <w:top w:val="double" w:sz="6" w:space="0" w:color="800000"/>
              <w:left w:val="single" w:sz="4" w:space="0" w:color="FFFFFF"/>
              <w:bottom w:val="double" w:sz="6" w:space="0" w:color="800000"/>
              <w:right w:val="single" w:sz="4" w:space="0" w:color="FFFFFF"/>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ДМП</w:t>
            </w:r>
          </w:p>
        </w:tc>
        <w:tc>
          <w:tcPr>
            <w:tcW w:w="851" w:type="dxa"/>
            <w:tcBorders>
              <w:top w:val="double" w:sz="6" w:space="0" w:color="800000"/>
              <w:left w:val="single" w:sz="4" w:space="0" w:color="FFFFFF"/>
              <w:bottom w:val="double" w:sz="6" w:space="0" w:color="800000"/>
              <w:right w:val="single" w:sz="4" w:space="0" w:color="FFFFFF"/>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ЕВРОП. СР/ВА</w:t>
            </w:r>
          </w:p>
        </w:tc>
        <w:tc>
          <w:tcPr>
            <w:tcW w:w="850" w:type="dxa"/>
            <w:tcBorders>
              <w:top w:val="double" w:sz="6" w:space="0" w:color="800000"/>
              <w:left w:val="single" w:sz="4" w:space="0" w:color="FFFFFF"/>
              <w:bottom w:val="double" w:sz="6" w:space="0" w:color="800000"/>
              <w:right w:val="single" w:sz="4" w:space="0" w:color="FFFFFF"/>
            </w:tcBorders>
            <w:shd w:val="clear" w:color="auto" w:fill="800000"/>
            <w:vAlign w:val="center"/>
            <w:hideMark/>
          </w:tcPr>
          <w:p w:rsidR="006E5AE0" w:rsidRPr="006E5AE0" w:rsidRDefault="006E5AE0">
            <w:pPr>
              <w:jc w:val="center"/>
              <w:rPr>
                <w:b/>
                <w:bCs/>
                <w:color w:val="FFFFFF"/>
                <w:sz w:val="16"/>
                <w:szCs w:val="16"/>
              </w:rPr>
            </w:pPr>
            <w:r>
              <w:rPr>
                <w:b/>
                <w:bCs/>
                <w:color w:val="FFFFFF"/>
                <w:sz w:val="16"/>
                <w:szCs w:val="16"/>
              </w:rPr>
              <w:t>НКСИП</w:t>
            </w:r>
          </w:p>
        </w:tc>
        <w:tc>
          <w:tcPr>
            <w:tcW w:w="851" w:type="dxa"/>
            <w:tcBorders>
              <w:top w:val="double" w:sz="6" w:space="0" w:color="800000"/>
              <w:left w:val="single" w:sz="4" w:space="0" w:color="FFFFFF"/>
              <w:bottom w:val="double" w:sz="6" w:space="0" w:color="800000"/>
              <w:right w:val="double" w:sz="6" w:space="0" w:color="800000"/>
            </w:tcBorders>
            <w:shd w:val="clear" w:color="auto" w:fill="800000"/>
            <w:vAlign w:val="center"/>
            <w:hideMark/>
          </w:tcPr>
          <w:p w:rsidR="006E5AE0" w:rsidRPr="006E5AE0" w:rsidRDefault="006E5AE0">
            <w:pPr>
              <w:jc w:val="center"/>
              <w:rPr>
                <w:b/>
                <w:bCs/>
                <w:color w:val="FFFFFF"/>
                <w:sz w:val="16"/>
                <w:szCs w:val="16"/>
              </w:rPr>
            </w:pPr>
            <w:r w:rsidRPr="006E5AE0">
              <w:rPr>
                <w:b/>
                <w:bCs/>
                <w:color w:val="FFFFFF"/>
                <w:sz w:val="16"/>
                <w:szCs w:val="16"/>
              </w:rPr>
              <w:t>ФСЕС</w:t>
            </w:r>
          </w:p>
        </w:tc>
      </w:tr>
      <w:tr w:rsidR="00C00355" w:rsidTr="00E96E16">
        <w:trPr>
          <w:trHeight w:val="330"/>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b/>
                <w:bCs/>
                <w:sz w:val="18"/>
                <w:szCs w:val="18"/>
              </w:rPr>
            </w:pPr>
            <w:r>
              <w:rPr>
                <w:b/>
                <w:bCs/>
                <w:sz w:val="18"/>
                <w:szCs w:val="18"/>
              </w:rPr>
              <w:t>VIII. ИКОНОМИЧЕСКИ ДЕЙНОСТИ И УСЛУГИ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5 217,9</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1 638,5</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0,9</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303,2</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1,9</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3 088,8</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b/>
                <w:bCs/>
                <w:color w:val="000000"/>
                <w:sz w:val="18"/>
                <w:szCs w:val="18"/>
              </w:rPr>
            </w:pPr>
            <w:r>
              <w:rPr>
                <w:b/>
                <w:bCs/>
                <w:color w:val="000000"/>
                <w:sz w:val="18"/>
                <w:szCs w:val="18"/>
              </w:rPr>
              <w:t>1,4</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183,2</w:t>
            </w:r>
          </w:p>
        </w:tc>
      </w:tr>
      <w:tr w:rsidR="00C00355" w:rsidTr="00E96E16">
        <w:trPr>
          <w:trHeight w:val="31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b/>
                <w:bCs/>
                <w:sz w:val="18"/>
                <w:szCs w:val="18"/>
              </w:rPr>
            </w:pPr>
            <w:r>
              <w:rPr>
                <w:b/>
                <w:bCs/>
                <w:sz w:val="18"/>
                <w:szCs w:val="18"/>
              </w:rPr>
              <w:t>А. МИННО ДЕЛО, ГОРИВА И ЕНЕРГИЯ</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252,8</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62,6</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0,0</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1,4</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5,6</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183,2</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223,6</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35,8</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0,0</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1,4</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3,2</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183,2</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29,2</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26,8</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0,0</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2,4</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31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b/>
                <w:bCs/>
                <w:sz w:val="18"/>
                <w:szCs w:val="18"/>
              </w:rPr>
            </w:pPr>
            <w:r>
              <w:rPr>
                <w:b/>
                <w:bCs/>
                <w:sz w:val="18"/>
                <w:szCs w:val="18"/>
              </w:rPr>
              <w:t>Б. СЕЛСКО СТОПАНСТВО, ГОРСКО СТОПАНСТВО, ЛОВ И РИБОЛОВ</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1 571,7</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507,4</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19,5</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0,1</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1 044,7</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652,7</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499,1</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18,4</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0,1</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135,1</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919,0</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8,3</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1,1</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909,6</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b/>
                <w:bCs/>
                <w:sz w:val="18"/>
                <w:szCs w:val="18"/>
              </w:rPr>
            </w:pPr>
            <w:r>
              <w:rPr>
                <w:b/>
                <w:bCs/>
                <w:sz w:val="18"/>
                <w:szCs w:val="18"/>
              </w:rPr>
              <w:t>В. ТРАНСПОРТ И СЪОБЩЕНИЯ</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2 805,0</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1 003,4</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206,4</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1 593,8</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b/>
                <w:bCs/>
                <w:color w:val="000000"/>
                <w:sz w:val="18"/>
                <w:szCs w:val="18"/>
              </w:rPr>
            </w:pPr>
            <w:r>
              <w:rPr>
                <w:b/>
                <w:bCs/>
                <w:color w:val="000000"/>
                <w:sz w:val="18"/>
                <w:szCs w:val="18"/>
              </w:rPr>
              <w:t>1,4</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r>
      <w:tr w:rsidR="00C00355" w:rsidTr="00E96E16">
        <w:trPr>
          <w:trHeight w:val="31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805,5</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673,8</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90,3</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39,9</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1,4</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1 999,5</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329,5</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116,0</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1 553,9</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0,0</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b/>
                <w:bCs/>
                <w:sz w:val="18"/>
                <w:szCs w:val="18"/>
              </w:rPr>
            </w:pPr>
            <w:r>
              <w:rPr>
                <w:b/>
                <w:bCs/>
                <w:sz w:val="18"/>
                <w:szCs w:val="18"/>
              </w:rPr>
              <w:t>Г. ПРОМИШЛЕНОСТ И СТРОИТЕЛСТВО</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12,0</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7,3</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4,7</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r>
      <w:tr w:rsidR="00C00355" w:rsidTr="00E96E16">
        <w:trPr>
          <w:trHeight w:val="31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12,0</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7,3</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4,7</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b/>
                <w:bCs/>
                <w:sz w:val="18"/>
                <w:szCs w:val="18"/>
              </w:rPr>
            </w:pPr>
            <w:r>
              <w:rPr>
                <w:b/>
                <w:bCs/>
                <w:sz w:val="18"/>
                <w:szCs w:val="18"/>
              </w:rPr>
              <w:t>Д. ТУРИЗЪМ</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41,2</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7,5</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6,3</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27,5</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27,4</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7,5</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5,8</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14,1</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Капиталови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13,8</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0,0</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0,5</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13,4</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b/>
                <w:bCs/>
                <w:sz w:val="18"/>
                <w:szCs w:val="18"/>
              </w:rPr>
            </w:pPr>
            <w:r>
              <w:rPr>
                <w:b/>
                <w:bCs/>
                <w:sz w:val="18"/>
                <w:szCs w:val="18"/>
              </w:rPr>
              <w:t>Е. ДРУГИ ДЕЙНОСТИ ПО ИКОНОМИКАТА</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535,1</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50,3</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0,9</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71,1</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0,4</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412,5</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b/>
                <w:bCs/>
                <w:color w:val="000000"/>
                <w:sz w:val="18"/>
                <w:szCs w:val="18"/>
              </w:rPr>
            </w:pPr>
            <w:r>
              <w:rPr>
                <w:b/>
                <w:bCs/>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b/>
                <w:bCs/>
                <w:color w:val="000000"/>
                <w:sz w:val="18"/>
                <w:szCs w:val="18"/>
              </w:rPr>
            </w:pPr>
            <w:r>
              <w:rPr>
                <w:b/>
                <w:bCs/>
                <w:color w:val="000000"/>
                <w:sz w:val="18"/>
                <w:szCs w:val="18"/>
              </w:rPr>
              <w:t> </w:t>
            </w:r>
          </w:p>
        </w:tc>
      </w:tr>
      <w:tr w:rsidR="00C00355" w:rsidTr="00E96E16">
        <w:trPr>
          <w:trHeight w:val="255"/>
        </w:trPr>
        <w:tc>
          <w:tcPr>
            <w:tcW w:w="3758" w:type="dxa"/>
            <w:tcBorders>
              <w:top w:val="nil"/>
              <w:left w:val="double" w:sz="6" w:space="0" w:color="800000"/>
              <w:bottom w:val="nil"/>
              <w:right w:val="single" w:sz="4" w:space="0" w:color="800000"/>
            </w:tcBorders>
            <w:shd w:val="clear" w:color="auto" w:fill="FFFFCC"/>
            <w:noWrap/>
            <w:vAlign w:val="bottom"/>
            <w:hideMark/>
          </w:tcPr>
          <w:p w:rsidR="00C00355" w:rsidRDefault="00C00355">
            <w:pPr>
              <w:rPr>
                <w:sz w:val="18"/>
                <w:szCs w:val="18"/>
              </w:rPr>
            </w:pPr>
            <w:r>
              <w:rPr>
                <w:sz w:val="18"/>
                <w:szCs w:val="18"/>
              </w:rPr>
              <w:t xml:space="preserve">   Текущи нелихвени разходи</w:t>
            </w:r>
          </w:p>
        </w:tc>
        <w:tc>
          <w:tcPr>
            <w:tcW w:w="992"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300,9</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47,7</w:t>
            </w:r>
          </w:p>
        </w:tc>
        <w:tc>
          <w:tcPr>
            <w:tcW w:w="708"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0,9</w:t>
            </w:r>
          </w:p>
        </w:tc>
        <w:tc>
          <w:tcPr>
            <w:tcW w:w="993"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59,5</w:t>
            </w:r>
          </w:p>
        </w:tc>
        <w:tc>
          <w:tcPr>
            <w:tcW w:w="850"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0,2</w:t>
            </w:r>
          </w:p>
        </w:tc>
        <w:tc>
          <w:tcPr>
            <w:tcW w:w="851" w:type="dxa"/>
            <w:tcBorders>
              <w:top w:val="nil"/>
              <w:left w:val="single" w:sz="4" w:space="0" w:color="800000"/>
              <w:bottom w:val="nil"/>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192,7</w:t>
            </w:r>
          </w:p>
        </w:tc>
        <w:tc>
          <w:tcPr>
            <w:tcW w:w="850" w:type="dxa"/>
            <w:tcBorders>
              <w:top w:val="nil"/>
              <w:left w:val="single" w:sz="4" w:space="0" w:color="800000"/>
              <w:bottom w:val="nil"/>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nil"/>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r w:rsidR="00C00355" w:rsidTr="00E96E16">
        <w:trPr>
          <w:trHeight w:val="270"/>
        </w:trPr>
        <w:tc>
          <w:tcPr>
            <w:tcW w:w="3758" w:type="dxa"/>
            <w:tcBorders>
              <w:top w:val="nil"/>
              <w:left w:val="double" w:sz="6" w:space="0" w:color="800000"/>
              <w:bottom w:val="double" w:sz="6" w:space="0" w:color="800000"/>
              <w:right w:val="single" w:sz="4" w:space="0" w:color="800000"/>
            </w:tcBorders>
            <w:shd w:val="clear" w:color="auto" w:fill="FFFFCC"/>
            <w:noWrap/>
            <w:vAlign w:val="bottom"/>
            <w:hideMark/>
          </w:tcPr>
          <w:p w:rsidR="00C00355" w:rsidRDefault="00C00355">
            <w:pPr>
              <w:rPr>
                <w:sz w:val="18"/>
                <w:szCs w:val="18"/>
              </w:rPr>
            </w:pPr>
            <w:r>
              <w:rPr>
                <w:sz w:val="18"/>
                <w:szCs w:val="18"/>
              </w:rPr>
              <w:t xml:space="preserve">   Капиталови разходи</w:t>
            </w:r>
          </w:p>
        </w:tc>
        <w:tc>
          <w:tcPr>
            <w:tcW w:w="992" w:type="dxa"/>
            <w:tcBorders>
              <w:top w:val="nil"/>
              <w:left w:val="single" w:sz="4" w:space="0" w:color="800000"/>
              <w:bottom w:val="double" w:sz="6" w:space="0" w:color="800000"/>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234,1</w:t>
            </w:r>
          </w:p>
        </w:tc>
        <w:tc>
          <w:tcPr>
            <w:tcW w:w="851" w:type="dxa"/>
            <w:tcBorders>
              <w:top w:val="nil"/>
              <w:left w:val="single" w:sz="4" w:space="0" w:color="800000"/>
              <w:bottom w:val="double" w:sz="6" w:space="0" w:color="800000"/>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2,5</w:t>
            </w:r>
          </w:p>
        </w:tc>
        <w:tc>
          <w:tcPr>
            <w:tcW w:w="708" w:type="dxa"/>
            <w:tcBorders>
              <w:top w:val="nil"/>
              <w:left w:val="single" w:sz="4" w:space="0" w:color="800000"/>
              <w:bottom w:val="double" w:sz="6" w:space="0" w:color="800000"/>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c>
          <w:tcPr>
            <w:tcW w:w="993" w:type="dxa"/>
            <w:tcBorders>
              <w:top w:val="nil"/>
              <w:left w:val="single" w:sz="4" w:space="0" w:color="800000"/>
              <w:bottom w:val="double" w:sz="6" w:space="0" w:color="800000"/>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11,6</w:t>
            </w:r>
          </w:p>
        </w:tc>
        <w:tc>
          <w:tcPr>
            <w:tcW w:w="850" w:type="dxa"/>
            <w:tcBorders>
              <w:top w:val="nil"/>
              <w:left w:val="single" w:sz="4" w:space="0" w:color="800000"/>
              <w:bottom w:val="double" w:sz="6" w:space="0" w:color="800000"/>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0,2</w:t>
            </w:r>
          </w:p>
        </w:tc>
        <w:tc>
          <w:tcPr>
            <w:tcW w:w="851" w:type="dxa"/>
            <w:tcBorders>
              <w:top w:val="nil"/>
              <w:left w:val="single" w:sz="4" w:space="0" w:color="800000"/>
              <w:bottom w:val="double" w:sz="6" w:space="0" w:color="800000"/>
              <w:right w:val="single" w:sz="4"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219,8</w:t>
            </w:r>
          </w:p>
        </w:tc>
        <w:tc>
          <w:tcPr>
            <w:tcW w:w="850" w:type="dxa"/>
            <w:tcBorders>
              <w:top w:val="nil"/>
              <w:left w:val="single" w:sz="4" w:space="0" w:color="800000"/>
              <w:bottom w:val="double" w:sz="6" w:space="0" w:color="800000"/>
              <w:right w:val="single" w:sz="4" w:space="0" w:color="800000"/>
            </w:tcBorders>
            <w:shd w:val="clear" w:color="auto" w:fill="FFFFCC"/>
            <w:vAlign w:val="bottom"/>
            <w:hideMark/>
          </w:tcPr>
          <w:p w:rsidR="00C00355" w:rsidRDefault="00C00355">
            <w:pPr>
              <w:jc w:val="right"/>
              <w:rPr>
                <w:color w:val="000000"/>
                <w:sz w:val="18"/>
                <w:szCs w:val="18"/>
              </w:rPr>
            </w:pPr>
            <w:r>
              <w:rPr>
                <w:color w:val="000000"/>
                <w:sz w:val="18"/>
                <w:szCs w:val="18"/>
              </w:rPr>
              <w:t> </w:t>
            </w:r>
          </w:p>
        </w:tc>
        <w:tc>
          <w:tcPr>
            <w:tcW w:w="851" w:type="dxa"/>
            <w:tcBorders>
              <w:top w:val="nil"/>
              <w:left w:val="single" w:sz="4" w:space="0" w:color="800000"/>
              <w:bottom w:val="double" w:sz="6" w:space="0" w:color="800000"/>
              <w:right w:val="double" w:sz="6" w:space="0" w:color="800000"/>
            </w:tcBorders>
            <w:shd w:val="clear" w:color="auto" w:fill="FFFFCC"/>
            <w:noWrap/>
            <w:vAlign w:val="bottom"/>
            <w:hideMark/>
          </w:tcPr>
          <w:p w:rsidR="00C00355" w:rsidRDefault="00C00355">
            <w:pPr>
              <w:jc w:val="right"/>
              <w:rPr>
                <w:color w:val="000000"/>
                <w:sz w:val="18"/>
                <w:szCs w:val="18"/>
              </w:rPr>
            </w:pPr>
            <w:r>
              <w:rPr>
                <w:color w:val="000000"/>
                <w:sz w:val="18"/>
                <w:szCs w:val="18"/>
              </w:rPr>
              <w:t> </w:t>
            </w:r>
          </w:p>
        </w:tc>
      </w:tr>
    </w:tbl>
    <w:p w:rsidR="006E5AE0" w:rsidRDefault="006E5AE0" w:rsidP="006E5AE0">
      <w:pPr>
        <w:pStyle w:val="ListParagraph"/>
        <w:ind w:left="357"/>
        <w:jc w:val="right"/>
        <w:rPr>
          <w:b/>
          <w:sz w:val="10"/>
          <w:szCs w:val="10"/>
          <w:lang w:val="en-US"/>
        </w:rPr>
      </w:pPr>
      <w:r>
        <w:rPr>
          <w:b/>
          <w:sz w:val="10"/>
          <w:szCs w:val="10"/>
          <w:lang w:val="en-US"/>
        </w:rPr>
        <w:t>(</w:t>
      </w:r>
      <w:r>
        <w:rPr>
          <w:b/>
          <w:sz w:val="14"/>
          <w:szCs w:val="14"/>
          <w:lang w:val="en-US"/>
        </w:rPr>
        <w:t>млн. лв</w:t>
      </w:r>
      <w:r>
        <w:rPr>
          <w:b/>
          <w:sz w:val="10"/>
          <w:szCs w:val="10"/>
          <w:lang w:val="en-US"/>
        </w:rPr>
        <w:t>.)</w:t>
      </w:r>
    </w:p>
    <w:p w:rsidR="006E5AE0" w:rsidRDefault="006E5AE0" w:rsidP="006E5AE0">
      <w:pPr>
        <w:rPr>
          <w:color w:val="0070C0"/>
          <w:sz w:val="2"/>
          <w:szCs w:val="2"/>
        </w:rPr>
      </w:pPr>
    </w:p>
    <w:p w:rsidR="006E5AE0" w:rsidRDefault="006E5AE0" w:rsidP="006E5AE0">
      <w:pPr>
        <w:ind w:firstLine="540"/>
        <w:rPr>
          <w:b/>
          <w:color w:val="0070C0"/>
          <w:lang w:val="en-US"/>
        </w:rPr>
      </w:pPr>
    </w:p>
    <w:p w:rsidR="006E5AE0" w:rsidRDefault="006E5AE0" w:rsidP="006E5AE0">
      <w:pPr>
        <w:ind w:firstLine="540"/>
        <w:rPr>
          <w:b/>
        </w:rPr>
      </w:pPr>
      <w:r>
        <w:rPr>
          <w:b/>
        </w:rPr>
        <w:t xml:space="preserve">Група А: </w:t>
      </w:r>
      <w:r>
        <w:rPr>
          <w:b/>
          <w:i/>
        </w:rPr>
        <w:t>„Минно дело, горива и енергия”</w:t>
      </w:r>
    </w:p>
    <w:p w:rsidR="006E5AE0" w:rsidRDefault="006E5AE0" w:rsidP="006E5AE0">
      <w:pPr>
        <w:ind w:firstLine="540"/>
        <w:rPr>
          <w:b/>
          <w:color w:val="0070C0"/>
          <w:sz w:val="12"/>
          <w:szCs w:val="12"/>
        </w:rPr>
      </w:pPr>
    </w:p>
    <w:p w:rsidR="006E5AE0" w:rsidRDefault="006E5AE0" w:rsidP="006E5AE0">
      <w:pPr>
        <w:ind w:firstLine="540"/>
        <w:jc w:val="both"/>
      </w:pPr>
      <w:r>
        <w:t>Със ЗДБРБ за 2015 г. в група „Минно дело, горива и енергия”</w:t>
      </w:r>
      <w:r w:rsidR="00C72B22">
        <w:t xml:space="preserve"> по </w:t>
      </w:r>
      <w:r w:rsidR="00C72B22" w:rsidRPr="00EC33FC">
        <w:rPr>
          <w:b/>
        </w:rPr>
        <w:t>държавния бюджет</w:t>
      </w:r>
      <w:r w:rsidR="00C72B22">
        <w:t xml:space="preserve"> са предвидени 48,1 млн. лв., утвърдени</w:t>
      </w:r>
      <w:r>
        <w:t xml:space="preserve"> по бюджетите на </w:t>
      </w:r>
      <w:r w:rsidRPr="00EC33FC">
        <w:t>министерствата и ведомствата</w:t>
      </w:r>
      <w:r>
        <w:t xml:space="preserve">. Одобрените средства са за реализиране на една от политиките на правителството, която е постигане на  устойчиво и конкурентоспособно енергийно развитие. </w:t>
      </w:r>
    </w:p>
    <w:p w:rsidR="006E5AE0" w:rsidRDefault="006E5AE0" w:rsidP="006E5AE0">
      <w:pPr>
        <w:ind w:firstLine="540"/>
        <w:jc w:val="both"/>
      </w:pPr>
      <w:r>
        <w:t>В хода на изпълнението на държавния бюджет, на основание чл. 109, чл. 110 и чл. 112 от Закона за публичните финанси, са предоставени допълнително разходи за групата в размер на 14,5 млн. лв.</w:t>
      </w:r>
    </w:p>
    <w:p w:rsidR="006E5AE0" w:rsidRDefault="006E5AE0" w:rsidP="006E5AE0">
      <w:pPr>
        <w:ind w:firstLine="540"/>
        <w:jc w:val="both"/>
      </w:pPr>
      <w:r>
        <w:t xml:space="preserve">За 2015 г. отчетените разходи </w:t>
      </w:r>
      <w:r w:rsidR="00C72B22">
        <w:t xml:space="preserve">по държавния бюджет </w:t>
      </w:r>
      <w:r>
        <w:t>в групата</w:t>
      </w:r>
      <w:r w:rsidR="00C72B22">
        <w:t xml:space="preserve"> са в размер на 62,6 млн. лв., изразходени</w:t>
      </w:r>
      <w:r>
        <w:t xml:space="preserve"> по бюджетите на министерствата</w:t>
      </w:r>
      <w:r w:rsidR="00C72B22">
        <w:t>. Усвоен</w:t>
      </w:r>
      <w:r>
        <w:t>ите през годината средства са за реализиране на политиката в областта на енергетиката и са насочени към постигане на следните резултати</w:t>
      </w:r>
      <w:r>
        <w:rPr>
          <w:lang w:val="ru-RU"/>
        </w:rPr>
        <w:t>:</w:t>
      </w:r>
    </w:p>
    <w:p w:rsidR="006E5AE0" w:rsidRDefault="006E5AE0" w:rsidP="00781B85">
      <w:pPr>
        <w:numPr>
          <w:ilvl w:val="0"/>
          <w:numId w:val="40"/>
        </w:numPr>
        <w:tabs>
          <w:tab w:val="clear" w:pos="360"/>
          <w:tab w:val="num" w:pos="0"/>
          <w:tab w:val="left" w:pos="851"/>
          <w:tab w:val="left" w:pos="993"/>
        </w:tabs>
        <w:spacing w:after="120"/>
        <w:ind w:left="0" w:firstLine="567"/>
        <w:jc w:val="both"/>
      </w:pPr>
      <w:r>
        <w:t>насърчаване въвеждането на енергоефективни и екологосъобразни технологии в промишления и енергийния сектор;</w:t>
      </w:r>
    </w:p>
    <w:p w:rsidR="006E5AE0" w:rsidRDefault="006E5AE0" w:rsidP="00781B85">
      <w:pPr>
        <w:numPr>
          <w:ilvl w:val="0"/>
          <w:numId w:val="40"/>
        </w:numPr>
        <w:tabs>
          <w:tab w:val="clear" w:pos="360"/>
          <w:tab w:val="num" w:pos="0"/>
          <w:tab w:val="left" w:pos="851"/>
          <w:tab w:val="left" w:pos="993"/>
        </w:tabs>
        <w:spacing w:after="120"/>
        <w:ind w:left="0" w:firstLine="567"/>
        <w:jc w:val="both"/>
      </w:pPr>
      <w:r>
        <w:t>подобряване на енергийния и екологичен мениджмънт, производството и потреблението на възобновяема енергия и биогорива;</w:t>
      </w:r>
    </w:p>
    <w:p w:rsidR="006E5AE0" w:rsidRDefault="006E5AE0" w:rsidP="00781B85">
      <w:pPr>
        <w:numPr>
          <w:ilvl w:val="0"/>
          <w:numId w:val="40"/>
        </w:numPr>
        <w:tabs>
          <w:tab w:val="clear" w:pos="360"/>
          <w:tab w:val="num" w:pos="0"/>
          <w:tab w:val="left" w:pos="851"/>
          <w:tab w:val="left" w:pos="993"/>
        </w:tabs>
        <w:spacing w:after="120"/>
        <w:ind w:left="0" w:firstLine="567"/>
        <w:jc w:val="both"/>
      </w:pPr>
      <w:r>
        <w:lastRenderedPageBreak/>
        <w:t>насърчаване на местното устойчиво развитие чрез подкрепа на енергоспестяването;</w:t>
      </w:r>
    </w:p>
    <w:p w:rsidR="006E5AE0" w:rsidRDefault="006E5AE0" w:rsidP="00781B85">
      <w:pPr>
        <w:numPr>
          <w:ilvl w:val="0"/>
          <w:numId w:val="40"/>
        </w:numPr>
        <w:tabs>
          <w:tab w:val="clear" w:pos="360"/>
          <w:tab w:val="num" w:pos="0"/>
          <w:tab w:val="left" w:pos="851"/>
          <w:tab w:val="left" w:pos="993"/>
        </w:tabs>
        <w:spacing w:after="120"/>
        <w:ind w:left="0" w:firstLine="567"/>
        <w:jc w:val="both"/>
      </w:pPr>
      <w:r>
        <w:t>качествено и сигурно задоволяване потребностите на обществото от енергия и енергийни ресурси, съобразено с изискванията за надеждност, безопасност и опазване на околната среда;</w:t>
      </w:r>
    </w:p>
    <w:p w:rsidR="006E5AE0" w:rsidRDefault="006E5AE0" w:rsidP="00781B85">
      <w:pPr>
        <w:pStyle w:val="ListParagraph"/>
        <w:numPr>
          <w:ilvl w:val="0"/>
          <w:numId w:val="40"/>
        </w:numPr>
        <w:tabs>
          <w:tab w:val="clear" w:pos="360"/>
          <w:tab w:val="num" w:pos="0"/>
          <w:tab w:val="left" w:pos="851"/>
          <w:tab w:val="left" w:pos="993"/>
        </w:tabs>
        <w:ind w:left="0" w:firstLine="567"/>
        <w:jc w:val="both"/>
      </w:pPr>
      <w:r>
        <w:t>дългосрочна енергийна сигурност на страната при ефективно използване на енергията и енергийните ресурси и устойчивост на енергийния сектор;</w:t>
      </w:r>
    </w:p>
    <w:p w:rsidR="006E5AE0" w:rsidRDefault="006E5AE0" w:rsidP="00781B85">
      <w:pPr>
        <w:numPr>
          <w:ilvl w:val="0"/>
          <w:numId w:val="40"/>
        </w:numPr>
        <w:tabs>
          <w:tab w:val="clear" w:pos="360"/>
          <w:tab w:val="num" w:pos="0"/>
          <w:tab w:val="left" w:pos="851"/>
          <w:tab w:val="left" w:pos="993"/>
        </w:tabs>
        <w:spacing w:after="120"/>
        <w:ind w:left="0" w:firstLine="567"/>
        <w:jc w:val="both"/>
      </w:pPr>
      <w:r>
        <w:t>осигуряване на непрекъснат процес на снабдяването на стопанския сектор и населението с електрическа, топлинна енергия и природен газ;</w:t>
      </w:r>
    </w:p>
    <w:p w:rsidR="006E5AE0" w:rsidRDefault="006E5AE0" w:rsidP="00781B85">
      <w:pPr>
        <w:numPr>
          <w:ilvl w:val="0"/>
          <w:numId w:val="40"/>
        </w:numPr>
        <w:tabs>
          <w:tab w:val="clear" w:pos="360"/>
          <w:tab w:val="num" w:pos="0"/>
          <w:tab w:val="left" w:pos="851"/>
          <w:tab w:val="left" w:pos="993"/>
        </w:tabs>
        <w:spacing w:after="120"/>
        <w:ind w:left="0" w:firstLine="567"/>
        <w:jc w:val="both"/>
        <w:rPr>
          <w:lang w:val="ru-RU"/>
        </w:rPr>
      </w:pPr>
      <w:r>
        <w:t>управление и осигуряване на надеждно и безопасно електропроизводство на АЕЦ „Козлодуй”;</w:t>
      </w:r>
    </w:p>
    <w:p w:rsidR="006E5AE0" w:rsidRDefault="006E5AE0" w:rsidP="00781B85">
      <w:pPr>
        <w:numPr>
          <w:ilvl w:val="0"/>
          <w:numId w:val="40"/>
        </w:numPr>
        <w:tabs>
          <w:tab w:val="clear" w:pos="360"/>
          <w:tab w:val="num" w:pos="0"/>
          <w:tab w:val="left" w:pos="851"/>
          <w:tab w:val="left" w:pos="993"/>
        </w:tabs>
        <w:spacing w:after="120"/>
        <w:ind w:left="0" w:firstLine="567"/>
        <w:jc w:val="both"/>
        <w:rPr>
          <w:lang w:val="ru-RU"/>
        </w:rPr>
      </w:pPr>
      <w:r>
        <w:t>изпълнение на мерките и дейностите</w:t>
      </w:r>
      <w:r w:rsidR="00C72B22">
        <w:t>,</w:t>
      </w:r>
      <w:r>
        <w:t xml:space="preserve"> включени в Стратегията за управление на отработено ядрено гориво и радиоактивните отпадъци и други</w:t>
      </w:r>
      <w:r>
        <w:rPr>
          <w:lang w:val="ru-RU"/>
        </w:rPr>
        <w:t>.</w:t>
      </w:r>
    </w:p>
    <w:p w:rsidR="006E5AE0" w:rsidRDefault="006E5AE0" w:rsidP="006E5AE0">
      <w:pPr>
        <w:ind w:firstLine="540"/>
        <w:jc w:val="both"/>
      </w:pPr>
      <w:r>
        <w:t xml:space="preserve">Отчетените разходи на </w:t>
      </w:r>
      <w:r>
        <w:rPr>
          <w:b/>
        </w:rPr>
        <w:t>Фонд "Сигурност на електроенергийната система"</w:t>
      </w:r>
      <w:r>
        <w:t xml:space="preserve"> в размер на 183,2 млн. лв. са за плащане на средства за покриване на разходите, извършени от обществения доставчик (на ел. енергия), произтичащи от задълженията му по чл. 93а от Закона за енергетиката, определени с решение на Комисията за енергийно и водно регулиране, включително за минали регулаторни периоди.</w:t>
      </w:r>
    </w:p>
    <w:p w:rsidR="006E5AE0" w:rsidRDefault="006E5AE0" w:rsidP="006E5AE0">
      <w:pPr>
        <w:ind w:firstLine="540"/>
        <w:rPr>
          <w:color w:val="0070C0"/>
        </w:rPr>
      </w:pPr>
    </w:p>
    <w:p w:rsidR="006E5AE0" w:rsidRDefault="006E5AE0" w:rsidP="006E5AE0">
      <w:pPr>
        <w:ind w:firstLine="540"/>
        <w:rPr>
          <w:b/>
        </w:rPr>
      </w:pPr>
      <w:r>
        <w:rPr>
          <w:b/>
        </w:rPr>
        <w:t xml:space="preserve">Група Б: </w:t>
      </w:r>
      <w:r>
        <w:rPr>
          <w:b/>
          <w:i/>
        </w:rPr>
        <w:t>„Селско стопанство, горско стопанство, лов и риболов”</w:t>
      </w:r>
    </w:p>
    <w:p w:rsidR="006E5AE0" w:rsidRDefault="006E5AE0" w:rsidP="00A00E01">
      <w:pPr>
        <w:ind w:firstLine="539"/>
        <w:jc w:val="both"/>
        <w:rPr>
          <w:lang w:val="ru-RU"/>
        </w:rPr>
      </w:pPr>
      <w:r>
        <w:t xml:space="preserve">Със ЗДБРБ за 2015 г. за група “Селско стопанство, горско стопанство, лов и риболов” по </w:t>
      </w:r>
      <w:r w:rsidR="00534A18" w:rsidRPr="00EC33FC">
        <w:rPr>
          <w:b/>
        </w:rPr>
        <w:t>държавния бюджет</w:t>
      </w:r>
      <w:r w:rsidR="00534A18">
        <w:t xml:space="preserve"> са предвидени средства в размер на 671 млн. лв., от които 609,7 млн. лв. са утвърдени по </w:t>
      </w:r>
      <w:r>
        <w:t xml:space="preserve">бюджетите на </w:t>
      </w:r>
      <w:r w:rsidRPr="00EC33FC">
        <w:t>министерствата и ведомствата</w:t>
      </w:r>
      <w:r>
        <w:t xml:space="preserve"> </w:t>
      </w:r>
      <w:r w:rsidR="00534A18">
        <w:t>(</w:t>
      </w:r>
      <w:r>
        <w:t>в т. ч. резерв за непредвидени и неотложни разходи</w:t>
      </w:r>
      <w:r>
        <w:rPr>
          <w:lang w:val="en-US"/>
        </w:rPr>
        <w:t>)</w:t>
      </w:r>
      <w:r>
        <w:t>, като през годината са усвоени 507,4 млн. лв. Одобрените средства са изразходвани чрез бюджетите на МЗХ и ДФ „Земеделие“. През 2015 г. по бюджета на МЗХ за тази група са отчетени общо 141,8 млн. лв. за изпълнение на следните приоритетни политики</w:t>
      </w:r>
      <w:r>
        <w:rPr>
          <w:lang w:val="ru-RU"/>
        </w:rPr>
        <w:t>:</w:t>
      </w:r>
    </w:p>
    <w:p w:rsidR="006E5AE0" w:rsidRDefault="006E5AE0" w:rsidP="00A00E01">
      <w:pPr>
        <w:numPr>
          <w:ilvl w:val="0"/>
          <w:numId w:val="41"/>
        </w:numPr>
        <w:tabs>
          <w:tab w:val="num" w:pos="567"/>
          <w:tab w:val="left" w:pos="851"/>
        </w:tabs>
        <w:ind w:left="0" w:firstLine="539"/>
        <w:jc w:val="both"/>
      </w:pPr>
      <w:r>
        <w:t xml:space="preserve">борбата със заразни и паразитни болести; </w:t>
      </w:r>
    </w:p>
    <w:p w:rsidR="006E5AE0" w:rsidRDefault="006E5AE0" w:rsidP="00781B85">
      <w:pPr>
        <w:numPr>
          <w:ilvl w:val="0"/>
          <w:numId w:val="41"/>
        </w:numPr>
        <w:tabs>
          <w:tab w:val="num" w:pos="567"/>
          <w:tab w:val="left" w:pos="851"/>
        </w:tabs>
        <w:ind w:left="0" w:firstLine="540"/>
        <w:jc w:val="both"/>
      </w:pPr>
      <w:r>
        <w:t>събиране и унищожаване на високо рискови отпадъци; закупуване на ваксини и диагностикуми; покупка на противоградови ракети за борба с градушките;</w:t>
      </w:r>
    </w:p>
    <w:p w:rsidR="006E5AE0" w:rsidRDefault="006E5AE0" w:rsidP="00781B85">
      <w:pPr>
        <w:numPr>
          <w:ilvl w:val="0"/>
          <w:numId w:val="41"/>
        </w:numPr>
        <w:tabs>
          <w:tab w:val="num" w:pos="567"/>
          <w:tab w:val="left" w:pos="851"/>
        </w:tabs>
        <w:ind w:left="0" w:firstLine="540"/>
        <w:jc w:val="both"/>
      </w:pPr>
      <w:r>
        <w:t xml:space="preserve">охрана и възпроизводство на горите;  </w:t>
      </w:r>
    </w:p>
    <w:p w:rsidR="006E5AE0" w:rsidRDefault="006E5AE0" w:rsidP="00781B85">
      <w:pPr>
        <w:numPr>
          <w:ilvl w:val="0"/>
          <w:numId w:val="41"/>
        </w:numPr>
        <w:tabs>
          <w:tab w:val="num" w:pos="567"/>
          <w:tab w:val="left" w:pos="851"/>
        </w:tabs>
        <w:ind w:left="0" w:firstLine="540"/>
        <w:jc w:val="both"/>
      </w:pPr>
      <w:r>
        <w:t xml:space="preserve">издръжка на горската и ловна стража с оглед опазване на горите и дивеча;  </w:t>
      </w:r>
    </w:p>
    <w:p w:rsidR="006E5AE0" w:rsidRDefault="006E5AE0" w:rsidP="00781B85">
      <w:pPr>
        <w:numPr>
          <w:ilvl w:val="0"/>
          <w:numId w:val="41"/>
        </w:numPr>
        <w:tabs>
          <w:tab w:val="num" w:pos="567"/>
          <w:tab w:val="left" w:pos="851"/>
        </w:tabs>
        <w:ind w:left="0" w:firstLine="540"/>
        <w:jc w:val="both"/>
      </w:pPr>
      <w:r>
        <w:t xml:space="preserve">опазване, възстановяване и подобряване на почвеното плодородие и екологичните функции на почвената покривка; </w:t>
      </w:r>
    </w:p>
    <w:p w:rsidR="006E5AE0" w:rsidRDefault="006E5AE0" w:rsidP="00781B85">
      <w:pPr>
        <w:numPr>
          <w:ilvl w:val="0"/>
          <w:numId w:val="41"/>
        </w:numPr>
        <w:tabs>
          <w:tab w:val="num" w:pos="567"/>
          <w:tab w:val="left" w:pos="851"/>
        </w:tabs>
        <w:ind w:left="0" w:firstLine="540"/>
        <w:jc w:val="both"/>
      </w:pPr>
      <w:r>
        <w:t>развитието на лозаровинарския сектор в страната, съгласно изискванията на ЕС; опазване селекцията в животновъдството с оглед подобряване породата им; контрол на зърното и фуража;</w:t>
      </w:r>
    </w:p>
    <w:p w:rsidR="006E5AE0" w:rsidRDefault="006E5AE0" w:rsidP="00781B85">
      <w:pPr>
        <w:numPr>
          <w:ilvl w:val="0"/>
          <w:numId w:val="41"/>
        </w:numPr>
        <w:tabs>
          <w:tab w:val="num" w:pos="567"/>
          <w:tab w:val="left" w:pos="851"/>
        </w:tabs>
        <w:ind w:left="0" w:firstLine="540"/>
        <w:jc w:val="both"/>
      </w:pPr>
      <w:r>
        <w:t xml:space="preserve">опазване и възпроизводство на рибата и аквакултурите, опазване и обогатяване на рибните ресурси в страната; </w:t>
      </w:r>
    </w:p>
    <w:p w:rsidR="006E5AE0" w:rsidRDefault="006E5AE0" w:rsidP="00781B85">
      <w:pPr>
        <w:numPr>
          <w:ilvl w:val="0"/>
          <w:numId w:val="41"/>
        </w:numPr>
        <w:tabs>
          <w:tab w:val="num" w:pos="567"/>
          <w:tab w:val="left" w:pos="851"/>
        </w:tabs>
        <w:ind w:left="0" w:firstLine="540"/>
        <w:jc w:val="both"/>
      </w:pPr>
      <w:r>
        <w:t>изпитване, изследване и сертифициране на земеделската и горска  техника;</w:t>
      </w:r>
    </w:p>
    <w:p w:rsidR="006E5AE0" w:rsidRDefault="006E5AE0" w:rsidP="00781B85">
      <w:pPr>
        <w:numPr>
          <w:ilvl w:val="0"/>
          <w:numId w:val="41"/>
        </w:numPr>
        <w:tabs>
          <w:tab w:val="num" w:pos="567"/>
          <w:tab w:val="left" w:pos="851"/>
        </w:tabs>
        <w:ind w:left="0" w:firstLine="540"/>
        <w:jc w:val="both"/>
      </w:pPr>
      <w:r>
        <w:t>сортоизпитване, сертифициране и контрол на посевния и посадъчен материал;</w:t>
      </w:r>
    </w:p>
    <w:p w:rsidR="006E5AE0" w:rsidRDefault="006E5AE0" w:rsidP="00781B85">
      <w:pPr>
        <w:numPr>
          <w:ilvl w:val="0"/>
          <w:numId w:val="41"/>
        </w:numPr>
        <w:tabs>
          <w:tab w:val="num" w:pos="567"/>
          <w:tab w:val="left" w:pos="851"/>
        </w:tabs>
        <w:ind w:left="0" w:firstLine="540"/>
        <w:jc w:val="both"/>
      </w:pPr>
      <w:r>
        <w:t xml:space="preserve">опазване на страната от проникването и разпространяването на вредители по растенията и растителните продукти; </w:t>
      </w:r>
    </w:p>
    <w:p w:rsidR="006E5AE0" w:rsidRDefault="00A00E01" w:rsidP="00781B85">
      <w:pPr>
        <w:numPr>
          <w:ilvl w:val="0"/>
          <w:numId w:val="41"/>
        </w:numPr>
        <w:tabs>
          <w:tab w:val="num" w:pos="567"/>
          <w:tab w:val="left" w:pos="851"/>
        </w:tabs>
        <w:ind w:left="0" w:firstLine="540"/>
        <w:jc w:val="both"/>
      </w:pPr>
      <w:r>
        <w:t>извършване на обществена услуга за защита от вредното въздействие на водите, възложена на „Напоителни системи“ ЕАД, чрез договор от министъра на земеделието и храните</w:t>
      </w:r>
      <w:r w:rsidR="006E5AE0">
        <w:t>.</w:t>
      </w:r>
    </w:p>
    <w:p w:rsidR="006E5AE0" w:rsidRDefault="006E5AE0" w:rsidP="006E5AE0">
      <w:pPr>
        <w:spacing w:after="120"/>
        <w:ind w:firstLine="539"/>
        <w:jc w:val="both"/>
      </w:pPr>
      <w:r>
        <w:t xml:space="preserve">Средствата изразходвани през 2015 г. за реализиране на </w:t>
      </w:r>
      <w:r>
        <w:rPr>
          <w:b/>
        </w:rPr>
        <w:t>национални политики в сектора чрез бюджета на Държавен фонд „Земеделие”</w:t>
      </w:r>
      <w:r>
        <w:t xml:space="preserve">, са в размер на 365,6 млн. лв., в </w:t>
      </w:r>
      <w:r>
        <w:lastRenderedPageBreak/>
        <w:t xml:space="preserve">т.ч. за развитие на селските райони – 12,8 млн. лв., за селскостопански пазарни механизми – 7 млн. лв., за директни плащания и мерки за специфично подпомагане – 5 млн. лв., за държавни помощи, национални доплащания и САПАРД – 317 млн. лв., за рибарство и аквакултури – 0,8 млн. лв. Най – голяма част от </w:t>
      </w:r>
      <w:r w:rsidRPr="00FA4A95">
        <w:t>средствата - 108 млн. лв.</w:t>
      </w:r>
      <w:r>
        <w:t xml:space="preserve"> са изразходени за осъществяване на държавно подпомагане под формата на държавни помощи, в т.ч. безвъзмездна помощ и краткосрочно кредитиране със средства от националния бюджет, следвани от национални доплащания за тютюн – 107</w:t>
      </w:r>
      <w:r w:rsidR="00534A18">
        <w:t>,4</w:t>
      </w:r>
      <w:r>
        <w:t xml:space="preserve"> млн. лв. и национални доплащания за животни – 93 млн. лв. Средствата за подпомагане на тютюнопроизводителите са по схемата за Национални доплащания за тютюн за 2014 г., необвързана с производството. По нея се подпомагат земеделски стопани, които през периода 2007-2009 г. са били премирани за количества произведен тютюн и които продължават да извършват земеделска дейност.</w:t>
      </w:r>
    </w:p>
    <w:p w:rsidR="006E5AE0" w:rsidRDefault="006E5AE0" w:rsidP="006E5AE0">
      <w:pPr>
        <w:pStyle w:val="BodyText2"/>
        <w:spacing w:line="240" w:lineRule="auto"/>
        <w:ind w:firstLine="539"/>
        <w:jc w:val="both"/>
      </w:pPr>
      <w:r>
        <w:rPr>
          <w:b/>
        </w:rPr>
        <w:t xml:space="preserve">Европейски средства - </w:t>
      </w:r>
      <w:r>
        <w:t>изразходваните средства в група “Селско стопанство, горско стопанство, лов и риболов” са 1 044,</w:t>
      </w:r>
      <w:r w:rsidR="00164691">
        <w:rPr>
          <w:lang w:val="en-US"/>
        </w:rPr>
        <w:t>7</w:t>
      </w:r>
      <w:r w:rsidR="00164691">
        <w:t xml:space="preserve"> </w:t>
      </w:r>
      <w:r>
        <w:t>млн. лв., включително разходите за национално съфинансиране. Основната част от тези разходи са извършени чрез Разплащателната агенция към Държавен фонд „Земеделие” за финансиране на мерки и програми, финансирани чрез Европейски земеделски фонд за развитие на селските райони, Европейския фонд за рибарство и Европейския фонд за гарантиране на земеделието.</w:t>
      </w:r>
    </w:p>
    <w:p w:rsidR="006E5AE0" w:rsidRDefault="006E5AE0" w:rsidP="006E5AE0">
      <w:pPr>
        <w:pStyle w:val="BodyText"/>
        <w:widowControl w:val="0"/>
        <w:spacing w:after="240"/>
        <w:ind w:firstLine="540"/>
        <w:jc w:val="both"/>
      </w:pPr>
      <w:r>
        <w:t xml:space="preserve">По </w:t>
      </w:r>
      <w:r>
        <w:rPr>
          <w:b/>
        </w:rPr>
        <w:t>общинските бюджети</w:t>
      </w:r>
      <w:r>
        <w:t xml:space="preserve"> в групата са изразходвани 19,5 млн. лв. Тези разходи са основно текущи и са за </w:t>
      </w:r>
      <w:r>
        <w:rPr>
          <w:i/>
        </w:rPr>
        <w:t>местни дейности</w:t>
      </w:r>
      <w:r>
        <w:t xml:space="preserve">, като с най-голям относителен дял са разходите за издръжка. Отчетените капиталови разходи в групата са в размер на 1,1 млн. лв. Тук се отчитат разходите, определени по решение на общинския съвет, свързани с охрана на земеделски имоти, горски площи и други дейности по селско и горско стопанство. </w:t>
      </w:r>
    </w:p>
    <w:p w:rsidR="006E5AE0" w:rsidRDefault="006E5AE0" w:rsidP="006E5AE0">
      <w:pPr>
        <w:spacing w:after="240"/>
        <w:ind w:firstLine="539"/>
        <w:rPr>
          <w:b/>
        </w:rPr>
      </w:pPr>
      <w:r>
        <w:rPr>
          <w:b/>
        </w:rPr>
        <w:t xml:space="preserve">Група В: </w:t>
      </w:r>
      <w:r>
        <w:rPr>
          <w:b/>
          <w:i/>
        </w:rPr>
        <w:t>„Транспорт и съобщения”</w:t>
      </w:r>
    </w:p>
    <w:p w:rsidR="006E5AE0" w:rsidRDefault="006E5AE0" w:rsidP="006E5AE0">
      <w:pPr>
        <w:ind w:firstLine="540"/>
        <w:jc w:val="both"/>
        <w:rPr>
          <w:color w:val="0070C0"/>
          <w:lang w:val="ru-RU"/>
        </w:rPr>
      </w:pPr>
      <w:r>
        <w:t>Със ЗДБРБ за 2015 г. по Група „Транспорт и съобщения”</w:t>
      </w:r>
      <w:r w:rsidR="00534A18">
        <w:t xml:space="preserve"> за </w:t>
      </w:r>
      <w:r w:rsidR="00534A18" w:rsidRPr="00EC33FC">
        <w:rPr>
          <w:b/>
        </w:rPr>
        <w:t>държавния бюджет</w:t>
      </w:r>
      <w:r w:rsidR="00534A18">
        <w:t xml:space="preserve"> са предвидени</w:t>
      </w:r>
      <w:r>
        <w:t xml:space="preserve"> </w:t>
      </w:r>
      <w:r w:rsidR="00534A18">
        <w:t xml:space="preserve">971,4 млн. лв., от които </w:t>
      </w:r>
      <w:r>
        <w:t xml:space="preserve">за </w:t>
      </w:r>
      <w:r w:rsidRPr="00EC33FC">
        <w:t>министерства и ведомства</w:t>
      </w:r>
      <w:r>
        <w:t xml:space="preserve"> са утвърдени средства в размер на 484,</w:t>
      </w:r>
      <w:r w:rsidR="00486979">
        <w:t>8</w:t>
      </w:r>
      <w:r>
        <w:t xml:space="preserve"> млн. лв. (в т.ч. и предвидените средства за разходване от резерва за непредвидени и неотложни разходи). Одобрените средства са за реализиране на следните приоритетни политики:</w:t>
      </w:r>
    </w:p>
    <w:p w:rsidR="006E5AE0" w:rsidRDefault="006E5AE0" w:rsidP="00781B85">
      <w:pPr>
        <w:numPr>
          <w:ilvl w:val="0"/>
          <w:numId w:val="42"/>
        </w:numPr>
        <w:tabs>
          <w:tab w:val="num" w:pos="900"/>
        </w:tabs>
        <w:spacing w:before="120"/>
        <w:ind w:left="896" w:hanging="357"/>
        <w:jc w:val="both"/>
        <w:rPr>
          <w:szCs w:val="20"/>
        </w:rPr>
      </w:pPr>
      <w:r>
        <w:rPr>
          <w:szCs w:val="20"/>
        </w:rPr>
        <w:t>Развитие, поддържане, модернизация и изграждане на техническата, пътната и железопътната инфраструктура, свързана с подобряване на транспортната достъпност;</w:t>
      </w:r>
    </w:p>
    <w:p w:rsidR="006E5AE0" w:rsidRDefault="006E5AE0" w:rsidP="00781B85">
      <w:pPr>
        <w:numPr>
          <w:ilvl w:val="0"/>
          <w:numId w:val="43"/>
        </w:numPr>
        <w:tabs>
          <w:tab w:val="num" w:pos="900"/>
        </w:tabs>
        <w:ind w:left="896" w:hanging="357"/>
        <w:jc w:val="both"/>
      </w:pPr>
      <w:r>
        <w:t>Организация и управление на транспорта, осигуряване на безопасност, сигурност и екологосъобразност;</w:t>
      </w:r>
    </w:p>
    <w:p w:rsidR="006E5AE0" w:rsidRDefault="006E5AE0" w:rsidP="00781B85">
      <w:pPr>
        <w:numPr>
          <w:ilvl w:val="0"/>
          <w:numId w:val="43"/>
        </w:numPr>
        <w:tabs>
          <w:tab w:val="num" w:pos="900"/>
        </w:tabs>
        <w:ind w:left="900"/>
        <w:jc w:val="both"/>
      </w:pPr>
      <w:r>
        <w:t>Развитие и поддържане на електронна и съобщителна инфраструктура за държавното управление;</w:t>
      </w:r>
    </w:p>
    <w:p w:rsidR="006E5AE0" w:rsidRDefault="006E5AE0" w:rsidP="00781B85">
      <w:pPr>
        <w:numPr>
          <w:ilvl w:val="0"/>
          <w:numId w:val="43"/>
        </w:numPr>
        <w:tabs>
          <w:tab w:val="num" w:pos="900"/>
        </w:tabs>
        <w:ind w:left="900"/>
        <w:jc w:val="both"/>
        <w:rPr>
          <w:lang w:val="ru-RU"/>
        </w:rPr>
      </w:pPr>
      <w:r>
        <w:t xml:space="preserve">Развитие на съобщенията, електронното управление и </w:t>
      </w:r>
      <w:r w:rsidR="00E377C8">
        <w:t>ИТ</w:t>
      </w:r>
      <w:r>
        <w:rPr>
          <w:lang w:val="ru-RU"/>
        </w:rPr>
        <w:t>.</w:t>
      </w:r>
    </w:p>
    <w:p w:rsidR="006E5AE0" w:rsidRDefault="006E5AE0" w:rsidP="006E5AE0">
      <w:pPr>
        <w:ind w:firstLine="540"/>
        <w:jc w:val="both"/>
      </w:pPr>
      <w:r>
        <w:t>В хода на изпълнението на държавния бюджет, на основание чл. 109, чл. 110 и чл. 112 от ЗПФ, на бюджетните организации по група „Транспорт и съобщения” са осигурени допълнителни средства в размер на 241,5 млн. лв., в т.ч. за разходи по държавни инвестиционни заеми 96,1 млн. лева.</w:t>
      </w:r>
    </w:p>
    <w:p w:rsidR="006E5AE0" w:rsidRDefault="006E5AE0" w:rsidP="006E5AE0">
      <w:pPr>
        <w:spacing w:after="120"/>
        <w:ind w:firstLine="539"/>
        <w:jc w:val="both"/>
      </w:pPr>
      <w:r>
        <w:t>Към 31.12.201</w:t>
      </w:r>
      <w:r>
        <w:rPr>
          <w:lang w:val="ru-RU"/>
        </w:rPr>
        <w:t>5</w:t>
      </w:r>
      <w:r>
        <w:t xml:space="preserve"> г. отчетените разходи</w:t>
      </w:r>
      <w:r w:rsidR="00534A18">
        <w:t xml:space="preserve"> по държавния бюджет в група „Транспорт и съобщения” са в размер на 1 003,4 млн. лв., от които</w:t>
      </w:r>
      <w:r>
        <w:t xml:space="preserve"> по бюджетите на </w:t>
      </w:r>
      <w:r w:rsidRPr="00EC33FC">
        <w:t>министерства и ведомства</w:t>
      </w:r>
      <w:r>
        <w:t xml:space="preserve"> </w:t>
      </w:r>
      <w:r>
        <w:rPr>
          <w:lang w:val="ru-RU"/>
        </w:rPr>
        <w:t>724,3</w:t>
      </w:r>
      <w:r>
        <w:t xml:space="preserve"> млн. лв. </w:t>
      </w:r>
    </w:p>
    <w:p w:rsidR="006E5AE0" w:rsidRDefault="006E5AE0" w:rsidP="006E5AE0">
      <w:pPr>
        <w:ind w:firstLine="539"/>
        <w:jc w:val="both"/>
      </w:pPr>
      <w:r>
        <w:t>През 2015 г. по бюджета на</w:t>
      </w:r>
      <w:r>
        <w:rPr>
          <w:b/>
        </w:rPr>
        <w:t xml:space="preserve"> МТИТС</w:t>
      </w:r>
      <w:r>
        <w:t xml:space="preserve"> в групата са усвоени средства в размер на 253,2 млн. лв.</w:t>
      </w:r>
      <w:r w:rsidR="00534A18">
        <w:t xml:space="preserve"> </w:t>
      </w:r>
      <w:r>
        <w:t xml:space="preserve">Стратегическите цели на транспортната политика през 2015 г. са развитие на устойчив транспортнен сектор, постигане на икономическа ефективност и подобряване на </w:t>
      </w:r>
      <w:r>
        <w:lastRenderedPageBreak/>
        <w:t>регионалното и социалното развитие и обвързаност. Усилията на МТИТС бяха насочени към постигането на следните приоритети:</w:t>
      </w:r>
    </w:p>
    <w:p w:rsidR="006E5AE0" w:rsidRDefault="006E5AE0" w:rsidP="00BF532B">
      <w:pPr>
        <w:numPr>
          <w:ilvl w:val="0"/>
          <w:numId w:val="44"/>
        </w:numPr>
        <w:tabs>
          <w:tab w:val="clear" w:pos="1440"/>
        </w:tabs>
        <w:ind w:left="900"/>
        <w:jc w:val="both"/>
      </w:pPr>
      <w:r>
        <w:t>Ефективно поддържане, модернизация и развитие на транспортната</w:t>
      </w:r>
      <w:r>
        <w:rPr>
          <w:color w:val="0070C0"/>
        </w:rPr>
        <w:t xml:space="preserve"> </w:t>
      </w:r>
      <w:r>
        <w:t>инфраструктура;</w:t>
      </w:r>
    </w:p>
    <w:p w:rsidR="006E5AE0" w:rsidRDefault="006E5AE0" w:rsidP="00BF532B">
      <w:pPr>
        <w:numPr>
          <w:ilvl w:val="0"/>
          <w:numId w:val="44"/>
        </w:numPr>
        <w:tabs>
          <w:tab w:val="clear" w:pos="1440"/>
        </w:tabs>
        <w:ind w:left="900"/>
        <w:jc w:val="both"/>
      </w:pPr>
      <w:r>
        <w:t>Интегриране на българската транспортна система в европейската;</w:t>
      </w:r>
    </w:p>
    <w:p w:rsidR="006E5AE0" w:rsidRDefault="006E5AE0" w:rsidP="00BF532B">
      <w:pPr>
        <w:numPr>
          <w:ilvl w:val="0"/>
          <w:numId w:val="44"/>
        </w:numPr>
        <w:tabs>
          <w:tab w:val="clear" w:pos="1440"/>
        </w:tabs>
        <w:ind w:left="900"/>
        <w:jc w:val="both"/>
      </w:pPr>
      <w:r>
        <w:t>Прозрачни и хармонизирани условия за конкуренция на транспортния пазар, осигуряване на добра бизнес среда;</w:t>
      </w:r>
    </w:p>
    <w:p w:rsidR="006E5AE0" w:rsidRDefault="006E5AE0" w:rsidP="00BF532B">
      <w:pPr>
        <w:numPr>
          <w:ilvl w:val="0"/>
          <w:numId w:val="44"/>
        </w:numPr>
        <w:tabs>
          <w:tab w:val="clear" w:pos="1440"/>
        </w:tabs>
        <w:ind w:left="900"/>
        <w:jc w:val="both"/>
      </w:pPr>
      <w:r>
        <w:t>Осигуряване на адекватно финансиране за функциониране и развитие на транспортния сектор. Ефективно усвояване на средствата от европейските фондове;</w:t>
      </w:r>
    </w:p>
    <w:p w:rsidR="006E5AE0" w:rsidRDefault="006E5AE0" w:rsidP="00BF532B">
      <w:pPr>
        <w:numPr>
          <w:ilvl w:val="0"/>
          <w:numId w:val="44"/>
        </w:numPr>
        <w:tabs>
          <w:tab w:val="clear" w:pos="1440"/>
        </w:tabs>
        <w:ind w:left="900"/>
        <w:jc w:val="both"/>
      </w:pPr>
      <w:r>
        <w:t>Ограничаване на негативното влияние на транспортната дейност върху околната среда и здравето на хората;</w:t>
      </w:r>
    </w:p>
    <w:p w:rsidR="006E5AE0" w:rsidRDefault="006E5AE0" w:rsidP="00BF532B">
      <w:pPr>
        <w:numPr>
          <w:ilvl w:val="0"/>
          <w:numId w:val="44"/>
        </w:numPr>
        <w:tabs>
          <w:tab w:val="clear" w:pos="1440"/>
        </w:tabs>
        <w:ind w:left="900"/>
        <w:jc w:val="both"/>
      </w:pPr>
      <w:r>
        <w:t>Постигане на висока степен на безопасност и сигурност на транспорта;</w:t>
      </w:r>
    </w:p>
    <w:p w:rsidR="006E5AE0" w:rsidRDefault="006E5AE0" w:rsidP="00BF532B">
      <w:pPr>
        <w:numPr>
          <w:ilvl w:val="0"/>
          <w:numId w:val="44"/>
        </w:numPr>
        <w:tabs>
          <w:tab w:val="clear" w:pos="1440"/>
        </w:tabs>
        <w:ind w:left="900"/>
        <w:jc w:val="both"/>
      </w:pPr>
      <w:r>
        <w:t>Осигуряване на качествен и лесно достъпен транспорт във всички райони на страната;</w:t>
      </w:r>
    </w:p>
    <w:p w:rsidR="006E5AE0" w:rsidRDefault="006E5AE0" w:rsidP="00BF532B">
      <w:pPr>
        <w:numPr>
          <w:ilvl w:val="0"/>
          <w:numId w:val="44"/>
        </w:numPr>
        <w:tabs>
          <w:tab w:val="clear" w:pos="1440"/>
        </w:tabs>
        <w:ind w:left="900"/>
        <w:jc w:val="both"/>
      </w:pPr>
      <w:r>
        <w:t>Развитие на модерна електронна съобщителна структура, включително в слабо населени и отдалечени райони на страната;</w:t>
      </w:r>
    </w:p>
    <w:p w:rsidR="006E5AE0" w:rsidRDefault="006E5AE0" w:rsidP="00BF532B">
      <w:pPr>
        <w:numPr>
          <w:ilvl w:val="0"/>
          <w:numId w:val="44"/>
        </w:numPr>
        <w:tabs>
          <w:tab w:val="clear" w:pos="1440"/>
        </w:tabs>
        <w:ind w:left="900"/>
        <w:jc w:val="both"/>
      </w:pPr>
      <w:r>
        <w:t>Предоставяне на качествени, ефективни и леснодостъпни електронни услуги за гражданите и бизнеса;</w:t>
      </w:r>
    </w:p>
    <w:p w:rsidR="006E5AE0" w:rsidRDefault="006E5AE0" w:rsidP="00BF532B">
      <w:pPr>
        <w:numPr>
          <w:ilvl w:val="0"/>
          <w:numId w:val="44"/>
        </w:numPr>
        <w:tabs>
          <w:tab w:val="clear" w:pos="1440"/>
        </w:tabs>
        <w:ind w:left="900"/>
        <w:jc w:val="both"/>
      </w:pPr>
      <w:r>
        <w:t>Изграждане и поддържане на комуникационната свързаност на всички администрации.</w:t>
      </w:r>
    </w:p>
    <w:p w:rsidR="006E5AE0" w:rsidRDefault="006E5AE0" w:rsidP="006E5AE0">
      <w:pPr>
        <w:spacing w:after="120"/>
        <w:ind w:firstLine="540"/>
        <w:jc w:val="both"/>
      </w:pPr>
      <w:r>
        <w:t>През 2015 г. чрез бюджета на МТИТС са предоставени субсидии за „БДЖ – Пътнически превози“ ЕООД за изпълнението на обществена превозна услуга – превоз на пътници на територията на Република България с железопътен транспорт в размер на 179,8 млн. лв. и субсидии за „Български пощи“ ЕАД за компенсиране извършването на универсалната пощенска услуга, на основание чл. 29 от Закона за пощенските услуги в размер на 12,5 млн. лева.</w:t>
      </w:r>
    </w:p>
    <w:p w:rsidR="006E5AE0" w:rsidRDefault="006E5AE0" w:rsidP="006E5AE0">
      <w:pPr>
        <w:tabs>
          <w:tab w:val="num" w:pos="426"/>
          <w:tab w:val="num" w:pos="962"/>
        </w:tabs>
        <w:ind w:firstLine="540"/>
        <w:jc w:val="both"/>
      </w:pPr>
      <w:r>
        <w:t>През 2015 г. по бюджета на</w:t>
      </w:r>
      <w:r>
        <w:rPr>
          <w:b/>
        </w:rPr>
        <w:t xml:space="preserve"> Агенция „Пътна инфраструктура” (АПИ)</w:t>
      </w:r>
      <w:r>
        <w:t>, второстепенен разпоредител с бюджет към министъра на регионалното развитие и благоустройството, по група „Транспорт и съобщения” са усвоени средства в размер на 459,9 млн. лв., в т.ч. 96,1 млн. лв. разходи по държавни инвестиционни заеми, изпълнявани от агенцията. Изпълняваните дейности от АПИ бяха насочени към постигането на следните цели:</w:t>
      </w:r>
    </w:p>
    <w:p w:rsidR="006E5AE0" w:rsidRDefault="006E5AE0" w:rsidP="00781B85">
      <w:pPr>
        <w:numPr>
          <w:ilvl w:val="0"/>
          <w:numId w:val="45"/>
        </w:numPr>
        <w:tabs>
          <w:tab w:val="left" w:pos="709"/>
          <w:tab w:val="num" w:pos="900"/>
        </w:tabs>
        <w:ind w:left="900"/>
        <w:jc w:val="both"/>
      </w:pPr>
      <w:r>
        <w:rPr>
          <w:iCs/>
        </w:rPr>
        <w:t>осигуряване на съпоставимо с европейската практика високо ниво на автотранспортна достъпност и мобилност за територията на Република България</w:t>
      </w:r>
      <w:r>
        <w:t>;</w:t>
      </w:r>
    </w:p>
    <w:p w:rsidR="006E5AE0" w:rsidRDefault="006E5AE0" w:rsidP="00781B85">
      <w:pPr>
        <w:numPr>
          <w:ilvl w:val="0"/>
          <w:numId w:val="45"/>
        </w:numPr>
        <w:tabs>
          <w:tab w:val="left" w:pos="709"/>
          <w:tab w:val="num" w:pos="900"/>
        </w:tabs>
        <w:ind w:left="900"/>
        <w:jc w:val="both"/>
      </w:pPr>
      <w:r>
        <w:t>поддържане и развитие на републиканската пътна инфраструктура в съответствие със съвременните изисквания на автомобилния транспорт;</w:t>
      </w:r>
    </w:p>
    <w:p w:rsidR="006E5AE0" w:rsidRDefault="006E5AE0" w:rsidP="00781B85">
      <w:pPr>
        <w:numPr>
          <w:ilvl w:val="0"/>
          <w:numId w:val="45"/>
        </w:numPr>
        <w:tabs>
          <w:tab w:val="left" w:pos="709"/>
          <w:tab w:val="num" w:pos="900"/>
        </w:tabs>
        <w:ind w:left="900"/>
        <w:jc w:val="both"/>
      </w:pPr>
      <w:r>
        <w:t>модернизация и обновяване на републиканската пътна мрежа.</w:t>
      </w:r>
    </w:p>
    <w:p w:rsidR="006E5AE0" w:rsidRDefault="006E5AE0" w:rsidP="006E5AE0">
      <w:pPr>
        <w:jc w:val="both"/>
        <w:rPr>
          <w:sz w:val="4"/>
          <w:szCs w:val="4"/>
        </w:rPr>
      </w:pPr>
    </w:p>
    <w:p w:rsidR="006E5AE0" w:rsidRDefault="006E5AE0" w:rsidP="006E5AE0">
      <w:pPr>
        <w:tabs>
          <w:tab w:val="num" w:pos="426"/>
          <w:tab w:val="num" w:pos="962"/>
        </w:tabs>
        <w:ind w:firstLine="540"/>
        <w:jc w:val="both"/>
      </w:pPr>
      <w:r>
        <w:t>По-високият размер на разходите спрямо първоначално утвърдените разходи със ЗДБРБ за 2015 г. се дължи главно на предоставените допълнителни средства по бюджета на МРРБ в изпълнение на:</w:t>
      </w:r>
    </w:p>
    <w:p w:rsidR="006E5AE0" w:rsidRDefault="006E5AE0" w:rsidP="006E5AE0">
      <w:pPr>
        <w:tabs>
          <w:tab w:val="num" w:pos="426"/>
          <w:tab w:val="num" w:pos="962"/>
        </w:tabs>
        <w:ind w:firstLine="540"/>
        <w:jc w:val="both"/>
        <w:rPr>
          <w:iCs/>
        </w:rPr>
      </w:pPr>
      <w:r>
        <w:t xml:space="preserve">- </w:t>
      </w:r>
      <w:r>
        <w:rPr>
          <w:iCs/>
        </w:rPr>
        <w:t>ПМС № 95/2015 г. за финансиране на ремонтно-възстановителни дейности на участъци от Автомагистрала „Тракия“ и „Хемус“ в размер на 100 млн. лв.;</w:t>
      </w:r>
    </w:p>
    <w:p w:rsidR="006E5AE0" w:rsidRDefault="006E5AE0" w:rsidP="006E5AE0">
      <w:pPr>
        <w:tabs>
          <w:tab w:val="num" w:pos="426"/>
          <w:tab w:val="num" w:pos="962"/>
        </w:tabs>
        <w:ind w:firstLine="540"/>
        <w:jc w:val="both"/>
        <w:rPr>
          <w:iCs/>
        </w:rPr>
      </w:pPr>
      <w:r>
        <w:rPr>
          <w:iCs/>
        </w:rPr>
        <w:t>- ПМС № 117/2015 г. за финансиране на АМ „Хемус“, участък „Белокопитово-Каспичан“ и на пътен възел „Белокопитово“ в размер на 29 млн. лв.</w:t>
      </w:r>
    </w:p>
    <w:p w:rsidR="006E5AE0" w:rsidRDefault="006E5AE0" w:rsidP="006E5AE0">
      <w:pPr>
        <w:tabs>
          <w:tab w:val="num" w:pos="426"/>
          <w:tab w:val="num" w:pos="962"/>
        </w:tabs>
        <w:ind w:firstLine="540"/>
        <w:jc w:val="both"/>
      </w:pPr>
      <w:r>
        <w:t xml:space="preserve"> С изразходваните средства чрез бюджета на АПИ през 2015 г. е извършено ефективно и качествено зимно поддържане, основен ремонт, рехабилитация и модернизация на пътищата от републиканската пътна мрежа.</w:t>
      </w:r>
    </w:p>
    <w:p w:rsidR="006E5AE0" w:rsidRDefault="006E5AE0" w:rsidP="006E5AE0">
      <w:pPr>
        <w:tabs>
          <w:tab w:val="num" w:pos="426"/>
          <w:tab w:val="num" w:pos="962"/>
        </w:tabs>
        <w:ind w:firstLine="540"/>
        <w:jc w:val="both"/>
      </w:pPr>
      <w:r>
        <w:lastRenderedPageBreak/>
        <w:t xml:space="preserve">Преобладаващата част от разходите за основен ремонт са за проект, финансиран с държавен инвестиционен </w:t>
      </w:r>
      <w:r w:rsidR="00764588">
        <w:t xml:space="preserve">заем </w:t>
      </w:r>
      <w:r>
        <w:t>– 96,1 млн. лв.</w:t>
      </w:r>
      <w:r w:rsidR="00534A18">
        <w:t xml:space="preserve"> </w:t>
      </w:r>
      <w:r>
        <w:t xml:space="preserve">за проект „Транзитни пътища V”. </w:t>
      </w:r>
    </w:p>
    <w:p w:rsidR="006E5AE0" w:rsidRDefault="00E377C8" w:rsidP="006E5AE0">
      <w:pPr>
        <w:tabs>
          <w:tab w:val="num" w:pos="426"/>
          <w:tab w:val="num" w:pos="962"/>
        </w:tabs>
        <w:spacing w:after="120"/>
        <w:ind w:firstLine="540"/>
        <w:jc w:val="both"/>
      </w:pPr>
      <w:r>
        <w:t>Усвоените средства</w:t>
      </w:r>
      <w:r w:rsidR="006E5AE0">
        <w:t xml:space="preserve"> за придобиване на ДМА, </w:t>
      </w:r>
      <w:r w:rsidR="006E5AE0">
        <w:rPr>
          <w:bCs/>
        </w:rPr>
        <w:t xml:space="preserve">чрез бюджета на АПИ, </w:t>
      </w:r>
      <w:r w:rsidR="006E5AE0">
        <w:t xml:space="preserve">са в размер на 53,5 млн. лв., разходвани основно за ново строителство на републиканска пътна инфраструктура и разходи за придобиване на земя. </w:t>
      </w:r>
    </w:p>
    <w:p w:rsidR="006E5AE0" w:rsidRDefault="006E5AE0" w:rsidP="006E5AE0">
      <w:pPr>
        <w:tabs>
          <w:tab w:val="num" w:pos="426"/>
          <w:tab w:val="num" w:pos="962"/>
        </w:tabs>
        <w:spacing w:after="120"/>
        <w:ind w:firstLine="539"/>
        <w:jc w:val="both"/>
      </w:pPr>
      <w:r>
        <w:t xml:space="preserve">Чрез бюджета на </w:t>
      </w:r>
      <w:r>
        <w:rPr>
          <w:b/>
        </w:rPr>
        <w:t>Комисията за регулиране на съобщенията</w:t>
      </w:r>
      <w:r>
        <w:t xml:space="preserve"> през 2015 г. са усвоени средства в размер на 7,1 млн. лв. за изпълнение на секторната политика в областта на далекосъобщенията чрез финансиране на дейности, свързани с регулирането и контролирането на далекосъобщителния, радиочестотния спектър и услуги на информационното общество.</w:t>
      </w:r>
    </w:p>
    <w:p w:rsidR="006E5AE0" w:rsidRDefault="006E5AE0" w:rsidP="006E5AE0">
      <w:pPr>
        <w:tabs>
          <w:tab w:val="num" w:pos="426"/>
          <w:tab w:val="num" w:pos="962"/>
        </w:tabs>
        <w:spacing w:after="120"/>
        <w:ind w:firstLine="540"/>
        <w:jc w:val="both"/>
      </w:pPr>
      <w:r>
        <w:t xml:space="preserve">През 2015 г. чрез бюджета на </w:t>
      </w:r>
      <w:r>
        <w:rPr>
          <w:b/>
        </w:rPr>
        <w:t>Министерството на вътрешните работи</w:t>
      </w:r>
      <w:r>
        <w:t xml:space="preserve"> в това функционално направление за финансово обезпечаване дейността на Специалната куриерска служба са изразходвани средства в размер на 4,1 млн. лв.</w:t>
      </w:r>
    </w:p>
    <w:p w:rsidR="006E5AE0" w:rsidRDefault="006E5AE0" w:rsidP="006E5AE0">
      <w:pPr>
        <w:tabs>
          <w:tab w:val="num" w:pos="426"/>
          <w:tab w:val="num" w:pos="962"/>
        </w:tabs>
        <w:spacing w:after="120"/>
        <w:ind w:firstLine="540"/>
        <w:jc w:val="both"/>
      </w:pPr>
      <w:r>
        <w:t xml:space="preserve">През 2015 г. </w:t>
      </w:r>
      <w:r>
        <w:rPr>
          <w:b/>
        </w:rPr>
        <w:t>Национална компания „Стратегически инфраструктурни проекти”</w:t>
      </w:r>
      <w:r>
        <w:t xml:space="preserve"> е усвоила средства в размер на 1,4 млн. лв. (предоставени като трансфер чрез бюджета на МРРБ) за финансиране дейността на компанията, във връзка с функциите й по проектиране, изграждане, поддържане и ремонт на автомагистрала "Струма", автомагистрала "Хемус" и автомагистрала "Черно море".</w:t>
      </w:r>
    </w:p>
    <w:p w:rsidR="006E5AE0" w:rsidRDefault="006E5AE0" w:rsidP="006E5AE0">
      <w:pPr>
        <w:pStyle w:val="BodyText"/>
        <w:widowControl w:val="0"/>
        <w:ind w:firstLine="540"/>
        <w:jc w:val="both"/>
      </w:pPr>
      <w:r>
        <w:t xml:space="preserve">Отчетените разходи </w:t>
      </w:r>
      <w:r>
        <w:rPr>
          <w:b/>
        </w:rPr>
        <w:t>по общинските бюджети</w:t>
      </w:r>
      <w:r>
        <w:t xml:space="preserve"> за група “Транспорт и съобщения” са в размер на 206,</w:t>
      </w:r>
      <w:r w:rsidR="00223F91">
        <w:t xml:space="preserve">4 </w:t>
      </w:r>
      <w:r>
        <w:t>млн. лв., от които 90,3 млн. лв. текущи и 116,</w:t>
      </w:r>
      <w:r w:rsidR="00223F91">
        <w:t xml:space="preserve">0 </w:t>
      </w:r>
      <w:r>
        <w:t xml:space="preserve">млн. лв. капиталови разходи. Отчетените текущи разходи за </w:t>
      </w:r>
      <w:r>
        <w:rPr>
          <w:i/>
        </w:rPr>
        <w:t>делегираните от държавата дейности</w:t>
      </w:r>
      <w:r>
        <w:t xml:space="preserve"> са в размер на 24,0 млн. лв., от които 1,4 млн. лв. за издръжка на фериботен комплекс – Белослав и </w:t>
      </w:r>
      <w:r>
        <w:rPr>
          <w:lang w:val="ru-RU"/>
        </w:rPr>
        <w:t>22,6</w:t>
      </w:r>
      <w:r>
        <w:t xml:space="preserve"> млн. лв. предоставени субсидии от централния бюджет на общините за вътрешноградски и междуселищни превози. В </w:t>
      </w:r>
      <w:r>
        <w:rPr>
          <w:i/>
        </w:rPr>
        <w:t>местните дейности</w:t>
      </w:r>
      <w:r>
        <w:t xml:space="preserve"> за група „Транспорт и съобщения” са отчетени текущи разходи в размер на </w:t>
      </w:r>
      <w:r>
        <w:rPr>
          <w:lang w:val="ru-RU"/>
        </w:rPr>
        <w:t>66,3</w:t>
      </w:r>
      <w:r>
        <w:t xml:space="preserve"> млн. лв.</w:t>
      </w:r>
      <w:r w:rsidR="00534A18">
        <w:t xml:space="preserve"> или</w:t>
      </w:r>
      <w:r w:rsidR="00534A18" w:rsidRPr="00534A18">
        <w:rPr>
          <w:lang w:val="ru-RU"/>
        </w:rPr>
        <w:t xml:space="preserve"> </w:t>
      </w:r>
      <w:r w:rsidR="00534A18">
        <w:rPr>
          <w:lang w:val="ru-RU"/>
        </w:rPr>
        <w:t xml:space="preserve">34,5 % </w:t>
      </w:r>
      <w:r w:rsidR="00534A18">
        <w:t>от</w:t>
      </w:r>
      <w:r>
        <w:t xml:space="preserve"> разчетените по закон</w:t>
      </w:r>
      <w:r w:rsidR="00534A18">
        <w:t>.</w:t>
      </w:r>
      <w:r>
        <w:rPr>
          <w:lang w:val="ru-RU"/>
        </w:rPr>
        <w:t xml:space="preserve"> </w:t>
      </w:r>
      <w:r>
        <w:t xml:space="preserve">Съпоставени с отчета за 2014 г. тези разходи са с 82,8 млн. лв. по-малко, което  се дължи на факта, че отчетените през 2014 г. разходи по решение на общинския съвет за предоставяне на определени групи правоимащи на карти за безплатни и по намалени цени пътувания с вътрешноградски транспорт, през 2015 г. са отчетени във </w:t>
      </w:r>
      <w:r w:rsidRPr="00BF6C64">
        <w:t xml:space="preserve">функция „Социално осигуряване, подпомагане и грижи“. Отчетените капиталови разходи в местни дейности са в размер на </w:t>
      </w:r>
      <w:r w:rsidR="00BF6C64" w:rsidRPr="00BF6C64">
        <w:t>114,6</w:t>
      </w:r>
      <w:r w:rsidRPr="00BF6C64">
        <w:t xml:space="preserve"> млн. лв., а в делегирани от държавата дейности 1,5 млн. лв. Спрямо 2014 г. капиталовите разходи на общините в тази група са</w:t>
      </w:r>
      <w:r>
        <w:t xml:space="preserve"> намалели с 16,</w:t>
      </w:r>
      <w:r w:rsidR="00DA18A9">
        <w:t xml:space="preserve">5 </w:t>
      </w:r>
      <w:r>
        <w:t>млн. лв. или 12,</w:t>
      </w:r>
      <w:r w:rsidR="00DA18A9">
        <w:t xml:space="preserve">5 </w:t>
      </w:r>
      <w:r>
        <w:t>%. Това са основно разходите за поддържане на четвъртокласната пътна мрежа на общините и прилежащата към нея инфраструктура.</w:t>
      </w:r>
    </w:p>
    <w:p w:rsidR="006E5AE0" w:rsidRDefault="006E5AE0" w:rsidP="006E5AE0">
      <w:pPr>
        <w:pStyle w:val="BodyTextIndent2"/>
        <w:spacing w:line="240" w:lineRule="auto"/>
        <w:ind w:left="0" w:firstLine="540"/>
        <w:jc w:val="both"/>
      </w:pPr>
      <w:r>
        <w:rPr>
          <w:b/>
        </w:rPr>
        <w:t>Европейски средства</w:t>
      </w:r>
      <w:r>
        <w:t xml:space="preserve"> – в група “Транспорт и съобщения” изразходваните средства са в размер на 1 </w:t>
      </w:r>
      <w:r w:rsidR="00DA18A9">
        <w:t>593,8</w:t>
      </w:r>
      <w:r>
        <w:t xml:space="preserve"> млн. лв. (в т.ч. капиталови разходи 1 </w:t>
      </w:r>
      <w:r w:rsidR="00DA18A9">
        <w:t>553,9</w:t>
      </w:r>
      <w:r>
        <w:t xml:space="preserve"> млн. лв.), основно по следните оперативни програми: </w:t>
      </w:r>
    </w:p>
    <w:p w:rsidR="006E5AE0" w:rsidRDefault="006E5AE0" w:rsidP="006E5AE0">
      <w:pPr>
        <w:autoSpaceDE w:val="0"/>
        <w:autoSpaceDN w:val="0"/>
        <w:adjustRightInd w:val="0"/>
        <w:spacing w:after="120"/>
        <w:ind w:firstLine="567"/>
        <w:jc w:val="both"/>
      </w:pPr>
      <w:r>
        <w:rPr>
          <w:b/>
          <w:i/>
        </w:rPr>
        <w:t>Оперативна програма „Транспорт</w:t>
      </w:r>
      <w:r>
        <w:t>” (801,4 млн. лв.) - програмата финансира мащабни инфраструктурни проекти. Основна цел на програмата е да се постигне балансирано и устойчиво развитие на националната транспортна система чрез развитието и модернизацията на основните транспортни инфраструктурни връзки от европейско, национално и трансгранично значение. Други важни цели на програмата са развитието на европейските транспортни коридори на територията на страната и баланс между отделните видове транспорт. Постигането на тези цели е необходимо условие за устойчивия и балансиран дългосрочен икономически растеж. Бенефициенти на тази програма са: Национална компания “Железопътна инфраструктура”, Агенция ”Пътна инфраструктура”, Изпълнителна агенция за проучване и поддържане на р. Дунав; Държавно предприятие „Пристанищна инфраструктура”, „Метрополитен” ЕАД и общини.</w:t>
      </w:r>
    </w:p>
    <w:p w:rsidR="006E5AE0" w:rsidRDefault="006E5AE0" w:rsidP="006E5AE0">
      <w:pPr>
        <w:spacing w:after="120"/>
        <w:ind w:firstLine="539"/>
        <w:jc w:val="both"/>
      </w:pPr>
      <w:r>
        <w:rPr>
          <w:b/>
          <w:i/>
        </w:rPr>
        <w:lastRenderedPageBreak/>
        <w:t>Оперативна програма „Регионално развитие”</w:t>
      </w:r>
      <w:r>
        <w:t xml:space="preserve"> (423,3 млн. лв.)</w:t>
      </w:r>
      <w:r>
        <w:rPr>
          <w:b/>
          <w:i/>
        </w:rPr>
        <w:t xml:space="preserve"> – </w:t>
      </w:r>
      <w:r>
        <w:t xml:space="preserve">програмата финансира инфраструктурни проекти за интегрирано развитие на градовете,  регионалната и местна инфраструктура, устойчиво развитие на туризма, регионални и местни мрежи за сътрудничество. Основна цел на програмата е подобряване на качеството на живот и работната среда, с по-добър достъп до основните услуги и нови възможности за повишена регионална конкурентоспособност и устойчиво развитие. Други важни цели на програмата в това функционално направление са: изграждане на устойчиви и динамични градски центрове, свързани с техните по-слабо урбанизирани периферни територии; осигуряване на по-добър достъп до пътни, информационни, комуникационни и енергийни мрежи за изостаналите райони; възстановяване на баланса между различните видове транспорт; развитие на интермодален транспорт; системи за регулиране на автомобилния поток; мерки за безопасност и качество на услугите; подобряване на връзките между града и селото и др. Бенефициенти на програмата са общини, общински фирми, сдружения на общини, неправителствени организации с местно представителство. </w:t>
      </w:r>
    </w:p>
    <w:p w:rsidR="006E5AE0" w:rsidRDefault="006E5AE0" w:rsidP="006E5AE0">
      <w:pPr>
        <w:spacing w:after="120"/>
        <w:ind w:firstLine="539"/>
        <w:jc w:val="both"/>
      </w:pPr>
      <w:r>
        <w:rPr>
          <w:b/>
          <w:i/>
        </w:rPr>
        <w:t>Оперативна програма „Околна среда”</w:t>
      </w:r>
      <w:r>
        <w:t xml:space="preserve"> (63,3 млн. лв.) – в това функционално направление програмата финансира дейности, свързани с подобряване качеството на атмосферния въздух. Една от основните цели в това направление е осигуряване на съвременен екологичен подвижен състав на градския транспорт, като тролейбуси,трамваи, метровлакове и автобуси, което ще доведе до намаляване на вредните емисии във въздуха, намаляване на шума и вибрациите, значително спестяване на енергия. В допълнение, по-високата надеждност, удобство и скорост на новите превозни средства ще направи градския транспорт по-привлек</w:t>
      </w:r>
      <w:r w:rsidR="00E377C8">
        <w:t xml:space="preserve">ателен и ще намали движението на </w:t>
      </w:r>
      <w:r>
        <w:t>автомобили.</w:t>
      </w:r>
    </w:p>
    <w:p w:rsidR="006E5AE0" w:rsidRDefault="006E5AE0" w:rsidP="006E5AE0">
      <w:pPr>
        <w:ind w:firstLine="540"/>
        <w:rPr>
          <w:b/>
        </w:rPr>
      </w:pPr>
      <w:r>
        <w:rPr>
          <w:b/>
        </w:rPr>
        <w:t xml:space="preserve">Група Г: </w:t>
      </w:r>
      <w:r>
        <w:rPr>
          <w:b/>
          <w:i/>
        </w:rPr>
        <w:t>„Промишленост и строителство”</w:t>
      </w:r>
    </w:p>
    <w:p w:rsidR="006E5AE0" w:rsidRDefault="006E5AE0" w:rsidP="006E5AE0">
      <w:pPr>
        <w:ind w:firstLine="540"/>
        <w:rPr>
          <w:color w:val="0070C0"/>
          <w:sz w:val="8"/>
          <w:szCs w:val="8"/>
        </w:rPr>
      </w:pPr>
    </w:p>
    <w:p w:rsidR="006E5AE0" w:rsidRDefault="006E5AE0" w:rsidP="006E5AE0">
      <w:pPr>
        <w:ind w:firstLine="540"/>
        <w:jc w:val="both"/>
      </w:pPr>
      <w:r>
        <w:t>Със ЗДБРБ за 2015 г. по група „Промишленост и строителство” са утвърдени средства в размер на 14,4</w:t>
      </w:r>
      <w:r>
        <w:rPr>
          <w:lang w:val="ru-RU"/>
        </w:rPr>
        <w:t xml:space="preserve"> млн. лв.</w:t>
      </w:r>
      <w:r>
        <w:t xml:space="preserve"> Одобрените средства са за реализиране на политиката на правителството, насочена към постигане на устойчиво икономическо развитие и конкурентоспособност на българската икономика.</w:t>
      </w:r>
    </w:p>
    <w:p w:rsidR="006E5AE0" w:rsidRDefault="006E5AE0" w:rsidP="006E5AE0">
      <w:pPr>
        <w:ind w:firstLine="540"/>
        <w:jc w:val="both"/>
      </w:pPr>
      <w:r>
        <w:t xml:space="preserve">По бюджетите на </w:t>
      </w:r>
      <w:r>
        <w:rPr>
          <w:b/>
        </w:rPr>
        <w:t>министерствата и ведомствата</w:t>
      </w:r>
      <w:r>
        <w:t xml:space="preserve"> в групата са отчетени разходи в размер на 7,3 млн. лв., значителна част от които (4,1 млн. лв.) са изразходвани за субсидии за нефинансови предприятия за насърчаване на иновациите чрез Националния иновационен фонд. </w:t>
      </w:r>
    </w:p>
    <w:p w:rsidR="006E5AE0" w:rsidRDefault="006E5AE0" w:rsidP="006E5AE0">
      <w:pPr>
        <w:ind w:firstLine="540"/>
        <w:jc w:val="both"/>
      </w:pPr>
      <w:r>
        <w:t xml:space="preserve">Изразходените през 2015 г. средства в група „Промишленост и строителство“ са насочени към насърчаване на малкия и средния бизнес. </w:t>
      </w:r>
    </w:p>
    <w:p w:rsidR="006E5AE0" w:rsidRDefault="006E5AE0" w:rsidP="006E5AE0">
      <w:pPr>
        <w:spacing w:after="240"/>
        <w:ind w:firstLine="539"/>
        <w:jc w:val="both"/>
        <w:rPr>
          <w:b/>
          <w:sz w:val="10"/>
          <w:szCs w:val="10"/>
        </w:rPr>
      </w:pPr>
      <w:r>
        <w:t>Ангажираните с изпълнението на държавната политика в областта на промишлеността и строителството през 2015 г. и отговорни за постигнатите резултати са Министерството на икономиката и Изпълнителната агенция за насърчаване на малките и средните предприятия, определена като второстепенен разпоредител с бюджет към министъра на икономиката.</w:t>
      </w:r>
    </w:p>
    <w:p w:rsidR="006E5AE0" w:rsidRDefault="006E5AE0" w:rsidP="006E5AE0">
      <w:pPr>
        <w:spacing w:after="120"/>
        <w:ind w:firstLine="539"/>
        <w:rPr>
          <w:b/>
        </w:rPr>
      </w:pPr>
      <w:r>
        <w:rPr>
          <w:b/>
        </w:rPr>
        <w:t xml:space="preserve">Група Д: </w:t>
      </w:r>
      <w:r>
        <w:rPr>
          <w:b/>
          <w:i/>
        </w:rPr>
        <w:t>„Туризъм”</w:t>
      </w:r>
    </w:p>
    <w:p w:rsidR="006E5AE0" w:rsidRDefault="006E5AE0" w:rsidP="006E5AE0">
      <w:pPr>
        <w:spacing w:after="120"/>
        <w:ind w:firstLine="539"/>
        <w:jc w:val="both"/>
      </w:pPr>
      <w:r>
        <w:t>По група „Туризъм“ със ЗДБРБ за 2015 г. на консолидирано ниво са предвидени 14,</w:t>
      </w:r>
      <w:r w:rsidR="00534A18">
        <w:t>7</w:t>
      </w:r>
      <w:r>
        <w:t xml:space="preserve"> млн. лв. (в т.ч. и средствата за разходване от резерва за непредвидени и неотложни разходи). Тези средства са за реализиране на част от политиката на Правителството, насочена към постигане на устойчивост в развитието на туризма и ефективност на външноикономическото сътрудничество.</w:t>
      </w:r>
    </w:p>
    <w:p w:rsidR="006E5AE0" w:rsidRDefault="006E5AE0" w:rsidP="006E5AE0">
      <w:pPr>
        <w:spacing w:after="120"/>
        <w:ind w:firstLine="539"/>
        <w:jc w:val="both"/>
      </w:pPr>
      <w:r>
        <w:t xml:space="preserve">Със ЗДБРБ за 2015 г. по група „Туризъм” за </w:t>
      </w:r>
      <w:r>
        <w:rPr>
          <w:b/>
        </w:rPr>
        <w:t>министерствата и ведомствата</w:t>
      </w:r>
      <w:r>
        <w:t xml:space="preserve"> са </w:t>
      </w:r>
      <w:r w:rsidRPr="00413E12">
        <w:t>утвърдени средства в размер на 8,</w:t>
      </w:r>
      <w:r w:rsidR="00413E12" w:rsidRPr="00413E12">
        <w:t>0</w:t>
      </w:r>
      <w:r w:rsidRPr="00413E12">
        <w:t xml:space="preserve"> млн. лв. </w:t>
      </w:r>
      <w:r w:rsidRPr="00413E12">
        <w:rPr>
          <w:lang w:val="en-US"/>
        </w:rPr>
        <w:t>(</w:t>
      </w:r>
      <w:r w:rsidRPr="00413E12">
        <w:t>в т. ч. средства от резерва за непредвидени и неотложни разходи</w:t>
      </w:r>
      <w:r w:rsidRPr="00413E12">
        <w:rPr>
          <w:lang w:val="en-US"/>
        </w:rPr>
        <w:t>)</w:t>
      </w:r>
      <w:r w:rsidRPr="00413E12">
        <w:t>. В хода на изпълнението на държавния бюджет, на основание чл. 109,</w:t>
      </w:r>
      <w:r>
        <w:t xml:space="preserve"> </w:t>
      </w:r>
      <w:r w:rsidRPr="00041D60">
        <w:t>чл. 110 и чл. 112 от ЗПФ са предоставени допълнителни средства в размер на 0,8 млн. лева.</w:t>
      </w:r>
    </w:p>
    <w:p w:rsidR="006E5AE0" w:rsidRDefault="006E5AE0" w:rsidP="006E5AE0">
      <w:pPr>
        <w:spacing w:after="120"/>
        <w:ind w:firstLine="540"/>
        <w:jc w:val="both"/>
      </w:pPr>
      <w:r>
        <w:lastRenderedPageBreak/>
        <w:t xml:space="preserve">Извършените през 2015 г. разходи по тази група за </w:t>
      </w:r>
      <w:r>
        <w:rPr>
          <w:b/>
        </w:rPr>
        <w:t>министерствата и ведомствата</w:t>
      </w:r>
      <w:r>
        <w:t xml:space="preserve">  са в размер на 7,5 млн. лв. и са насочени към постигане на следните резултати:</w:t>
      </w:r>
    </w:p>
    <w:p w:rsidR="006E5AE0" w:rsidRDefault="006E5AE0" w:rsidP="00781B85">
      <w:pPr>
        <w:numPr>
          <w:ilvl w:val="0"/>
          <w:numId w:val="46"/>
        </w:numPr>
        <w:ind w:left="714" w:hanging="357"/>
        <w:jc w:val="both"/>
      </w:pPr>
      <w:r>
        <w:t>финансиране изпълнението на маркетинговата стратегия за реклама на българския туризъм на международния туристически пазар;</w:t>
      </w:r>
    </w:p>
    <w:p w:rsidR="006E5AE0" w:rsidRDefault="006E5AE0" w:rsidP="00781B85">
      <w:pPr>
        <w:numPr>
          <w:ilvl w:val="0"/>
          <w:numId w:val="46"/>
        </w:numPr>
        <w:ind w:left="714" w:hanging="357"/>
        <w:jc w:val="both"/>
      </w:pPr>
      <w:r>
        <w:t>популяризирането и въвеждането на нови туристически продукти;</w:t>
      </w:r>
    </w:p>
    <w:p w:rsidR="006E5AE0" w:rsidRDefault="006E5AE0" w:rsidP="00781B85">
      <w:pPr>
        <w:numPr>
          <w:ilvl w:val="0"/>
          <w:numId w:val="46"/>
        </w:numPr>
        <w:jc w:val="both"/>
      </w:pPr>
      <w:r>
        <w:t>организиране на международни туристически борси, панаири и изложения;</w:t>
      </w:r>
    </w:p>
    <w:p w:rsidR="006E5AE0" w:rsidRDefault="006E5AE0" w:rsidP="00781B85">
      <w:pPr>
        <w:numPr>
          <w:ilvl w:val="0"/>
          <w:numId w:val="46"/>
        </w:numPr>
        <w:jc w:val="both"/>
      </w:pPr>
      <w:r>
        <w:t>подготовката и разпространението на рекламни материали и мултимедийни продукти и PR мероприятия;</w:t>
      </w:r>
    </w:p>
    <w:p w:rsidR="006E5AE0" w:rsidRDefault="006E5AE0" w:rsidP="00781B85">
      <w:pPr>
        <w:numPr>
          <w:ilvl w:val="0"/>
          <w:numId w:val="46"/>
        </w:numPr>
        <w:spacing w:after="120"/>
        <w:jc w:val="both"/>
      </w:pPr>
      <w:r>
        <w:t>реклама в чуждестранни медии, в т.ч. чрез организиране на журналистически турове в страната и в българските медии, и др.</w:t>
      </w:r>
    </w:p>
    <w:p w:rsidR="006E5AE0" w:rsidRDefault="006E5AE0" w:rsidP="006E5AE0">
      <w:pPr>
        <w:tabs>
          <w:tab w:val="num" w:pos="426"/>
          <w:tab w:val="num" w:pos="962"/>
        </w:tabs>
        <w:spacing w:after="120"/>
        <w:ind w:right="-108" w:firstLine="567"/>
        <w:jc w:val="both"/>
      </w:pPr>
      <w:r>
        <w:t>Основната цел на публичните разходи и през 2015 г. за група „Туризъм“ е повишаване на конкурентоспособността на българския туризъм и в резултат на това нарастването на приходите от международен туризъм в България.</w:t>
      </w:r>
    </w:p>
    <w:p w:rsidR="006E5AE0" w:rsidRDefault="006E5AE0" w:rsidP="006E5AE0">
      <w:pPr>
        <w:spacing w:after="120"/>
        <w:ind w:firstLine="567"/>
        <w:jc w:val="both"/>
      </w:pPr>
      <w:r>
        <w:t>Отговорното министерство, което е ангажирано с изпълнението на държавната политика в областта на туризма през 2015 г. е Министерството на туризма.</w:t>
      </w:r>
    </w:p>
    <w:p w:rsidR="006E5AE0" w:rsidRDefault="006E5AE0" w:rsidP="006E5AE0">
      <w:pPr>
        <w:spacing w:after="120"/>
        <w:ind w:firstLine="539"/>
        <w:jc w:val="both"/>
        <w:rPr>
          <w:color w:val="0070C0"/>
        </w:rPr>
      </w:pPr>
      <w:r>
        <w:t xml:space="preserve">За група „Туризъм” по </w:t>
      </w:r>
      <w:r>
        <w:rPr>
          <w:b/>
        </w:rPr>
        <w:t>общинските бюджети</w:t>
      </w:r>
      <w:r>
        <w:t xml:space="preserve"> са отчетени разходи в размер на 6,3 млн. лв., представляващи основно текущи разходи. Изпълнението спрямо разчета е 94,0 %, а спрямо 2014 г. е 15</w:t>
      </w:r>
      <w:r w:rsidR="009E4F5A">
        <w:t>2</w:t>
      </w:r>
      <w:r>
        <w:t>,</w:t>
      </w:r>
      <w:r w:rsidR="009E4F5A">
        <w:t>7</w:t>
      </w:r>
      <w:r>
        <w:t xml:space="preserve"> %. Ръстът на текущите разходи спрямо предходната година е в размер на 1,7 млн. лв.</w:t>
      </w:r>
      <w:r>
        <w:rPr>
          <w:color w:val="0070C0"/>
        </w:rPr>
        <w:t xml:space="preserve"> </w:t>
      </w:r>
      <w:r>
        <w:t xml:space="preserve">Увеличението на текущите разходи се дължи </w:t>
      </w:r>
      <w:r w:rsidR="004126A8">
        <w:rPr>
          <w:lang w:val="en-US"/>
        </w:rPr>
        <w:t>osnowno</w:t>
      </w:r>
      <w:r>
        <w:t xml:space="preserve"> на разходите за издръжка, което показва една устойчива тенденция на развитие на туристическата дейност в общините. В тази група се отчитат разходите за издръжка на туристическите бази, специализирани спортно-туристически школи, за развитието и популяризирането на туризма, изграждане на инфраструктура към туристически обекти и др. </w:t>
      </w:r>
    </w:p>
    <w:p w:rsidR="006E5AE0" w:rsidRPr="001A419E" w:rsidRDefault="006E5AE0" w:rsidP="006E5AE0">
      <w:pPr>
        <w:pStyle w:val="BodyTextIndent2"/>
        <w:spacing w:after="240" w:line="240" w:lineRule="auto"/>
        <w:ind w:left="0" w:firstLine="539"/>
        <w:jc w:val="both"/>
        <w:rPr>
          <w:lang w:val="en-US"/>
        </w:rPr>
      </w:pPr>
      <w:r>
        <w:rPr>
          <w:b/>
        </w:rPr>
        <w:t>Европейски средства</w:t>
      </w:r>
      <w:r>
        <w:t xml:space="preserve"> – в група “Туризъм” изразходваните средства са в размер на 27,5 млн. лв.,  от които по </w:t>
      </w:r>
      <w:r>
        <w:rPr>
          <w:b/>
          <w:i/>
        </w:rPr>
        <w:t xml:space="preserve">оперативна програма „Регионално развитие“ </w:t>
      </w:r>
      <w:r>
        <w:t>- 14,5 млн. лева</w:t>
      </w:r>
      <w:r w:rsidR="001A419E">
        <w:rPr>
          <w:lang w:val="en-US"/>
        </w:rPr>
        <w:t>.</w:t>
      </w:r>
      <w:r>
        <w:t xml:space="preserve"> </w:t>
      </w:r>
    </w:p>
    <w:p w:rsidR="006E5AE0" w:rsidRDefault="006E5AE0" w:rsidP="006E5AE0">
      <w:pPr>
        <w:ind w:firstLine="539"/>
        <w:rPr>
          <w:b/>
        </w:rPr>
      </w:pPr>
      <w:r>
        <w:rPr>
          <w:b/>
        </w:rPr>
        <w:t xml:space="preserve">Група Е: </w:t>
      </w:r>
      <w:r>
        <w:rPr>
          <w:b/>
          <w:i/>
        </w:rPr>
        <w:t>„Други дейности по икономиката”</w:t>
      </w:r>
    </w:p>
    <w:p w:rsidR="006E5AE0" w:rsidRDefault="006E5AE0" w:rsidP="006E5AE0">
      <w:pPr>
        <w:ind w:firstLine="540"/>
        <w:jc w:val="both"/>
        <w:rPr>
          <w:b/>
          <w:color w:val="0070C0"/>
          <w:sz w:val="8"/>
          <w:szCs w:val="8"/>
        </w:rPr>
      </w:pPr>
    </w:p>
    <w:p w:rsidR="006E5AE0" w:rsidRDefault="006E5AE0" w:rsidP="006E5AE0">
      <w:pPr>
        <w:ind w:firstLine="540"/>
        <w:jc w:val="both"/>
      </w:pPr>
      <w:r>
        <w:t>Целта на публичните разходи в областта на другите дейности по икономиката е финансовото осигуряване на извършваната от министерствата и ведомствата издателска дейност, издръжка</w:t>
      </w:r>
      <w:r w:rsidR="007B26A0">
        <w:t>та</w:t>
      </w:r>
      <w:r>
        <w:t xml:space="preserve"> на обекти, предназначени за представителни и социални нужди - почивни бази, оздравителни комплекси и др., осъществяването на дейностите в областта на метрологията и техническия надзор, на приватизацията и следприватизационния надзор, на патентната дейност, на дейностите по акредитиране на лаборатории и органи, на дейности, свързани с политиката в областта на обществените поръчки и др.</w:t>
      </w:r>
    </w:p>
    <w:p w:rsidR="006E5AE0" w:rsidRDefault="006E5AE0" w:rsidP="006E5AE0">
      <w:pPr>
        <w:ind w:firstLine="539"/>
        <w:jc w:val="both"/>
      </w:pPr>
      <w:r>
        <w:t xml:space="preserve">Разчетените със ЗДБРБ за 2015 г. разходи в група „Други дейности по икономиката” </w:t>
      </w:r>
      <w:r w:rsidR="00ED7587">
        <w:t xml:space="preserve">за </w:t>
      </w:r>
      <w:r w:rsidR="00ED7587" w:rsidRPr="00EC33FC">
        <w:rPr>
          <w:b/>
        </w:rPr>
        <w:t>държавния бюджет</w:t>
      </w:r>
      <w:r w:rsidR="00ED7587">
        <w:t xml:space="preserve"> са в размер на 60,3 млн. лв., от които </w:t>
      </w:r>
      <w:r w:rsidRPr="00430C8B">
        <w:t xml:space="preserve">за </w:t>
      </w:r>
      <w:r w:rsidRPr="00EC33FC">
        <w:t>министерства и ведомства</w:t>
      </w:r>
      <w:r w:rsidRPr="00430C8B">
        <w:t xml:space="preserve"> са </w:t>
      </w:r>
      <w:r w:rsidR="00ED7587">
        <w:t>утвърдени</w:t>
      </w:r>
      <w:r w:rsidRPr="00430C8B">
        <w:t xml:space="preserve"> 21,</w:t>
      </w:r>
      <w:r w:rsidR="00430C8B" w:rsidRPr="00430C8B">
        <w:t>7</w:t>
      </w:r>
      <w:r w:rsidRPr="00430C8B">
        <w:t xml:space="preserve"> млн. лв. </w:t>
      </w:r>
      <w:r w:rsidRPr="00430C8B">
        <w:rPr>
          <w:lang w:val="en-US"/>
        </w:rPr>
        <w:t xml:space="preserve">(в т. ч. </w:t>
      </w:r>
      <w:r w:rsidRPr="00EC33FC">
        <w:t>средства от резерва за непредвидени и неотложни разходи)</w:t>
      </w:r>
      <w:r w:rsidRPr="0013550C">
        <w:t>. В хода на изпълнението на държавния бюджет, на основание чл. 109, чл. 110 и чл. 112 от ЗПФ, на министерст</w:t>
      </w:r>
      <w:r w:rsidRPr="002E79B9">
        <w:t>вата и ведомствата</w:t>
      </w:r>
      <w:r>
        <w:t xml:space="preserve"> по група „Други дейности по икономиката” са осигурени допълнителни средства в размер на </w:t>
      </w:r>
      <w:r>
        <w:rPr>
          <w:lang w:val="en-US"/>
        </w:rPr>
        <w:t>6</w:t>
      </w:r>
      <w:r w:rsidR="00B22A8A">
        <w:t>,</w:t>
      </w:r>
      <w:r>
        <w:rPr>
          <w:lang w:val="en-US"/>
        </w:rPr>
        <w:t>4</w:t>
      </w:r>
      <w:r>
        <w:t xml:space="preserve"> млн. лева. </w:t>
      </w:r>
    </w:p>
    <w:p w:rsidR="006E5AE0" w:rsidRDefault="006E5AE0" w:rsidP="006E5AE0">
      <w:pPr>
        <w:ind w:firstLine="539"/>
        <w:jc w:val="both"/>
      </w:pPr>
      <w:r>
        <w:t xml:space="preserve">За отчетния период разходите за групата по държавния бюджет са в размер на </w:t>
      </w:r>
      <w:r w:rsidR="00FA0DDF">
        <w:t>50,3</w:t>
      </w:r>
      <w:r>
        <w:t xml:space="preserve"> млн. лв., от които по централния бюджет </w:t>
      </w:r>
      <w:r>
        <w:rPr>
          <w:lang w:val="en-US"/>
        </w:rPr>
        <w:t>21</w:t>
      </w:r>
      <w:r>
        <w:t>,</w:t>
      </w:r>
      <w:r>
        <w:rPr>
          <w:lang w:val="en-US"/>
        </w:rPr>
        <w:t>7</w:t>
      </w:r>
      <w:r>
        <w:t xml:space="preserve"> млн. лв.</w:t>
      </w:r>
      <w:r>
        <w:rPr>
          <w:lang w:val="ru-RU"/>
        </w:rPr>
        <w:t xml:space="preserve"> </w:t>
      </w:r>
      <w:r>
        <w:t>и по бюджетите на министерствата – 26,</w:t>
      </w:r>
      <w:r>
        <w:rPr>
          <w:lang w:val="en-US"/>
        </w:rPr>
        <w:t>5</w:t>
      </w:r>
      <w:r>
        <w:t xml:space="preserve"> млн. лева. </w:t>
      </w:r>
    </w:p>
    <w:p w:rsidR="006E5AE0" w:rsidRDefault="006E5AE0" w:rsidP="006E5AE0">
      <w:pPr>
        <w:ind w:firstLine="540"/>
        <w:jc w:val="both"/>
      </w:pPr>
      <w:r>
        <w:t>През 201</w:t>
      </w:r>
      <w:r>
        <w:rPr>
          <w:lang w:val="ru-RU"/>
        </w:rPr>
        <w:t>5</w:t>
      </w:r>
      <w:r>
        <w:t xml:space="preserve"> г. с изразходваните средства по бюджетите на министерства и ведомства в групата са финансирани следните дейности:</w:t>
      </w:r>
    </w:p>
    <w:p w:rsidR="006E5AE0" w:rsidRDefault="006E5AE0" w:rsidP="0051530C">
      <w:pPr>
        <w:numPr>
          <w:ilvl w:val="0"/>
          <w:numId w:val="47"/>
        </w:numPr>
        <w:tabs>
          <w:tab w:val="clear" w:pos="1260"/>
        </w:tabs>
        <w:ind w:left="540" w:hanging="540"/>
        <w:jc w:val="both"/>
      </w:pPr>
      <w:r>
        <w:t>издръжка на обекти, предназначени за представителни и социални нужди - почивни бази, оздравителни комплекси и др.;</w:t>
      </w:r>
    </w:p>
    <w:p w:rsidR="006E5AE0" w:rsidRDefault="006E5AE0" w:rsidP="0051530C">
      <w:pPr>
        <w:numPr>
          <w:ilvl w:val="0"/>
          <w:numId w:val="47"/>
        </w:numPr>
        <w:tabs>
          <w:tab w:val="clear" w:pos="1260"/>
        </w:tabs>
        <w:ind w:left="540" w:hanging="540"/>
        <w:jc w:val="both"/>
      </w:pPr>
      <w:r>
        <w:lastRenderedPageBreak/>
        <w:t>издръжка на списание „Бюджет” и други дейности (в т.ч. отпечатване на ценни книжа) към МФ, на вестник „Българска армия” към МО и др.;</w:t>
      </w:r>
    </w:p>
    <w:p w:rsidR="006E5AE0" w:rsidRDefault="006E5AE0" w:rsidP="0051530C">
      <w:pPr>
        <w:numPr>
          <w:ilvl w:val="0"/>
          <w:numId w:val="47"/>
        </w:numPr>
        <w:tabs>
          <w:tab w:val="clear" w:pos="1260"/>
        </w:tabs>
        <w:ind w:left="540" w:hanging="540"/>
        <w:jc w:val="both"/>
      </w:pPr>
      <w:r>
        <w:t>издръжка на редакция „Педагогически издания” към МОН;</w:t>
      </w:r>
    </w:p>
    <w:p w:rsidR="006E5AE0" w:rsidRDefault="006E5AE0" w:rsidP="0051530C">
      <w:pPr>
        <w:numPr>
          <w:ilvl w:val="0"/>
          <w:numId w:val="47"/>
        </w:numPr>
        <w:tabs>
          <w:tab w:val="clear" w:pos="1260"/>
        </w:tabs>
        <w:ind w:left="540" w:hanging="540"/>
        <w:jc w:val="both"/>
      </w:pPr>
      <w:r>
        <w:t>подобряване на бизнес климата чрез ефективен контрол на регулативните режими (осъществяване на дейности в областта на метрологията и техническия надзор, в областта на акредитирането на лаборатории и органи, в областта на обществените поръчки и др.);</w:t>
      </w:r>
    </w:p>
    <w:p w:rsidR="006E5AE0" w:rsidRDefault="006E5AE0" w:rsidP="0051530C">
      <w:pPr>
        <w:numPr>
          <w:ilvl w:val="0"/>
          <w:numId w:val="47"/>
        </w:numPr>
        <w:tabs>
          <w:tab w:val="clear" w:pos="1260"/>
        </w:tabs>
        <w:ind w:left="540" w:hanging="540"/>
        <w:jc w:val="both"/>
      </w:pPr>
      <w:r>
        <w:t>осигуряване закрила на индустриалната собственост;</w:t>
      </w:r>
    </w:p>
    <w:p w:rsidR="006E5AE0" w:rsidRDefault="006E5AE0" w:rsidP="0051530C">
      <w:pPr>
        <w:numPr>
          <w:ilvl w:val="0"/>
          <w:numId w:val="47"/>
        </w:numPr>
        <w:tabs>
          <w:tab w:val="clear" w:pos="1260"/>
        </w:tabs>
        <w:spacing w:after="120"/>
        <w:ind w:left="540" w:hanging="540"/>
        <w:jc w:val="both"/>
      </w:pPr>
      <w:r>
        <w:t>организиране и осъществяване процеса на приватизация в случаите, предвидени в Закона за приватизация и следприватизационен контрол, и на следприватизационния контрол по договорите за приватизация и др.</w:t>
      </w:r>
    </w:p>
    <w:p w:rsidR="006E5AE0" w:rsidRDefault="006E5AE0" w:rsidP="006E5AE0">
      <w:pPr>
        <w:spacing w:after="120"/>
        <w:ind w:firstLine="540"/>
        <w:jc w:val="both"/>
      </w:pPr>
      <w:r>
        <w:t xml:space="preserve">Отговорните институции (в т.ч. министерства и ведомства), които са ангажирани с изпълнението на държавната политика в областта на другите дейности по икономиката през 2015 г. са Народно събрание, МС, МФ, МО, МОН, МИ, БАН, бюджетни организации – второстепенни разпоредители с бюджет към министъра на икономиката </w:t>
      </w:r>
      <w:r>
        <w:rPr>
          <w:lang w:val="en-US"/>
        </w:rPr>
        <w:t>(</w:t>
      </w:r>
      <w:r>
        <w:t>Държавна агенция за метрологичен и технически надзор, Български институт по метрология, Агенция за приватизация и следприватизационен контрол, Патентно ведомство, Изпълнителна агенция “Българска служба за акредитация”, Агенция по обществени поръчки</w:t>
      </w:r>
      <w:r>
        <w:rPr>
          <w:lang w:val="en-US"/>
        </w:rPr>
        <w:t xml:space="preserve">) </w:t>
      </w:r>
      <w:r>
        <w:t>и други.</w:t>
      </w:r>
    </w:p>
    <w:p w:rsidR="006E5AE0" w:rsidRDefault="006E5AE0" w:rsidP="006E5AE0">
      <w:pPr>
        <w:ind w:firstLine="539"/>
        <w:jc w:val="both"/>
      </w:pPr>
      <w:r>
        <w:t xml:space="preserve">Разходите за група „Други дейности по икономиката”, отчетени </w:t>
      </w:r>
      <w:r>
        <w:rPr>
          <w:b/>
        </w:rPr>
        <w:t>по общинските бюджети,</w:t>
      </w:r>
      <w:r>
        <w:t xml:space="preserve"> са в размер на 7</w:t>
      </w:r>
      <w:r w:rsidR="00260339">
        <w:t>1</w:t>
      </w:r>
      <w:r>
        <w:t>,</w:t>
      </w:r>
      <w:r w:rsidR="005178CE">
        <w:t>1 </w:t>
      </w:r>
      <w:r>
        <w:t xml:space="preserve">млн. лв., което е </w:t>
      </w:r>
      <w:r w:rsidR="005178CE">
        <w:t>62,9</w:t>
      </w:r>
      <w:r>
        <w:t xml:space="preserve"> % от предвидените по закон. Отчетените текущи разходи са в размер на </w:t>
      </w:r>
      <w:r w:rsidR="005178CE">
        <w:t>59,5</w:t>
      </w:r>
      <w:r>
        <w:t xml:space="preserve"> млн. лв., което е с 48,</w:t>
      </w:r>
      <w:r w:rsidR="005178CE">
        <w:t xml:space="preserve">2 </w:t>
      </w:r>
      <w:r>
        <w:t xml:space="preserve">млн. лв. по-малко от разчетените със закона за 2015 г. Спрямо отчета за 2014 г. намалението при текущите разходи е с </w:t>
      </w:r>
      <w:r w:rsidR="005178CE">
        <w:t>23,5</w:t>
      </w:r>
      <w:r>
        <w:t xml:space="preserve"> млн. лв. и се дължи предимно на отчетени</w:t>
      </w:r>
      <w:r w:rsidR="00260339">
        <w:t>я</w:t>
      </w:r>
      <w:r>
        <w:t xml:space="preserve"> възстановен данъчен кредит на ДДС по европейски проекти. Размерът на отчетените капиталови разходи е </w:t>
      </w:r>
      <w:r w:rsidR="005178CE">
        <w:t>11</w:t>
      </w:r>
      <w:r>
        <w:t xml:space="preserve">,6 млн. лв. и е с </w:t>
      </w:r>
      <w:r w:rsidR="005178CE">
        <w:t>6</w:t>
      </w:r>
      <w:r>
        <w:t xml:space="preserve">,3 млн. лв. повече от планираните по закон и с </w:t>
      </w:r>
      <w:r w:rsidR="00C53761">
        <w:t>5</w:t>
      </w:r>
      <w:r>
        <w:t>,3 млн. лв. по-малко спрямо отчетените през 2014 г.</w:t>
      </w:r>
    </w:p>
    <w:p w:rsidR="006E5AE0" w:rsidRDefault="006E5AE0" w:rsidP="006E5AE0">
      <w:pPr>
        <w:spacing w:after="120"/>
        <w:ind w:firstLine="539"/>
        <w:jc w:val="both"/>
        <w:rPr>
          <w:highlight w:val="yellow"/>
        </w:rPr>
      </w:pPr>
      <w:r>
        <w:t>В тази група се отчитат разходите за поддържането на общинските пазари и тържища, помощни стопанства, приюти за безстопанствени животни и други разходи по решение на общинския съвет.</w:t>
      </w:r>
    </w:p>
    <w:p w:rsidR="006E5AE0" w:rsidRPr="004126A8" w:rsidRDefault="006E5AE0" w:rsidP="004126A8">
      <w:pPr>
        <w:spacing w:after="120"/>
        <w:ind w:firstLine="539"/>
        <w:jc w:val="both"/>
        <w:rPr>
          <w:lang w:val="en-US"/>
        </w:rPr>
      </w:pPr>
      <w:r>
        <w:rPr>
          <w:b/>
        </w:rPr>
        <w:t>Европейски средства</w:t>
      </w:r>
      <w:r>
        <w:t xml:space="preserve"> – изразходваните средства в групата са в размер на 412,</w:t>
      </w:r>
      <w:r w:rsidR="006E566E">
        <w:rPr>
          <w:lang w:val="en-US"/>
        </w:rPr>
        <w:t>5</w:t>
      </w:r>
      <w:r w:rsidR="006E566E">
        <w:t xml:space="preserve">      </w:t>
      </w:r>
      <w:r>
        <w:t xml:space="preserve">млн. лв. и са основно по </w:t>
      </w:r>
      <w:r>
        <w:rPr>
          <w:b/>
          <w:i/>
        </w:rPr>
        <w:t>оперативна програма „Конкурентоспособност</w:t>
      </w:r>
      <w:r>
        <w:rPr>
          <w:b/>
        </w:rPr>
        <w:t xml:space="preserve">” </w:t>
      </w:r>
      <w:r>
        <w:t xml:space="preserve">(363,3 млн. лв.). Главна цел на програмата е </w:t>
      </w:r>
      <w:r>
        <w:rPr>
          <w:bCs/>
        </w:rPr>
        <w:t xml:space="preserve">развитие на динамична икономика, конкурентоспособна на европейския и световен пазар. За реализирането на основната цел, програмата финансира дейности, свързани с насърчаване на иновациите и повишаване на ефективността на предприятията, подобряване на бизнес средата </w:t>
      </w:r>
      <w:r>
        <w:t>и др.</w:t>
      </w:r>
    </w:p>
    <w:p w:rsidR="006E5AE0" w:rsidRDefault="006E5AE0" w:rsidP="00781B85">
      <w:pPr>
        <w:pStyle w:val="Heading3"/>
        <w:numPr>
          <w:ilvl w:val="2"/>
          <w:numId w:val="15"/>
        </w:numPr>
        <w:rPr>
          <w:rFonts w:ascii="Times New Roman" w:hAnsi="Times New Roman"/>
          <w:sz w:val="24"/>
          <w:lang w:val="bg-BG"/>
        </w:rPr>
      </w:pPr>
      <w:bookmarkStart w:id="262" w:name="_Toc326315922"/>
      <w:bookmarkStart w:id="263" w:name="_Toc324863430"/>
      <w:bookmarkStart w:id="264" w:name="_Toc261276594"/>
      <w:bookmarkStart w:id="265" w:name="_Toc462146130"/>
      <w:r>
        <w:rPr>
          <w:rFonts w:ascii="Times New Roman" w:hAnsi="Times New Roman"/>
          <w:sz w:val="24"/>
          <w:lang w:val="bg-BG"/>
        </w:rPr>
        <w:t>Разходи некласифицирани в другите функции</w:t>
      </w:r>
      <w:bookmarkEnd w:id="262"/>
      <w:bookmarkEnd w:id="263"/>
      <w:bookmarkEnd w:id="264"/>
      <w:bookmarkEnd w:id="265"/>
    </w:p>
    <w:p w:rsidR="006E5AE0" w:rsidRDefault="006E5AE0" w:rsidP="006E5AE0">
      <w:pPr>
        <w:rPr>
          <w:sz w:val="2"/>
          <w:szCs w:val="2"/>
        </w:rPr>
      </w:pPr>
    </w:p>
    <w:p w:rsidR="006E5AE0" w:rsidRDefault="006E5AE0" w:rsidP="006E5AE0">
      <w:pPr>
        <w:ind w:firstLine="7740"/>
        <w:jc w:val="both"/>
        <w:rPr>
          <w:b/>
          <w:sz w:val="18"/>
          <w:szCs w:val="18"/>
        </w:rPr>
      </w:pPr>
      <w:r>
        <w:rPr>
          <w:b/>
          <w:sz w:val="18"/>
          <w:szCs w:val="18"/>
        </w:rPr>
        <w:t xml:space="preserve"> (млн. лв.)</w:t>
      </w:r>
    </w:p>
    <w:tbl>
      <w:tblPr>
        <w:tblW w:w="9132" w:type="dxa"/>
        <w:tblInd w:w="47" w:type="dxa"/>
        <w:tblLayout w:type="fixed"/>
        <w:tblCellMar>
          <w:left w:w="70" w:type="dxa"/>
          <w:right w:w="70" w:type="dxa"/>
        </w:tblCellMar>
        <w:tblLook w:val="04A0" w:firstRow="1" w:lastRow="0" w:firstColumn="1" w:lastColumn="0" w:noHBand="0" w:noVBand="1"/>
      </w:tblPr>
      <w:tblGrid>
        <w:gridCol w:w="2573"/>
        <w:gridCol w:w="849"/>
        <w:gridCol w:w="708"/>
        <w:gridCol w:w="851"/>
        <w:gridCol w:w="850"/>
        <w:gridCol w:w="851"/>
        <w:gridCol w:w="708"/>
        <w:gridCol w:w="851"/>
        <w:gridCol w:w="891"/>
      </w:tblGrid>
      <w:tr w:rsidR="006E5AE0" w:rsidTr="00C53761">
        <w:trPr>
          <w:trHeight w:val="1470"/>
        </w:trPr>
        <w:tc>
          <w:tcPr>
            <w:tcW w:w="2573" w:type="dxa"/>
            <w:tcBorders>
              <w:top w:val="double" w:sz="6" w:space="0" w:color="800000"/>
              <w:left w:val="double" w:sz="6" w:space="0" w:color="800000"/>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ОТЧЕТ 201</w:t>
            </w:r>
            <w:r w:rsidRPr="006E5AE0">
              <w:rPr>
                <w:b/>
                <w:bCs/>
                <w:color w:val="FFFFFF"/>
                <w:sz w:val="18"/>
                <w:szCs w:val="18"/>
                <w:lang w:val="en-US"/>
              </w:rPr>
              <w:t>5</w:t>
            </w:r>
            <w:r w:rsidRPr="006E5AE0">
              <w:rPr>
                <w:b/>
                <w:bCs/>
                <w:color w:val="FFFFFF"/>
                <w:sz w:val="18"/>
                <w:szCs w:val="18"/>
              </w:rPr>
              <w:t xml:space="preserve"> г.</w:t>
            </w:r>
          </w:p>
        </w:tc>
        <w:tc>
          <w:tcPr>
            <w:tcW w:w="849"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КФП</w:t>
            </w:r>
          </w:p>
        </w:tc>
        <w:tc>
          <w:tcPr>
            <w:tcW w:w="708"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ДБ</w:t>
            </w:r>
          </w:p>
        </w:tc>
        <w:tc>
          <w:tcPr>
            <w:tcW w:w="851" w:type="dxa"/>
            <w:tcBorders>
              <w:top w:val="double" w:sz="6" w:space="0" w:color="800000"/>
              <w:left w:val="nil"/>
              <w:bottom w:val="double" w:sz="6" w:space="0" w:color="800000"/>
              <w:right w:val="single" w:sz="4" w:space="0" w:color="FFFFFF"/>
            </w:tcBorders>
            <w:shd w:val="clear" w:color="auto" w:fill="800000"/>
            <w:vAlign w:val="center"/>
            <w:hideMark/>
          </w:tcPr>
          <w:p w:rsidR="006E5AE0" w:rsidRPr="006E5AE0" w:rsidRDefault="006E5AE0">
            <w:pPr>
              <w:jc w:val="center"/>
              <w:rPr>
                <w:b/>
                <w:bCs/>
                <w:color w:val="FFFFFF"/>
                <w:sz w:val="18"/>
                <w:szCs w:val="18"/>
              </w:rPr>
            </w:pPr>
            <w:r w:rsidRPr="006E5AE0">
              <w:rPr>
                <w:b/>
                <w:bCs/>
                <w:color w:val="FFFFFF"/>
                <w:sz w:val="18"/>
                <w:szCs w:val="18"/>
              </w:rPr>
              <w:t>Соц. осигуряване</w:t>
            </w:r>
          </w:p>
        </w:tc>
        <w:tc>
          <w:tcPr>
            <w:tcW w:w="850"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ДВУ</w:t>
            </w:r>
          </w:p>
        </w:tc>
        <w:tc>
          <w:tcPr>
            <w:tcW w:w="851"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БАН</w:t>
            </w:r>
          </w:p>
        </w:tc>
        <w:tc>
          <w:tcPr>
            <w:tcW w:w="708"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БНТ</w:t>
            </w:r>
          </w:p>
        </w:tc>
        <w:tc>
          <w:tcPr>
            <w:tcW w:w="851" w:type="dxa"/>
            <w:tcBorders>
              <w:top w:val="double" w:sz="6" w:space="0" w:color="800000"/>
              <w:left w:val="nil"/>
              <w:bottom w:val="double" w:sz="6" w:space="0" w:color="800000"/>
              <w:right w:val="single" w:sz="4" w:space="0" w:color="FFFFFF"/>
            </w:tcBorders>
            <w:shd w:val="clear" w:color="auto" w:fill="800000"/>
            <w:noWrap/>
            <w:vAlign w:val="center"/>
            <w:hideMark/>
          </w:tcPr>
          <w:p w:rsidR="006E5AE0" w:rsidRPr="006E5AE0" w:rsidRDefault="006E5AE0">
            <w:pPr>
              <w:jc w:val="center"/>
              <w:rPr>
                <w:b/>
                <w:bCs/>
                <w:color w:val="FFFFFF"/>
                <w:sz w:val="18"/>
                <w:szCs w:val="18"/>
              </w:rPr>
            </w:pPr>
            <w:r w:rsidRPr="006E5AE0">
              <w:rPr>
                <w:b/>
                <w:bCs/>
                <w:color w:val="FFFFFF"/>
                <w:sz w:val="18"/>
                <w:szCs w:val="18"/>
              </w:rPr>
              <w:t>Общини</w:t>
            </w:r>
          </w:p>
        </w:tc>
        <w:tc>
          <w:tcPr>
            <w:tcW w:w="891" w:type="dxa"/>
            <w:tcBorders>
              <w:top w:val="double" w:sz="6" w:space="0" w:color="800000"/>
              <w:left w:val="nil"/>
              <w:bottom w:val="double" w:sz="6" w:space="0" w:color="800000"/>
              <w:right w:val="double" w:sz="6" w:space="0" w:color="800000"/>
            </w:tcBorders>
            <w:shd w:val="clear" w:color="auto" w:fill="800000"/>
            <w:vAlign w:val="center"/>
            <w:hideMark/>
          </w:tcPr>
          <w:p w:rsidR="006E5AE0" w:rsidRPr="006E5AE0" w:rsidRDefault="006E5AE0">
            <w:pPr>
              <w:jc w:val="center"/>
              <w:rPr>
                <w:b/>
                <w:bCs/>
                <w:color w:val="FFFFFF"/>
                <w:sz w:val="18"/>
                <w:szCs w:val="18"/>
              </w:rPr>
            </w:pPr>
            <w:r w:rsidRPr="006E5AE0">
              <w:rPr>
                <w:b/>
                <w:bCs/>
                <w:color w:val="FFFFFF"/>
                <w:sz w:val="18"/>
                <w:szCs w:val="18"/>
              </w:rPr>
              <w:t>ЕВРОП. СР/ВА</w:t>
            </w:r>
          </w:p>
        </w:tc>
      </w:tr>
      <w:tr w:rsidR="00C53761" w:rsidTr="00C53761">
        <w:trPr>
          <w:trHeight w:val="270"/>
        </w:trPr>
        <w:tc>
          <w:tcPr>
            <w:tcW w:w="2573" w:type="dxa"/>
            <w:tcBorders>
              <w:top w:val="nil"/>
              <w:left w:val="double" w:sz="6" w:space="0" w:color="800000"/>
              <w:bottom w:val="nil"/>
              <w:right w:val="single" w:sz="4" w:space="0" w:color="800000"/>
            </w:tcBorders>
            <w:shd w:val="clear" w:color="auto" w:fill="FFFFCC"/>
            <w:noWrap/>
            <w:vAlign w:val="bottom"/>
            <w:hideMark/>
          </w:tcPr>
          <w:p w:rsidR="00C53761" w:rsidRPr="00C53761" w:rsidRDefault="00C53761">
            <w:pPr>
              <w:ind w:right="-70"/>
              <w:rPr>
                <w:b/>
                <w:bCs/>
                <w:sz w:val="18"/>
                <w:szCs w:val="18"/>
              </w:rPr>
            </w:pPr>
            <w:r w:rsidRPr="00C53761">
              <w:rPr>
                <w:b/>
                <w:bCs/>
                <w:sz w:val="18"/>
                <w:szCs w:val="18"/>
              </w:rPr>
              <w:t>IХ. РАЗХОДИ НЕКЛАСИФИЦИРАНИ В ДРУГИТЕ ФУНКЦИИ</w:t>
            </w:r>
          </w:p>
        </w:tc>
        <w:tc>
          <w:tcPr>
            <w:tcW w:w="849" w:type="dxa"/>
            <w:tcBorders>
              <w:top w:val="double" w:sz="6" w:space="0" w:color="800000"/>
              <w:left w:val="nil"/>
              <w:bottom w:val="nil"/>
              <w:right w:val="single" w:sz="4" w:space="0" w:color="800000"/>
            </w:tcBorders>
            <w:shd w:val="clear" w:color="auto" w:fill="FFFFCC"/>
            <w:noWrap/>
            <w:vAlign w:val="bottom"/>
            <w:hideMark/>
          </w:tcPr>
          <w:p w:rsidR="00C53761" w:rsidRPr="00C53761" w:rsidRDefault="00C53761">
            <w:pPr>
              <w:jc w:val="right"/>
              <w:rPr>
                <w:b/>
                <w:bCs/>
                <w:sz w:val="18"/>
                <w:szCs w:val="18"/>
              </w:rPr>
            </w:pPr>
            <w:r w:rsidRPr="00C53761">
              <w:rPr>
                <w:b/>
                <w:bCs/>
                <w:color w:val="000000"/>
                <w:sz w:val="18"/>
                <w:szCs w:val="18"/>
              </w:rPr>
              <w:t>698,4</w:t>
            </w:r>
          </w:p>
        </w:tc>
        <w:tc>
          <w:tcPr>
            <w:tcW w:w="708"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b/>
                <w:bCs/>
                <w:sz w:val="18"/>
                <w:szCs w:val="18"/>
              </w:rPr>
            </w:pPr>
            <w:r w:rsidRPr="00C53761">
              <w:rPr>
                <w:b/>
                <w:bCs/>
                <w:color w:val="000000"/>
                <w:sz w:val="18"/>
                <w:szCs w:val="18"/>
              </w:rPr>
              <w:t>654,9</w:t>
            </w:r>
          </w:p>
        </w:tc>
        <w:tc>
          <w:tcPr>
            <w:tcW w:w="851"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b/>
                <w:bCs/>
                <w:sz w:val="18"/>
                <w:szCs w:val="18"/>
              </w:rPr>
            </w:pPr>
            <w:r w:rsidRPr="00C53761">
              <w:rPr>
                <w:b/>
                <w:bCs/>
                <w:color w:val="000000"/>
                <w:sz w:val="18"/>
                <w:szCs w:val="18"/>
              </w:rPr>
              <w:t>0,0</w:t>
            </w:r>
          </w:p>
        </w:tc>
        <w:tc>
          <w:tcPr>
            <w:tcW w:w="850"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b/>
                <w:bCs/>
                <w:sz w:val="18"/>
                <w:szCs w:val="18"/>
              </w:rPr>
            </w:pPr>
            <w:r w:rsidRPr="00C53761">
              <w:rPr>
                <w:b/>
                <w:bCs/>
                <w:color w:val="000000"/>
                <w:sz w:val="18"/>
                <w:szCs w:val="18"/>
              </w:rPr>
              <w:t>0,3</w:t>
            </w:r>
          </w:p>
        </w:tc>
        <w:tc>
          <w:tcPr>
            <w:tcW w:w="851"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b/>
                <w:bCs/>
                <w:sz w:val="18"/>
                <w:szCs w:val="18"/>
              </w:rPr>
            </w:pPr>
            <w:r w:rsidRPr="00C53761">
              <w:rPr>
                <w:b/>
                <w:bCs/>
                <w:color w:val="000000"/>
                <w:sz w:val="18"/>
                <w:szCs w:val="18"/>
              </w:rPr>
              <w:t>0,0</w:t>
            </w:r>
          </w:p>
        </w:tc>
        <w:tc>
          <w:tcPr>
            <w:tcW w:w="708"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b/>
                <w:bCs/>
                <w:sz w:val="18"/>
                <w:szCs w:val="18"/>
              </w:rPr>
            </w:pPr>
            <w:r w:rsidRPr="00C53761">
              <w:rPr>
                <w:b/>
                <w:bCs/>
                <w:color w:val="000000"/>
                <w:sz w:val="18"/>
                <w:szCs w:val="18"/>
              </w:rPr>
              <w:t>0,1</w:t>
            </w:r>
          </w:p>
        </w:tc>
        <w:tc>
          <w:tcPr>
            <w:tcW w:w="851"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b/>
                <w:bCs/>
                <w:sz w:val="18"/>
                <w:szCs w:val="18"/>
              </w:rPr>
            </w:pPr>
            <w:r w:rsidRPr="00C53761">
              <w:rPr>
                <w:b/>
                <w:bCs/>
                <w:color w:val="000000"/>
                <w:sz w:val="18"/>
                <w:szCs w:val="18"/>
              </w:rPr>
              <w:t>43,1</w:t>
            </w:r>
          </w:p>
        </w:tc>
        <w:tc>
          <w:tcPr>
            <w:tcW w:w="891" w:type="dxa"/>
            <w:tcBorders>
              <w:top w:val="nil"/>
              <w:left w:val="nil"/>
              <w:bottom w:val="nil"/>
              <w:right w:val="double" w:sz="6" w:space="0" w:color="800000"/>
            </w:tcBorders>
            <w:shd w:val="clear" w:color="auto" w:fill="FFFFCC"/>
            <w:noWrap/>
            <w:vAlign w:val="bottom"/>
            <w:hideMark/>
          </w:tcPr>
          <w:p w:rsidR="00C53761" w:rsidRPr="00C53761" w:rsidRDefault="00C53761">
            <w:pPr>
              <w:jc w:val="right"/>
              <w:rPr>
                <w:b/>
                <w:bCs/>
                <w:sz w:val="18"/>
                <w:szCs w:val="18"/>
              </w:rPr>
            </w:pPr>
            <w:r w:rsidRPr="00C53761">
              <w:rPr>
                <w:b/>
                <w:bCs/>
                <w:color w:val="000000"/>
                <w:sz w:val="18"/>
                <w:szCs w:val="18"/>
              </w:rPr>
              <w:t>0,0</w:t>
            </w:r>
          </w:p>
        </w:tc>
      </w:tr>
      <w:tr w:rsidR="00C53761" w:rsidTr="00C53761">
        <w:trPr>
          <w:trHeight w:val="255"/>
        </w:trPr>
        <w:tc>
          <w:tcPr>
            <w:tcW w:w="2573" w:type="dxa"/>
            <w:tcBorders>
              <w:top w:val="nil"/>
              <w:left w:val="double" w:sz="6" w:space="0" w:color="800000"/>
              <w:bottom w:val="nil"/>
              <w:right w:val="single" w:sz="4" w:space="0" w:color="800000"/>
            </w:tcBorders>
            <w:shd w:val="clear" w:color="auto" w:fill="FFFFCC"/>
            <w:noWrap/>
            <w:vAlign w:val="bottom"/>
            <w:hideMark/>
          </w:tcPr>
          <w:p w:rsidR="00C53761" w:rsidRPr="00C53761" w:rsidRDefault="00C53761">
            <w:pPr>
              <w:rPr>
                <w:sz w:val="18"/>
                <w:szCs w:val="18"/>
              </w:rPr>
            </w:pPr>
            <w:r w:rsidRPr="00C53761">
              <w:rPr>
                <w:sz w:val="18"/>
                <w:szCs w:val="18"/>
              </w:rPr>
              <w:t>Лихвени разходи</w:t>
            </w:r>
          </w:p>
        </w:tc>
        <w:tc>
          <w:tcPr>
            <w:tcW w:w="849" w:type="dxa"/>
            <w:tcBorders>
              <w:top w:val="nil"/>
              <w:left w:val="single" w:sz="4" w:space="0" w:color="800000"/>
              <w:bottom w:val="nil"/>
              <w:right w:val="single" w:sz="4"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698,3</w:t>
            </w:r>
          </w:p>
        </w:tc>
        <w:tc>
          <w:tcPr>
            <w:tcW w:w="708"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654,9</w:t>
            </w:r>
          </w:p>
        </w:tc>
        <w:tc>
          <w:tcPr>
            <w:tcW w:w="851"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0,0</w:t>
            </w:r>
          </w:p>
        </w:tc>
        <w:tc>
          <w:tcPr>
            <w:tcW w:w="850"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0,3</w:t>
            </w:r>
          </w:p>
        </w:tc>
        <w:tc>
          <w:tcPr>
            <w:tcW w:w="851"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0,0</w:t>
            </w:r>
          </w:p>
        </w:tc>
        <w:tc>
          <w:tcPr>
            <w:tcW w:w="708"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0,1</w:t>
            </w:r>
          </w:p>
        </w:tc>
        <w:tc>
          <w:tcPr>
            <w:tcW w:w="851" w:type="dxa"/>
            <w:tcBorders>
              <w:top w:val="nil"/>
              <w:left w:val="nil"/>
              <w:bottom w:val="nil"/>
              <w:right w:val="single" w:sz="4"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43,0</w:t>
            </w:r>
          </w:p>
        </w:tc>
        <w:tc>
          <w:tcPr>
            <w:tcW w:w="891" w:type="dxa"/>
            <w:tcBorders>
              <w:top w:val="nil"/>
              <w:left w:val="nil"/>
              <w:bottom w:val="nil"/>
              <w:right w:val="double" w:sz="6"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0,0</w:t>
            </w:r>
          </w:p>
        </w:tc>
      </w:tr>
      <w:tr w:rsidR="00C53761" w:rsidTr="00C53761">
        <w:trPr>
          <w:trHeight w:val="270"/>
        </w:trPr>
        <w:tc>
          <w:tcPr>
            <w:tcW w:w="2573" w:type="dxa"/>
            <w:tcBorders>
              <w:top w:val="nil"/>
              <w:left w:val="double" w:sz="6" w:space="0" w:color="800000"/>
              <w:bottom w:val="double" w:sz="6" w:space="0" w:color="800000"/>
              <w:right w:val="single" w:sz="4" w:space="0" w:color="800000"/>
            </w:tcBorders>
            <w:shd w:val="clear" w:color="auto" w:fill="FFFFCC"/>
            <w:noWrap/>
            <w:vAlign w:val="bottom"/>
            <w:hideMark/>
          </w:tcPr>
          <w:p w:rsidR="00C53761" w:rsidRPr="00C53761" w:rsidRDefault="00C53761">
            <w:pPr>
              <w:rPr>
                <w:sz w:val="18"/>
                <w:szCs w:val="18"/>
              </w:rPr>
            </w:pPr>
            <w:r w:rsidRPr="00C53761">
              <w:rPr>
                <w:sz w:val="18"/>
                <w:szCs w:val="18"/>
              </w:rPr>
              <w:t>Платени данъци, такси и административни санкции</w:t>
            </w:r>
          </w:p>
        </w:tc>
        <w:tc>
          <w:tcPr>
            <w:tcW w:w="849" w:type="dxa"/>
            <w:tcBorders>
              <w:top w:val="nil"/>
              <w:left w:val="single" w:sz="4" w:space="0" w:color="800000"/>
              <w:bottom w:val="double" w:sz="6" w:space="0" w:color="800000"/>
              <w:right w:val="single" w:sz="4"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0,1</w:t>
            </w:r>
          </w:p>
        </w:tc>
        <w:tc>
          <w:tcPr>
            <w:tcW w:w="708" w:type="dxa"/>
            <w:tcBorders>
              <w:top w:val="nil"/>
              <w:left w:val="nil"/>
              <w:bottom w:val="double" w:sz="6" w:space="0" w:color="800000"/>
              <w:right w:val="single" w:sz="4" w:space="0" w:color="800000"/>
            </w:tcBorders>
            <w:shd w:val="clear" w:color="auto" w:fill="FFFFCC"/>
            <w:noWrap/>
            <w:vAlign w:val="bottom"/>
            <w:hideMark/>
          </w:tcPr>
          <w:p w:rsidR="00C53761" w:rsidRPr="00C53761" w:rsidRDefault="00C53761">
            <w:pPr>
              <w:rPr>
                <w:sz w:val="18"/>
                <w:szCs w:val="18"/>
              </w:rPr>
            </w:pPr>
            <w:r w:rsidRPr="00C53761">
              <w:rPr>
                <w:color w:val="000000"/>
                <w:sz w:val="18"/>
                <w:szCs w:val="18"/>
              </w:rPr>
              <w:t> </w:t>
            </w:r>
          </w:p>
        </w:tc>
        <w:tc>
          <w:tcPr>
            <w:tcW w:w="851" w:type="dxa"/>
            <w:tcBorders>
              <w:top w:val="nil"/>
              <w:left w:val="nil"/>
              <w:bottom w:val="double" w:sz="6" w:space="0" w:color="800000"/>
              <w:right w:val="single" w:sz="4" w:space="0" w:color="800000"/>
            </w:tcBorders>
            <w:shd w:val="clear" w:color="auto" w:fill="FFFFCC"/>
            <w:noWrap/>
            <w:vAlign w:val="bottom"/>
            <w:hideMark/>
          </w:tcPr>
          <w:p w:rsidR="00C53761" w:rsidRPr="00C53761" w:rsidRDefault="00C53761">
            <w:pPr>
              <w:rPr>
                <w:sz w:val="18"/>
                <w:szCs w:val="18"/>
              </w:rPr>
            </w:pPr>
            <w:r w:rsidRPr="00C53761">
              <w:rPr>
                <w:color w:val="000000"/>
                <w:sz w:val="18"/>
                <w:szCs w:val="18"/>
              </w:rPr>
              <w:t> </w:t>
            </w:r>
          </w:p>
        </w:tc>
        <w:tc>
          <w:tcPr>
            <w:tcW w:w="850" w:type="dxa"/>
            <w:tcBorders>
              <w:top w:val="nil"/>
              <w:left w:val="nil"/>
              <w:bottom w:val="double" w:sz="6" w:space="0" w:color="800000"/>
              <w:right w:val="single" w:sz="4" w:space="0" w:color="800000"/>
            </w:tcBorders>
            <w:shd w:val="clear" w:color="auto" w:fill="FFFFCC"/>
            <w:noWrap/>
            <w:vAlign w:val="bottom"/>
            <w:hideMark/>
          </w:tcPr>
          <w:p w:rsidR="00C53761" w:rsidRPr="00C53761" w:rsidRDefault="00C53761">
            <w:pPr>
              <w:rPr>
                <w:sz w:val="18"/>
                <w:szCs w:val="18"/>
              </w:rPr>
            </w:pPr>
            <w:r w:rsidRPr="00C53761">
              <w:rPr>
                <w:color w:val="000000"/>
                <w:sz w:val="18"/>
                <w:szCs w:val="18"/>
              </w:rPr>
              <w:t> </w:t>
            </w:r>
          </w:p>
        </w:tc>
        <w:tc>
          <w:tcPr>
            <w:tcW w:w="851" w:type="dxa"/>
            <w:tcBorders>
              <w:top w:val="nil"/>
              <w:left w:val="nil"/>
              <w:bottom w:val="double" w:sz="6" w:space="0" w:color="800000"/>
              <w:right w:val="single" w:sz="4" w:space="0" w:color="800000"/>
            </w:tcBorders>
            <w:shd w:val="clear" w:color="auto" w:fill="FFFFCC"/>
            <w:noWrap/>
            <w:vAlign w:val="bottom"/>
            <w:hideMark/>
          </w:tcPr>
          <w:p w:rsidR="00C53761" w:rsidRPr="00C53761" w:rsidRDefault="00C53761">
            <w:pPr>
              <w:rPr>
                <w:sz w:val="18"/>
                <w:szCs w:val="18"/>
              </w:rPr>
            </w:pPr>
            <w:r w:rsidRPr="00C53761">
              <w:rPr>
                <w:color w:val="000000"/>
                <w:sz w:val="18"/>
                <w:szCs w:val="18"/>
              </w:rPr>
              <w:t> </w:t>
            </w:r>
          </w:p>
        </w:tc>
        <w:tc>
          <w:tcPr>
            <w:tcW w:w="708" w:type="dxa"/>
            <w:tcBorders>
              <w:top w:val="nil"/>
              <w:left w:val="nil"/>
              <w:bottom w:val="double" w:sz="6" w:space="0" w:color="800000"/>
              <w:right w:val="single" w:sz="4" w:space="0" w:color="800000"/>
            </w:tcBorders>
            <w:shd w:val="clear" w:color="auto" w:fill="FFFFCC"/>
            <w:noWrap/>
            <w:vAlign w:val="bottom"/>
            <w:hideMark/>
          </w:tcPr>
          <w:p w:rsidR="00C53761" w:rsidRPr="00C53761" w:rsidRDefault="00C53761">
            <w:pPr>
              <w:rPr>
                <w:sz w:val="18"/>
                <w:szCs w:val="18"/>
              </w:rPr>
            </w:pPr>
            <w:r w:rsidRPr="00C53761">
              <w:rPr>
                <w:color w:val="000000"/>
                <w:sz w:val="18"/>
                <w:szCs w:val="18"/>
              </w:rPr>
              <w:t> </w:t>
            </w:r>
          </w:p>
        </w:tc>
        <w:tc>
          <w:tcPr>
            <w:tcW w:w="851" w:type="dxa"/>
            <w:tcBorders>
              <w:top w:val="nil"/>
              <w:left w:val="nil"/>
              <w:bottom w:val="double" w:sz="6" w:space="0" w:color="800000"/>
              <w:right w:val="single" w:sz="4" w:space="0" w:color="800000"/>
            </w:tcBorders>
            <w:shd w:val="clear" w:color="auto" w:fill="FFFFCC"/>
            <w:noWrap/>
            <w:vAlign w:val="bottom"/>
            <w:hideMark/>
          </w:tcPr>
          <w:p w:rsidR="00C53761" w:rsidRPr="00C53761" w:rsidRDefault="00C53761">
            <w:pPr>
              <w:jc w:val="right"/>
              <w:rPr>
                <w:sz w:val="18"/>
                <w:szCs w:val="18"/>
              </w:rPr>
            </w:pPr>
            <w:r w:rsidRPr="00C53761">
              <w:rPr>
                <w:color w:val="000000"/>
                <w:sz w:val="18"/>
                <w:szCs w:val="18"/>
              </w:rPr>
              <w:t>0,1</w:t>
            </w:r>
          </w:p>
        </w:tc>
        <w:tc>
          <w:tcPr>
            <w:tcW w:w="891" w:type="dxa"/>
            <w:tcBorders>
              <w:top w:val="nil"/>
              <w:left w:val="nil"/>
              <w:bottom w:val="double" w:sz="6" w:space="0" w:color="800000"/>
              <w:right w:val="double" w:sz="6" w:space="0" w:color="800000"/>
            </w:tcBorders>
            <w:shd w:val="clear" w:color="auto" w:fill="FFFFCC"/>
            <w:noWrap/>
            <w:vAlign w:val="bottom"/>
            <w:hideMark/>
          </w:tcPr>
          <w:p w:rsidR="00C53761" w:rsidRPr="00C53761" w:rsidRDefault="00C53761">
            <w:pPr>
              <w:rPr>
                <w:sz w:val="18"/>
                <w:szCs w:val="18"/>
              </w:rPr>
            </w:pPr>
            <w:r w:rsidRPr="00C53761">
              <w:rPr>
                <w:color w:val="000000"/>
                <w:sz w:val="18"/>
                <w:szCs w:val="18"/>
              </w:rPr>
              <w:t> </w:t>
            </w:r>
          </w:p>
        </w:tc>
      </w:tr>
    </w:tbl>
    <w:p w:rsidR="006E5AE0" w:rsidRDefault="006E5AE0" w:rsidP="006E5AE0">
      <w:pPr>
        <w:ind w:hanging="284"/>
        <w:jc w:val="both"/>
        <w:rPr>
          <w:b/>
          <w:color w:val="0070C0"/>
          <w:sz w:val="18"/>
          <w:szCs w:val="18"/>
        </w:rPr>
      </w:pPr>
    </w:p>
    <w:p w:rsidR="006E5AE0" w:rsidRDefault="006E5AE0" w:rsidP="006E5AE0">
      <w:pPr>
        <w:ind w:firstLine="540"/>
        <w:jc w:val="both"/>
      </w:pPr>
      <w:r>
        <w:t>В тази функция се отчитат лихвените плащания по вътрешния и външния дълг. Предвидените разходи за лихви през 201</w:t>
      </w:r>
      <w:r>
        <w:rPr>
          <w:lang w:val="en-US"/>
        </w:rPr>
        <w:t>5</w:t>
      </w:r>
      <w:r>
        <w:t xml:space="preserve"> г. на консолидирано ниво са в размер на 871,8 млн. лв. Отчетените </w:t>
      </w:r>
      <w:r w:rsidR="00BF589D">
        <w:t xml:space="preserve">лихвени плащания за </w:t>
      </w:r>
      <w:r>
        <w:t>годината са в ра</w:t>
      </w:r>
      <w:r w:rsidR="00E377C8">
        <w:t>змер на 698,3 млн. лв. или 80,1 </w:t>
      </w:r>
      <w:r>
        <w:t>% от предвидените в разчетите към ЗДБРБ за 2015 г.</w:t>
      </w:r>
    </w:p>
    <w:p w:rsidR="00666D9F" w:rsidRPr="001F6421" w:rsidRDefault="00666D9F" w:rsidP="00F85C67">
      <w:pPr>
        <w:ind w:firstLine="540"/>
        <w:jc w:val="both"/>
        <w:rPr>
          <w:rFonts w:ascii="TimesNewRomanPSMT" w:hAnsi="TimesNewRomanPSMT" w:cs="TimesNewRomanPSMT"/>
          <w:color w:val="0070C0"/>
          <w:sz w:val="6"/>
          <w:szCs w:val="6"/>
        </w:rPr>
      </w:pPr>
      <w:r w:rsidRPr="001F6421">
        <w:rPr>
          <w:rFonts w:ascii="TimesNewRomanPSMT" w:hAnsi="TimesNewRomanPSMT" w:cs="TimesNewRomanPSMT"/>
          <w:color w:val="0070C0"/>
        </w:rPr>
        <w:br w:type="page"/>
      </w:r>
    </w:p>
    <w:p w:rsidR="00666D9F" w:rsidRPr="00781B85" w:rsidRDefault="00666D9F" w:rsidP="00781B85">
      <w:pPr>
        <w:pStyle w:val="Heading3"/>
        <w:numPr>
          <w:ilvl w:val="1"/>
          <w:numId w:val="10"/>
        </w:numPr>
        <w:ind w:left="900" w:hanging="540"/>
        <w:rPr>
          <w:rFonts w:ascii="Times New Roman" w:hAnsi="Times New Roman"/>
          <w:sz w:val="24"/>
          <w:lang w:val="bg-BG"/>
        </w:rPr>
      </w:pPr>
      <w:bookmarkStart w:id="266" w:name="_Toc462146131"/>
      <w:r w:rsidRPr="00781B85">
        <w:rPr>
          <w:rFonts w:ascii="Times New Roman" w:hAnsi="Times New Roman"/>
          <w:sz w:val="24"/>
          <w:lang w:val="bg-BG"/>
        </w:rPr>
        <w:lastRenderedPageBreak/>
        <w:t>Изпълнение на показателите в частта на финансирането по консолидираната фискална програма за 201</w:t>
      </w:r>
      <w:r w:rsidR="00781B85">
        <w:rPr>
          <w:rFonts w:ascii="Times New Roman" w:hAnsi="Times New Roman"/>
          <w:sz w:val="24"/>
          <w:lang w:val="bg-BG"/>
        </w:rPr>
        <w:t>5</w:t>
      </w:r>
      <w:r w:rsidRPr="00781B85">
        <w:rPr>
          <w:rFonts w:ascii="Times New Roman" w:hAnsi="Times New Roman"/>
          <w:sz w:val="24"/>
          <w:lang w:val="bg-BG"/>
        </w:rPr>
        <w:t xml:space="preserve"> г.</w:t>
      </w:r>
      <w:bookmarkEnd w:id="225"/>
      <w:bookmarkEnd w:id="226"/>
      <w:bookmarkEnd w:id="227"/>
      <w:bookmarkEnd w:id="228"/>
      <w:bookmarkEnd w:id="229"/>
      <w:bookmarkEnd w:id="266"/>
    </w:p>
    <w:p w:rsidR="00666D9F" w:rsidRPr="001F6421" w:rsidRDefault="00666D9F" w:rsidP="00BC2635">
      <w:pPr>
        <w:pStyle w:val="Header"/>
        <w:tabs>
          <w:tab w:val="clear" w:pos="4153"/>
          <w:tab w:val="clear" w:pos="8306"/>
          <w:tab w:val="left" w:pos="720"/>
          <w:tab w:val="left" w:pos="969"/>
        </w:tabs>
        <w:ind w:right="57" w:firstLine="540"/>
        <w:jc w:val="both"/>
        <w:rPr>
          <w:color w:val="0070C0"/>
          <w:sz w:val="4"/>
          <w:szCs w:val="4"/>
        </w:rPr>
      </w:pPr>
    </w:p>
    <w:p w:rsidR="00666D9F" w:rsidRPr="00781B85" w:rsidRDefault="00666D9F" w:rsidP="00781B85">
      <w:pPr>
        <w:pStyle w:val="Heading3"/>
        <w:numPr>
          <w:ilvl w:val="2"/>
          <w:numId w:val="10"/>
        </w:numPr>
        <w:rPr>
          <w:rFonts w:ascii="Times New Roman" w:hAnsi="Times New Roman"/>
          <w:sz w:val="24"/>
          <w:lang w:val="bg-BG"/>
        </w:rPr>
      </w:pPr>
      <w:bookmarkStart w:id="267" w:name="_Toc261276596"/>
      <w:bookmarkStart w:id="268" w:name="_Toc324863432"/>
      <w:bookmarkStart w:id="269" w:name="_Toc462146132"/>
      <w:r w:rsidRPr="00781B85">
        <w:rPr>
          <w:rFonts w:ascii="Times New Roman" w:hAnsi="Times New Roman"/>
          <w:sz w:val="24"/>
          <w:lang w:val="bg-BG"/>
        </w:rPr>
        <w:t>Външно финансиране</w:t>
      </w:r>
      <w:bookmarkEnd w:id="267"/>
      <w:bookmarkEnd w:id="268"/>
      <w:bookmarkEnd w:id="269"/>
    </w:p>
    <w:p w:rsidR="00666D9F" w:rsidRPr="001F6421" w:rsidRDefault="00666D9F" w:rsidP="00BC2635">
      <w:pPr>
        <w:rPr>
          <w:color w:val="0070C0"/>
          <w:sz w:val="12"/>
          <w:szCs w:val="12"/>
        </w:rPr>
      </w:pPr>
    </w:p>
    <w:p w:rsidR="00781B85" w:rsidRDefault="00781B85" w:rsidP="00781B85">
      <w:pPr>
        <w:spacing w:after="120"/>
        <w:ind w:firstLine="851"/>
        <w:jc w:val="both"/>
        <w:rPr>
          <w:color w:val="0070C0"/>
          <w:lang w:eastAsia="en-US"/>
        </w:rPr>
      </w:pPr>
      <w:bookmarkStart w:id="270" w:name="_Toc230007079"/>
      <w:bookmarkStart w:id="271" w:name="_Toc324863433"/>
      <w:bookmarkStart w:id="272" w:name="_Toc357527110"/>
      <w:bookmarkStart w:id="273" w:name="_Toc393728084"/>
      <w:bookmarkStart w:id="274" w:name="_Toc202754021"/>
      <w:bookmarkStart w:id="275" w:name="_Toc230007082"/>
      <w:bookmarkStart w:id="276" w:name="_Toc324863436"/>
      <w:bookmarkStart w:id="277" w:name="_Toc326315928"/>
      <w:bookmarkStart w:id="278" w:name="_Toc357527113"/>
      <w:r>
        <w:rPr>
          <w:lang w:eastAsia="en-US"/>
        </w:rPr>
        <w:t>Нетният размер на външното финансиране по КФП за 201</w:t>
      </w:r>
      <w:r>
        <w:rPr>
          <w:lang w:val="en-US" w:eastAsia="en-US"/>
        </w:rPr>
        <w:t>5</w:t>
      </w:r>
      <w:r>
        <w:rPr>
          <w:lang w:eastAsia="en-US"/>
        </w:rPr>
        <w:t xml:space="preserve"> г. е положителен и възлиза на </w:t>
      </w:r>
      <w:r>
        <w:rPr>
          <w:lang w:val="en-US" w:eastAsia="en-US"/>
        </w:rPr>
        <w:t>1</w:t>
      </w:r>
      <w:r>
        <w:rPr>
          <w:lang w:eastAsia="en-US"/>
        </w:rPr>
        <w:t> </w:t>
      </w:r>
      <w:r>
        <w:rPr>
          <w:lang w:val="en-US" w:eastAsia="en-US"/>
        </w:rPr>
        <w:t>486</w:t>
      </w:r>
      <w:r>
        <w:rPr>
          <w:lang w:eastAsia="en-US"/>
        </w:rPr>
        <w:t>,</w:t>
      </w:r>
      <w:r>
        <w:rPr>
          <w:lang w:val="en-US" w:eastAsia="en-US"/>
        </w:rPr>
        <w:t>3</w:t>
      </w:r>
      <w:r>
        <w:rPr>
          <w:lang w:eastAsia="en-US"/>
        </w:rPr>
        <w:t xml:space="preserve"> млн. лв. при предвидено в разчета по ЗДБРБ за 201</w:t>
      </w:r>
      <w:r>
        <w:rPr>
          <w:lang w:val="en-US" w:eastAsia="en-US"/>
        </w:rPr>
        <w:t>5</w:t>
      </w:r>
      <w:r>
        <w:rPr>
          <w:lang w:eastAsia="en-US"/>
        </w:rPr>
        <w:t xml:space="preserve"> г. положително нетно външно финансиране в размер на 2 </w:t>
      </w:r>
      <w:r>
        <w:rPr>
          <w:lang w:val="en-US" w:eastAsia="en-US"/>
        </w:rPr>
        <w:t>823</w:t>
      </w:r>
      <w:r>
        <w:rPr>
          <w:lang w:eastAsia="en-US"/>
        </w:rPr>
        <w:t>,</w:t>
      </w:r>
      <w:r>
        <w:rPr>
          <w:lang w:val="en-US" w:eastAsia="en-US"/>
        </w:rPr>
        <w:t>2</w:t>
      </w:r>
      <w:r>
        <w:rPr>
          <w:lang w:eastAsia="en-US"/>
        </w:rPr>
        <w:t xml:space="preserve"> млн. лева. Постигнатото ниво на финансиране се дължи основно на: пласирането на три </w:t>
      </w:r>
      <w:r w:rsidR="00FB255D">
        <w:rPr>
          <w:lang w:eastAsia="en-US"/>
        </w:rPr>
        <w:t xml:space="preserve">вида с различен матуритет </w:t>
      </w:r>
      <w:r>
        <w:rPr>
          <w:lang w:eastAsia="en-US"/>
        </w:rPr>
        <w:t>еврооблигации в рамките на средносрочната програма за емитиране на дълг на международните пазари; усвоявания и погасявания по външни държавни и държавни инвестиционни заеми; изплащане на глобалните облигации, деноминирани в щатски долари, с падеж 15.01.2015 г. и изцяло предсрочно погасен мостови заем.</w:t>
      </w:r>
    </w:p>
    <w:p w:rsidR="00781B85" w:rsidRPr="00781B85" w:rsidRDefault="00781B85" w:rsidP="00781B85">
      <w:pPr>
        <w:keepNext/>
        <w:spacing w:before="240" w:after="60"/>
        <w:ind w:firstLine="851"/>
        <w:jc w:val="both"/>
        <w:outlineLvl w:val="3"/>
        <w:rPr>
          <w:b/>
          <w:bCs/>
          <w:i/>
        </w:rPr>
      </w:pPr>
      <w:r w:rsidRPr="00781B85">
        <w:rPr>
          <w:b/>
          <w:bCs/>
          <w:i/>
        </w:rPr>
        <w:t xml:space="preserve">   Операции с  ДЦК, емитирани на международните капиталови пазари</w:t>
      </w:r>
    </w:p>
    <w:p w:rsidR="00781B85" w:rsidRDefault="00781B85" w:rsidP="00781B85">
      <w:pPr>
        <w:keepNext/>
        <w:ind w:firstLine="900"/>
        <w:jc w:val="both"/>
        <w:outlineLvl w:val="3"/>
        <w:rPr>
          <w:bCs/>
          <w:i/>
        </w:rPr>
      </w:pPr>
      <w:r>
        <w:t>Към края на отчетния период по показателя операции с ДЦК, емитирани на международните капиталови пазари (нето) са отчетени 4 301,0 млн. лв.</w:t>
      </w:r>
      <w:r>
        <w:rPr>
          <w:bCs/>
          <w:i/>
        </w:rPr>
        <w:t xml:space="preserve">  </w:t>
      </w:r>
      <w:r>
        <w:rPr>
          <w:bCs/>
        </w:rPr>
        <w:t xml:space="preserve">През 2015 г. </w:t>
      </w:r>
      <w:r>
        <w:t xml:space="preserve">Република България успешно емитира облигации в общ размер на 3 150,0 млн. евро обща </w:t>
      </w:r>
      <w:r>
        <w:rPr>
          <w:bCs/>
        </w:rPr>
        <w:t xml:space="preserve">номинална стойност, </w:t>
      </w:r>
      <w:r>
        <w:t>в т.ч.: 7-годишни в обем 1 250,0 млн. евро номинална стойност, 12-годишни – 1 000,0 млн. евро, двадесетгодишни облигации – 900,0 млн. евро.</w:t>
      </w:r>
      <w:r>
        <w:rPr>
          <w:b/>
        </w:rPr>
        <w:t xml:space="preserve"> </w:t>
      </w:r>
      <w:r>
        <w:t xml:space="preserve">Отчетени постъпления по централен бюджет са в размер на 6 066,8 млн. лв.  На 15.01.2015 г. бяха направени погашения в размер на 1 765,8 млн. лв. по глобалните облигации, деноминирани в щатски долари, емитирани на международните капиталови пазари през 2002 г. </w:t>
      </w:r>
    </w:p>
    <w:p w:rsidR="00781B85" w:rsidRDefault="00781B85" w:rsidP="00781B85">
      <w:pPr>
        <w:keepNext/>
        <w:spacing w:before="240" w:after="60"/>
        <w:ind w:firstLine="851"/>
        <w:jc w:val="both"/>
        <w:outlineLvl w:val="3"/>
        <w:rPr>
          <w:b/>
          <w:bCs/>
          <w:i/>
        </w:rPr>
      </w:pPr>
      <w:r>
        <w:rPr>
          <w:b/>
          <w:bCs/>
          <w:i/>
        </w:rPr>
        <w:t>Усвоявания по външни заеми и държавни инвестиционни заеми (ДИЗ)</w:t>
      </w:r>
    </w:p>
    <w:p w:rsidR="00781B85" w:rsidRDefault="00781B85" w:rsidP="00781B85">
      <w:pPr>
        <w:spacing w:after="120"/>
        <w:ind w:firstLine="851"/>
        <w:jc w:val="both"/>
        <w:rPr>
          <w:lang w:eastAsia="en-US"/>
        </w:rPr>
      </w:pPr>
      <w:r>
        <w:rPr>
          <w:lang w:eastAsia="en-US"/>
        </w:rPr>
        <w:t xml:space="preserve">Размерът на усвояванията по външни заеми и ДИЗ </w:t>
      </w:r>
      <w:r w:rsidR="004B1804">
        <w:rPr>
          <w:lang w:eastAsia="en-US"/>
        </w:rPr>
        <w:t>по КФП</w:t>
      </w:r>
      <w:r>
        <w:rPr>
          <w:lang w:eastAsia="en-US"/>
        </w:rPr>
        <w:t xml:space="preserve"> за 2015 г. е 413,2 млн. лв., като постъпилите средства са както следва:</w:t>
      </w:r>
    </w:p>
    <w:p w:rsidR="00781B85" w:rsidRPr="00B92120" w:rsidRDefault="00781B85" w:rsidP="00781B85">
      <w:pPr>
        <w:numPr>
          <w:ilvl w:val="0"/>
          <w:numId w:val="71"/>
        </w:numPr>
        <w:tabs>
          <w:tab w:val="num" w:pos="540"/>
          <w:tab w:val="num" w:pos="993"/>
        </w:tabs>
        <w:spacing w:after="120"/>
        <w:ind w:left="0" w:firstLine="851"/>
        <w:jc w:val="both"/>
      </w:pPr>
      <w:r w:rsidRPr="00B92120">
        <w:t xml:space="preserve">по </w:t>
      </w:r>
      <w:r w:rsidRPr="00B92120">
        <w:rPr>
          <w:u w:val="single"/>
        </w:rPr>
        <w:t>централния бюджет</w:t>
      </w:r>
      <w:r w:rsidRPr="006758BC">
        <w:t xml:space="preserve"> - размерът на усвоените външни държавни заеми е 293,4 млн. лв., като това са средства по </w:t>
      </w:r>
      <w:r w:rsidRPr="00B92120">
        <w:t xml:space="preserve">Финансов договор между Република България и ЕИБ за финансиране на проект „България – съфинансиране по Фондовете на ЕС 2014-2020 (СПЗ)“; </w:t>
      </w:r>
    </w:p>
    <w:p w:rsidR="00781B85" w:rsidRDefault="00781B85" w:rsidP="00781B85">
      <w:pPr>
        <w:spacing w:after="120"/>
        <w:ind w:firstLine="851"/>
        <w:jc w:val="both"/>
      </w:pPr>
      <w:r>
        <w:t xml:space="preserve">- по </w:t>
      </w:r>
      <w:r>
        <w:rPr>
          <w:u w:val="single"/>
        </w:rPr>
        <w:t>бюджетите на министерствата и ведомствата</w:t>
      </w:r>
      <w:r>
        <w:t xml:space="preserve"> - новото </w:t>
      </w:r>
      <w:r>
        <w:rPr>
          <w:u w:val="single"/>
        </w:rPr>
        <w:t>външно финансиране по ДИЗ</w:t>
      </w:r>
      <w:r>
        <w:t xml:space="preserve"> е в размер на 7</w:t>
      </w:r>
      <w:r w:rsidR="004F3348">
        <w:rPr>
          <w:lang w:val="en-US"/>
        </w:rPr>
        <w:t>7</w:t>
      </w:r>
      <w:r w:rsidR="004F3348">
        <w:t>,</w:t>
      </w:r>
      <w:r w:rsidR="004F3348">
        <w:rPr>
          <w:lang w:val="en-US"/>
        </w:rPr>
        <w:t>3</w:t>
      </w:r>
      <w:r>
        <w:t xml:space="preserve"> млн. л</w:t>
      </w:r>
      <w:r w:rsidR="004F3348">
        <w:t>е</w:t>
      </w:r>
      <w:r>
        <w:t>в</w:t>
      </w:r>
      <w:r w:rsidR="004F3348">
        <w:t>а</w:t>
      </w:r>
      <w:r>
        <w:t>. Усвояванията са по вече стартирали проекти и програми и включват:</w:t>
      </w:r>
    </w:p>
    <w:p w:rsidR="00781B85" w:rsidRDefault="00781B85" w:rsidP="00781B85">
      <w:pPr>
        <w:pStyle w:val="ListParagraph"/>
        <w:numPr>
          <w:ilvl w:val="0"/>
          <w:numId w:val="72"/>
        </w:numPr>
        <w:ind w:left="0" w:firstLine="851"/>
        <w:jc w:val="both"/>
      </w:pPr>
      <w:r>
        <w:t>заем</w:t>
      </w:r>
      <w:r>
        <w:rPr>
          <w:b/>
        </w:rPr>
        <w:t xml:space="preserve"> </w:t>
      </w:r>
      <w:r>
        <w:t xml:space="preserve">от ЕИБ, с кредитополучател Агенция „Пътна инфраструктура” по проект „Транзитни пътища V”- </w:t>
      </w:r>
      <w:r>
        <w:rPr>
          <w:lang w:val="en-US"/>
        </w:rPr>
        <w:t>7</w:t>
      </w:r>
      <w:r>
        <w:t>0,</w:t>
      </w:r>
      <w:r>
        <w:rPr>
          <w:lang w:val="en-US"/>
        </w:rPr>
        <w:t xml:space="preserve">4 </w:t>
      </w:r>
      <w:r>
        <w:t>млн. лв.</w:t>
      </w:r>
      <w:r w:rsidR="00FB255D">
        <w:t>, което е изпълнение от 9</w:t>
      </w:r>
      <w:r w:rsidR="00FB255D">
        <w:rPr>
          <w:lang w:val="en-US"/>
        </w:rPr>
        <w:t>0</w:t>
      </w:r>
      <w:r w:rsidR="00FB255D">
        <w:t>,</w:t>
      </w:r>
      <w:r w:rsidR="00FB255D">
        <w:rPr>
          <w:lang w:val="en-US"/>
        </w:rPr>
        <w:t>0</w:t>
      </w:r>
      <w:r w:rsidR="00FB255D">
        <w:t xml:space="preserve"> %</w:t>
      </w:r>
      <w:r w:rsidR="00FB255D" w:rsidRPr="00FB255D">
        <w:t xml:space="preserve"> </w:t>
      </w:r>
      <w:r w:rsidR="00FB255D">
        <w:t>спрямо разчетеното за 2015 г.)</w:t>
      </w:r>
      <w:r>
        <w:t>;</w:t>
      </w:r>
    </w:p>
    <w:p w:rsidR="00781B85" w:rsidRDefault="00781B85" w:rsidP="00781B85">
      <w:pPr>
        <w:pStyle w:val="ListParagraph"/>
        <w:numPr>
          <w:ilvl w:val="0"/>
          <w:numId w:val="72"/>
        </w:numPr>
        <w:ind w:left="0" w:firstLine="851"/>
        <w:jc w:val="both"/>
      </w:pPr>
      <w:r>
        <w:t>заем от МБВР, с кредитополучател Министерство на регионалното развитие и благоустройството (МРРБ) по проект „Развитие на общинската инфраструктура” – 6,8 млн. лв.;</w:t>
      </w:r>
    </w:p>
    <w:p w:rsidR="00781B85" w:rsidRDefault="00781B85" w:rsidP="00781B85">
      <w:pPr>
        <w:pStyle w:val="ListParagraph"/>
        <w:numPr>
          <w:ilvl w:val="0"/>
          <w:numId w:val="72"/>
        </w:numPr>
        <w:ind w:left="0" w:firstLine="851"/>
        <w:jc w:val="both"/>
      </w:pPr>
      <w:r>
        <w:t>заем от Кредитанщалт фюр видерауфбау (KFW) с кредитополучател</w:t>
      </w:r>
      <w:r>
        <w:rPr>
          <w:lang w:val="en-US"/>
        </w:rPr>
        <w:t>:</w:t>
      </w:r>
      <w:r>
        <w:t xml:space="preserve"> МРРБ по проект „Техническа инфраструктура 2010-2013 – KFW” – 0,1 млн. лв.</w:t>
      </w:r>
    </w:p>
    <w:p w:rsidR="00781B85" w:rsidRDefault="00781B85" w:rsidP="00781B85">
      <w:pPr>
        <w:ind w:firstLine="851"/>
        <w:jc w:val="both"/>
        <w:rPr>
          <w:highlight w:val="yellow"/>
        </w:rPr>
      </w:pPr>
      <w:r>
        <w:t>Изпълнението на заложеното външно финансиране по ДИЗ спрямо разчетеното за 2015 г. при МРРБ</w:t>
      </w:r>
      <w:r w:rsidR="00FB255D">
        <w:t xml:space="preserve"> (вкл. Агенция „Пътна инфраструктура”)</w:t>
      </w:r>
      <w:r>
        <w:t xml:space="preserve"> е 86,9</w:t>
      </w:r>
      <w:r w:rsidR="004F3348">
        <w:t xml:space="preserve"> </w:t>
      </w:r>
      <w:r>
        <w:t>%.</w:t>
      </w:r>
    </w:p>
    <w:p w:rsidR="00781B85" w:rsidRDefault="00781B85" w:rsidP="00781B85">
      <w:pPr>
        <w:tabs>
          <w:tab w:val="left" w:pos="1560"/>
        </w:tabs>
        <w:ind w:firstLine="851"/>
        <w:jc w:val="both"/>
      </w:pPr>
      <w:r>
        <w:t>Най-голям брой инвестиционни проекти (</w:t>
      </w:r>
      <w:r>
        <w:rPr>
          <w:lang w:val="en-US"/>
        </w:rPr>
        <w:t>7</w:t>
      </w:r>
      <w:r>
        <w:t xml:space="preserve">) управлява МРРБ, като е отчетено усвояване само по два от тях. Агенция „Пътна инфраструктура” (към МРРБ) администрира 6 проекта, като по един от тях са усвоени средства, а по останалите 5 е приключило усвояването и само се обслужват. </w:t>
      </w:r>
    </w:p>
    <w:p w:rsidR="00FB255D" w:rsidRDefault="00FB255D" w:rsidP="00EC33FC">
      <w:pPr>
        <w:tabs>
          <w:tab w:val="left" w:pos="1560"/>
        </w:tabs>
        <w:spacing w:after="120"/>
        <w:ind w:firstLine="851"/>
        <w:jc w:val="both"/>
      </w:pPr>
      <w:r w:rsidRPr="009E643D">
        <w:lastRenderedPageBreak/>
        <w:t>Извършено е възстановяване на усвоена сума в размер на 1,</w:t>
      </w:r>
      <w:r>
        <w:t>9</w:t>
      </w:r>
      <w:r w:rsidRPr="009E643D">
        <w:t xml:space="preserve"> млн. лв. по заем „</w:t>
      </w:r>
      <w:r>
        <w:t>България – регионално и общинско водоснабдяване</w:t>
      </w:r>
      <w:r w:rsidRPr="009E643D">
        <w:t xml:space="preserve">“ </w:t>
      </w:r>
      <w:r>
        <w:rPr>
          <w:lang w:val="en-US"/>
        </w:rPr>
        <w:t>(</w:t>
      </w:r>
      <w:r>
        <w:t>Подобряване на водния цикъл - ЕИБ</w:t>
      </w:r>
      <w:r>
        <w:rPr>
          <w:lang w:val="en-US"/>
        </w:rPr>
        <w:t>)</w:t>
      </w:r>
      <w:r w:rsidRPr="009E643D">
        <w:t xml:space="preserve"> на Министерство на </w:t>
      </w:r>
      <w:r>
        <w:t>околната среда и водите</w:t>
      </w:r>
      <w:r w:rsidRPr="009E643D">
        <w:t>.</w:t>
      </w:r>
    </w:p>
    <w:p w:rsidR="00781B85" w:rsidRDefault="00781B85" w:rsidP="00781B85">
      <w:pPr>
        <w:numPr>
          <w:ilvl w:val="0"/>
          <w:numId w:val="71"/>
        </w:numPr>
        <w:tabs>
          <w:tab w:val="num" w:pos="540"/>
          <w:tab w:val="num" w:pos="993"/>
        </w:tabs>
        <w:spacing w:after="120"/>
        <w:ind w:left="0" w:firstLine="851"/>
        <w:jc w:val="both"/>
      </w:pPr>
      <w:r>
        <w:t xml:space="preserve">по </w:t>
      </w:r>
      <w:r>
        <w:rPr>
          <w:u w:val="single"/>
        </w:rPr>
        <w:t>ДИЗ с краен бенефициент търговско дружество</w:t>
      </w:r>
      <w:r>
        <w:t xml:space="preserve"> през 2015 г. няма усвоени средства. </w:t>
      </w:r>
    </w:p>
    <w:p w:rsidR="00781B85" w:rsidRDefault="00781B85" w:rsidP="00781B85">
      <w:pPr>
        <w:spacing w:after="120"/>
        <w:ind w:firstLine="851"/>
        <w:jc w:val="both"/>
        <w:rPr>
          <w:color w:val="0070C0"/>
          <w:lang w:eastAsia="en-US"/>
        </w:rPr>
      </w:pPr>
      <w:r>
        <w:rPr>
          <w:lang w:eastAsia="en-US"/>
        </w:rPr>
        <w:t xml:space="preserve">- по </w:t>
      </w:r>
      <w:r>
        <w:rPr>
          <w:u w:val="single"/>
          <w:lang w:eastAsia="en-US"/>
        </w:rPr>
        <w:t>бюджетите на общините</w:t>
      </w:r>
      <w:r>
        <w:rPr>
          <w:lang w:eastAsia="en-US"/>
        </w:rPr>
        <w:t xml:space="preserve"> – усвоените външни заеми са в размер на 44,4 млн. лева.</w:t>
      </w:r>
      <w:r>
        <w:rPr>
          <w:sz w:val="20"/>
          <w:szCs w:val="20"/>
          <w:lang w:eastAsia="en-US"/>
        </w:rPr>
        <w:t xml:space="preserve"> </w:t>
      </w:r>
      <w:r>
        <w:rPr>
          <w:lang w:eastAsia="en-US"/>
        </w:rPr>
        <w:t xml:space="preserve">Средствата са за изпълнение на големи инвестиционни проекти: община </w:t>
      </w:r>
      <w:r>
        <w:t xml:space="preserve">София (проект „Рехабилитация на общинските улици“; проект „Изпълнение на дейности за подобряване на качеството на атмосферния въздух чрез закупуване и доставка на автобуси“ и проект „Изграждане на интегрирана система от съоръжения за третиране на битовите отпадъци на Столична община“); община Варна (проект „Интегриран градски транспорт“) и община Бургас (проект „Интегриран градски транспорт“). </w:t>
      </w:r>
    </w:p>
    <w:p w:rsidR="00781B85" w:rsidRDefault="00781B85" w:rsidP="00781B85">
      <w:pPr>
        <w:keepNext/>
        <w:spacing w:before="240" w:after="60"/>
        <w:ind w:firstLine="900"/>
        <w:outlineLvl w:val="3"/>
        <w:rPr>
          <w:b/>
          <w:bCs/>
          <w:i/>
        </w:rPr>
      </w:pPr>
      <w:r>
        <w:rPr>
          <w:b/>
          <w:bCs/>
          <w:i/>
        </w:rPr>
        <w:t xml:space="preserve">Погашения по външни заеми </w:t>
      </w:r>
    </w:p>
    <w:p w:rsidR="00781B85" w:rsidRDefault="00781B85" w:rsidP="00781B85">
      <w:pPr>
        <w:ind w:firstLine="851"/>
        <w:jc w:val="both"/>
        <w:rPr>
          <w:color w:val="0070C0"/>
          <w:lang w:eastAsia="en-US"/>
        </w:rPr>
      </w:pPr>
      <w:r>
        <w:rPr>
          <w:lang w:eastAsia="en-US"/>
        </w:rPr>
        <w:t>Размерът на извършените през годината погашения по външни заеми на консолидирана основа е 3 235,8 млн. лв. Извършените погашения са както следва:</w:t>
      </w:r>
    </w:p>
    <w:p w:rsidR="00781B85" w:rsidRDefault="00781B85" w:rsidP="00781B85">
      <w:pPr>
        <w:ind w:firstLine="540"/>
        <w:jc w:val="both"/>
        <w:rPr>
          <w:color w:val="0070C0"/>
        </w:rPr>
      </w:pPr>
      <w:r>
        <w:t xml:space="preserve"> - по </w:t>
      </w:r>
      <w:r>
        <w:rPr>
          <w:u w:val="single"/>
        </w:rPr>
        <w:t>централния бюджет</w:t>
      </w:r>
      <w:r>
        <w:t xml:space="preserve"> - общият размер на изплатените погашения по външните държавни заеми от централния бюджет през 2015 г. е 3 050,5 млн. лв. в съответствие с договорените погасителни планове. От тях 2 933,7 млн. лв. (1 500 млн. евро) представляват предсрочно погасен мостови заем към ЕЙЧ ЕС БИ СИ БАНК ПИ ЕЛ СИ, СОСИЕТЕ ЖЕНЕРАЛ, СИТИБАНК, ЕН ЕЙ, (клон Лондон) и УНИКРЕДИТ БУЛБАНК АД, 85,3 млн. лв. са изразходвани за погашения по дълга към МБВР, следват плащанията по заеми с кредитори от Парижки клуб с 24,6 млн. лв., към Японската банка за международно сътрудничество – 6,5 млн. лв. </w:t>
      </w:r>
      <w:r w:rsidR="0032038D">
        <w:t>П</w:t>
      </w:r>
      <w:r>
        <w:t xml:space="preserve">оради влошеното финансово състояние на „Холдинг БДЖ” ЕАД и невъзможността на дружеството да обслужва надлежно задълженията си по държавно гарантираните заеми към МБВР, </w:t>
      </w:r>
      <w:r w:rsidR="0032038D">
        <w:t xml:space="preserve">през 2015 г. </w:t>
      </w:r>
      <w:r>
        <w:t>са изплатени дължими главници в размер на 0,4 млн.лв. от предвидените в ЦБ средства за покриване риска от активиране на държавни гаранции. До приключване на  бюджетната година, платените от МФ погасителни вноски към МБВР, не са възстановени от „Холдинг БДЖ” ЕАД.</w:t>
      </w:r>
    </w:p>
    <w:p w:rsidR="00781B85" w:rsidRDefault="00781B85" w:rsidP="00781B85">
      <w:pPr>
        <w:ind w:firstLine="709"/>
        <w:jc w:val="both"/>
      </w:pPr>
      <w:r>
        <w:t xml:space="preserve">- по ДИЗ, управлявани от </w:t>
      </w:r>
      <w:r>
        <w:rPr>
          <w:u w:val="single"/>
        </w:rPr>
        <w:t>министерствата и ведомствата</w:t>
      </w:r>
      <w:r>
        <w:t xml:space="preserve">, са изплатени погашения в размер на </w:t>
      </w:r>
      <w:r>
        <w:rPr>
          <w:lang w:val="en-US"/>
        </w:rPr>
        <w:t>13</w:t>
      </w:r>
      <w:r>
        <w:t>7,</w:t>
      </w:r>
      <w:r w:rsidR="00021774">
        <w:t xml:space="preserve">3 </w:t>
      </w:r>
      <w:r>
        <w:t>млн. лв., съгласно договорените амортизационни схеми;</w:t>
      </w:r>
    </w:p>
    <w:p w:rsidR="00781B85" w:rsidRDefault="00781B85" w:rsidP="00781B85">
      <w:pPr>
        <w:ind w:firstLine="709"/>
        <w:jc w:val="both"/>
      </w:pPr>
      <w:r>
        <w:t xml:space="preserve">- по ДИЗ с </w:t>
      </w:r>
      <w:r>
        <w:rPr>
          <w:u w:val="single"/>
        </w:rPr>
        <w:t>краен бенефициент търговско дружество</w:t>
      </w:r>
      <w:r>
        <w:t xml:space="preserve"> са отчетени погашения в размер на 28,</w:t>
      </w:r>
      <w:r w:rsidR="00021774">
        <w:t xml:space="preserve">8 </w:t>
      </w:r>
      <w:r>
        <w:t xml:space="preserve">млн. лв. предвид погасителните планове към договорните споразумения; </w:t>
      </w:r>
    </w:p>
    <w:p w:rsidR="00781B85" w:rsidRDefault="00781B85" w:rsidP="00781B85">
      <w:pPr>
        <w:ind w:firstLine="709"/>
        <w:jc w:val="both"/>
        <w:rPr>
          <w:color w:val="0070C0"/>
          <w:lang w:eastAsia="en-US"/>
        </w:rPr>
      </w:pPr>
      <w:r>
        <w:rPr>
          <w:color w:val="0070C0"/>
          <w:lang w:eastAsia="en-US"/>
        </w:rPr>
        <w:t xml:space="preserve"> </w:t>
      </w:r>
      <w:r>
        <w:rPr>
          <w:lang w:eastAsia="en-US"/>
        </w:rPr>
        <w:t xml:space="preserve">- по бюджета на </w:t>
      </w:r>
      <w:r>
        <w:rPr>
          <w:u w:val="single"/>
          <w:lang w:eastAsia="en-US"/>
        </w:rPr>
        <w:t>ДОО</w:t>
      </w:r>
      <w:r>
        <w:rPr>
          <w:lang w:eastAsia="en-US"/>
        </w:rPr>
        <w:t xml:space="preserve"> са отчетени погашения в размер на 3,95 млн. лв. или 100,3 % от предвиденото в ЗБДОО за 2015 г.;</w:t>
      </w:r>
    </w:p>
    <w:p w:rsidR="00781B85" w:rsidRDefault="00781B85" w:rsidP="00781B85">
      <w:pPr>
        <w:ind w:firstLine="709"/>
        <w:jc w:val="both"/>
        <w:rPr>
          <w:color w:val="0070C0"/>
          <w:lang w:eastAsia="en-US"/>
        </w:rPr>
      </w:pPr>
      <w:r>
        <w:rPr>
          <w:lang w:eastAsia="en-US"/>
        </w:rPr>
        <w:t xml:space="preserve">- по бюджетите на </w:t>
      </w:r>
      <w:r>
        <w:rPr>
          <w:u w:val="single"/>
          <w:lang w:eastAsia="en-US"/>
        </w:rPr>
        <w:t>общините</w:t>
      </w:r>
      <w:r>
        <w:rPr>
          <w:lang w:eastAsia="en-US"/>
        </w:rPr>
        <w:t xml:space="preserve"> са изплатени погашения по външни заеми в размер на </w:t>
      </w:r>
      <w:r>
        <w:rPr>
          <w:lang w:val="ru-RU" w:eastAsia="en-US"/>
        </w:rPr>
        <w:t>15,2</w:t>
      </w:r>
      <w:r>
        <w:rPr>
          <w:lang w:eastAsia="en-US"/>
        </w:rPr>
        <w:t> млн. лв., като те са извършени от четири общини по сключени от тях през предходни години договори за заеми – Столична община – 11,1 млн. лв., Сливен – 2,3 млн. лв., Бургас – 1,5 млн.</w:t>
      </w:r>
      <w:r w:rsidR="00434BBA">
        <w:rPr>
          <w:lang w:eastAsia="en-US"/>
        </w:rPr>
        <w:t xml:space="preserve"> </w:t>
      </w:r>
      <w:r>
        <w:rPr>
          <w:lang w:eastAsia="en-US"/>
        </w:rPr>
        <w:t xml:space="preserve">лв. и Ловеч – 0,3 млн. лв. Погашенията на Столична община са по заеми за метрото, за инженерна инфраструктура и за изграждане на жилища на ромски семейства в община София. </w:t>
      </w:r>
    </w:p>
    <w:p w:rsidR="00781B85" w:rsidRDefault="00781B85" w:rsidP="00781B85">
      <w:pPr>
        <w:keepNext/>
        <w:spacing w:before="240" w:after="60"/>
        <w:ind w:firstLine="540"/>
        <w:outlineLvl w:val="3"/>
        <w:rPr>
          <w:b/>
          <w:bCs/>
          <w:i/>
        </w:rPr>
      </w:pPr>
      <w:r>
        <w:rPr>
          <w:b/>
          <w:bCs/>
          <w:i/>
        </w:rPr>
        <w:t xml:space="preserve">     Вземания от чужбина (+) </w:t>
      </w:r>
    </w:p>
    <w:p w:rsidR="00781B85" w:rsidRDefault="00781B85" w:rsidP="00781B85">
      <w:pPr>
        <w:jc w:val="both"/>
      </w:pPr>
      <w:r>
        <w:t xml:space="preserve">         През 2015 г. по двустранни междуправителствени споразумения в държавния бюджет в частта на финансирането са постъпили 1,1  млн. лв., както следва: </w:t>
      </w:r>
    </w:p>
    <w:p w:rsidR="00781B85" w:rsidRDefault="00781B85" w:rsidP="00781B85">
      <w:pPr>
        <w:numPr>
          <w:ilvl w:val="0"/>
          <w:numId w:val="73"/>
        </w:numPr>
        <w:tabs>
          <w:tab w:val="left" w:pos="0"/>
        </w:tabs>
        <w:ind w:left="0" w:firstLine="567"/>
        <w:contextualSpacing/>
        <w:jc w:val="both"/>
        <w:rPr>
          <w:lang w:eastAsia="en-US"/>
        </w:rPr>
      </w:pPr>
      <w:r>
        <w:rPr>
          <w:lang w:eastAsia="en-US"/>
        </w:rPr>
        <w:t>На 30.03 и 30.09.2015 г. постъпиха второто и третото плащания в размер на 0,097 млн. лв. и 0,094 млн. лв. за погасяване на задължение на Кооперативна република Гаяна към Република България в изпълнение на междуправителствено споразумение от 12.10.2013 г. Средствата са отчетени като погашения по предоставени кредити на други държави в раздел „Финансиране на държавния бюджет“;</w:t>
      </w:r>
    </w:p>
    <w:p w:rsidR="00781B85" w:rsidRDefault="00781B85" w:rsidP="00781B85">
      <w:pPr>
        <w:numPr>
          <w:ilvl w:val="0"/>
          <w:numId w:val="73"/>
        </w:numPr>
        <w:tabs>
          <w:tab w:val="left" w:pos="0"/>
        </w:tabs>
        <w:ind w:left="0" w:firstLine="567"/>
        <w:contextualSpacing/>
        <w:jc w:val="both"/>
        <w:rPr>
          <w:lang w:eastAsia="en-US"/>
        </w:rPr>
      </w:pPr>
      <w:r>
        <w:rPr>
          <w:lang w:eastAsia="en-US"/>
        </w:rPr>
        <w:lastRenderedPageBreak/>
        <w:t>В изпълнение на сключеното на 14.09.2014 г. Споразумение между правителството на Република България и правителството на Ислямска република Афганистан, на 06.04 и 09.11.2015 г. бяха изплатени втората и третата вноска в размер общо на 0,905 млн. лв. от плана за погасяване на афганистанските задължения. Средствата са отчетени като погашения по предоставени кредити на други държави в раздел „Финансиране на държавния бюджет“.</w:t>
      </w:r>
    </w:p>
    <w:p w:rsidR="00781B85" w:rsidRDefault="00781B85" w:rsidP="00781B85">
      <w:pPr>
        <w:keepNext/>
        <w:spacing w:before="240" w:after="60"/>
        <w:ind w:firstLine="540"/>
        <w:outlineLvl w:val="3"/>
        <w:rPr>
          <w:b/>
          <w:bCs/>
          <w:i/>
        </w:rPr>
      </w:pPr>
      <w:r>
        <w:rPr>
          <w:b/>
          <w:bCs/>
          <w:i/>
        </w:rPr>
        <w:t>Наличности (нето) в левова равностойност по валутни сметки в чужбина</w:t>
      </w:r>
    </w:p>
    <w:p w:rsidR="00781B85" w:rsidRDefault="00781B85" w:rsidP="00781B85">
      <w:pPr>
        <w:spacing w:after="120"/>
        <w:ind w:firstLine="540"/>
        <w:jc w:val="both"/>
      </w:pPr>
      <w:r>
        <w:t xml:space="preserve">Нетното изменение на наличностите в левова равностойност по валутни сметки в чужбина е намаление на наличностите с 6,8 млн. лева. </w:t>
      </w:r>
    </w:p>
    <w:p w:rsidR="00D47F54" w:rsidRPr="00781B85" w:rsidRDefault="00D47F54" w:rsidP="00781B85">
      <w:pPr>
        <w:pStyle w:val="Heading3"/>
        <w:numPr>
          <w:ilvl w:val="2"/>
          <w:numId w:val="10"/>
        </w:numPr>
        <w:rPr>
          <w:rFonts w:ascii="Times New Roman" w:hAnsi="Times New Roman"/>
          <w:sz w:val="24"/>
          <w:lang w:val="bg-BG"/>
        </w:rPr>
      </w:pPr>
      <w:bookmarkStart w:id="279" w:name="_Toc462146133"/>
      <w:r w:rsidRPr="00781B85">
        <w:rPr>
          <w:rFonts w:ascii="Times New Roman" w:hAnsi="Times New Roman"/>
          <w:sz w:val="24"/>
          <w:lang w:val="bg-BG"/>
        </w:rPr>
        <w:t>Вътрешно финансиране</w:t>
      </w:r>
      <w:bookmarkEnd w:id="270"/>
      <w:bookmarkEnd w:id="271"/>
      <w:bookmarkEnd w:id="272"/>
      <w:bookmarkEnd w:id="273"/>
      <w:bookmarkEnd w:id="279"/>
    </w:p>
    <w:p w:rsidR="00D47F54" w:rsidRPr="001F6421" w:rsidRDefault="00D47F54" w:rsidP="00D47F54">
      <w:pPr>
        <w:ind w:firstLine="540"/>
        <w:jc w:val="both"/>
        <w:rPr>
          <w:color w:val="0070C0"/>
          <w:sz w:val="8"/>
          <w:szCs w:val="8"/>
        </w:rPr>
      </w:pPr>
    </w:p>
    <w:p w:rsidR="00781B85" w:rsidRDefault="00781B85" w:rsidP="00781B85">
      <w:pPr>
        <w:ind w:firstLine="540"/>
        <w:jc w:val="both"/>
      </w:pPr>
      <w:bookmarkStart w:id="280" w:name="_Toc324863434"/>
      <w:bookmarkStart w:id="281" w:name="_Toc326315926"/>
      <w:bookmarkStart w:id="282" w:name="_Toc357527111"/>
      <w:bookmarkStart w:id="283" w:name="_Toc261276598"/>
      <w:bookmarkStart w:id="284" w:name="_Toc393728085"/>
      <w:r w:rsidRPr="00EC33FC">
        <w:rPr>
          <w:bCs/>
          <w:iCs/>
        </w:rPr>
        <w:t>Нетният размер на вътрешното финансиране за годината е положителен и възлиза</w:t>
      </w:r>
      <w:r w:rsidRPr="00434BBA">
        <w:t xml:space="preserve"> на</w:t>
      </w:r>
      <w:r>
        <w:t xml:space="preserve"> 99</w:t>
      </w:r>
      <w:r w:rsidR="00E555D1">
        <w:t>5</w:t>
      </w:r>
      <w:r>
        <w:t>,2 млн. лв. и включва заеми от банки и други лица в страната (нето), операции с държавни (общински) ценни книжа (нето), покупко-продажба на ДОбЦК, нетно изменение на депозитите, друго финансиране (в т.ч. нетния размер на финансовите операции по прилагане на Обща селскостопанска политика (ОСП) и Обща рибарска политика (ОРП)), възмездно финансиране (нето) и придобиване на дялове, акции и съучастия (нето).</w:t>
      </w:r>
    </w:p>
    <w:p w:rsidR="00781B85" w:rsidRDefault="00781B85" w:rsidP="00781B85">
      <w:pPr>
        <w:keepNext/>
        <w:spacing w:before="240" w:after="60"/>
        <w:ind w:firstLine="900"/>
        <w:outlineLvl w:val="3"/>
        <w:rPr>
          <w:b/>
          <w:bCs/>
          <w:i/>
        </w:rPr>
      </w:pPr>
      <w:r>
        <w:rPr>
          <w:b/>
          <w:bCs/>
          <w:i/>
        </w:rPr>
        <w:t>Заеми от банки и други лица в страната – нето</w:t>
      </w:r>
    </w:p>
    <w:p w:rsidR="00781B85" w:rsidRDefault="00781B85" w:rsidP="00781B85">
      <w:pPr>
        <w:ind w:firstLine="540"/>
        <w:jc w:val="both"/>
        <w:rPr>
          <w:color w:val="0070C0"/>
        </w:rPr>
      </w:pPr>
      <w:r>
        <w:t xml:space="preserve">Нетният размер на показателя за годината е </w:t>
      </w:r>
      <w:r>
        <w:rPr>
          <w:lang w:val="en-US"/>
        </w:rPr>
        <w:t>126</w:t>
      </w:r>
      <w:r>
        <w:t>,</w:t>
      </w:r>
      <w:r w:rsidR="00E555D1">
        <w:t>5</w:t>
      </w:r>
      <w:r>
        <w:t xml:space="preserve"> млн. лв. и отразява основно получените краткосрочни и дългосрочни заеми по общинските бюджети от банки и други лица в страната, както и извършените погашения към тези кредитори. Получените по бюджетите на общините през 2015 г. заеми от банки в страната са в размер на 83,5 млн. лв., а погашенията към същите са за 74,7 млн. лв. или нетната сума е положителна и е в размер на 8,8 млн. лв. В сравнение с предходната година, размерът на получените средства по заеми от банки през 2015 г. е нараснал (с около 30 млн.лв.), при относително същия размер на направените погашения. Заемите са поемани за финансиране на инвестиционни обекти (вкл.за финансиране на проекти по ЕС), както и за финансиране на временен недостиг на средства по бюджетите на общините. От други лица в страната общините са получили заеми в размер на 27</w:t>
      </w:r>
      <w:r w:rsidR="003B4220">
        <w:t>6</w:t>
      </w:r>
      <w:r>
        <w:t>,3 млн. лв., а направените погашения са 159,0 млн. лв. Най-голям дял в тази група кредитори има „ФЛАГ“ ЕАД, като получените заеми от общините през 2015 г. от този фонд са 255,9 млн. лв., а погасените заеми към него – 155,8 млн. лв. В сравнение с 2014 г. получените през 2015 г. заеми от ФЛАГ са с 97,8 млн. лв. повече, което е свързано с приключване на стария програмен период и необходимостта от финализиране на разплащанията на общините по проектите, финансирани по оперативните програми. Със заемите от фонда е финансирано изпълнението на европейски проекти, като една част от тях са ползвани за финансиране на допустимите разходи, които след това се възстановяваха от управляващите органи, а другата част на заемите от ФЛАГ са свързани с финансиране на собственото участие на общините в проектите. Друг кредитор от тази група е Фонд „Енергийна ефективност</w:t>
      </w:r>
      <w:r w:rsidR="00EA50C3">
        <w:t xml:space="preserve"> и възобновяеми източници</w:t>
      </w:r>
      <w:r>
        <w:t xml:space="preserve">“, с който общините сключват договори за заеми с цел финансиране на проекти за саниране на сгради, общинска собственост и въвеждане на мерки за енергийна ефективност. </w:t>
      </w:r>
    </w:p>
    <w:p w:rsidR="00781B85" w:rsidRDefault="00781B85" w:rsidP="00781B85">
      <w:pPr>
        <w:keepNext/>
        <w:spacing w:before="240" w:after="60"/>
        <w:ind w:firstLine="900"/>
        <w:outlineLvl w:val="3"/>
        <w:rPr>
          <w:b/>
          <w:bCs/>
          <w:i/>
          <w:color w:val="0070C0"/>
        </w:rPr>
      </w:pPr>
      <w:r>
        <w:rPr>
          <w:b/>
          <w:bCs/>
          <w:i/>
        </w:rPr>
        <w:t xml:space="preserve">Операции с държавни ценни книжа  (нето) </w:t>
      </w:r>
    </w:p>
    <w:p w:rsidR="00781B85" w:rsidRDefault="00781B85" w:rsidP="00781B85">
      <w:pPr>
        <w:ind w:firstLine="540"/>
        <w:jc w:val="both"/>
      </w:pPr>
      <w:r>
        <w:t xml:space="preserve">На консолидирана база отчетеното изпълнение на показателя е отрицателно и е в размер на 915,1 млн. лв. при планирано в ЗДБРБ за 2015 г. отрицателно в размер на </w:t>
      </w:r>
      <w:r w:rsidR="00E51A08">
        <w:t>785</w:t>
      </w:r>
      <w:r>
        <w:t>,</w:t>
      </w:r>
      <w:r w:rsidR="00E51A08">
        <w:t>4</w:t>
      </w:r>
      <w:r>
        <w:t xml:space="preserve"> млн. лв. Изпълнението е както следва:</w:t>
      </w:r>
    </w:p>
    <w:p w:rsidR="00781B85" w:rsidRDefault="00781B85" w:rsidP="00781B85">
      <w:pPr>
        <w:ind w:firstLine="540"/>
        <w:jc w:val="both"/>
        <w:rPr>
          <w:color w:val="0070C0"/>
          <w:sz w:val="12"/>
          <w:szCs w:val="12"/>
        </w:rPr>
      </w:pPr>
    </w:p>
    <w:p w:rsidR="00781B85" w:rsidRDefault="00781B85" w:rsidP="00781B85">
      <w:pPr>
        <w:spacing w:after="120"/>
        <w:ind w:firstLine="709"/>
        <w:jc w:val="both"/>
        <w:outlineLvl w:val="5"/>
        <w:rPr>
          <w:bCs/>
          <w:color w:val="0070C0"/>
        </w:rPr>
      </w:pPr>
      <w:r>
        <w:rPr>
          <w:b/>
          <w:bCs/>
        </w:rPr>
        <w:t xml:space="preserve">- </w:t>
      </w:r>
      <w:r>
        <w:rPr>
          <w:bCs/>
        </w:rPr>
        <w:t xml:space="preserve">по </w:t>
      </w:r>
      <w:r>
        <w:rPr>
          <w:bCs/>
          <w:u w:val="single"/>
        </w:rPr>
        <w:t>централния бюджет</w:t>
      </w:r>
      <w:r>
        <w:rPr>
          <w:bCs/>
        </w:rPr>
        <w:t xml:space="preserve"> – нетното вътрешно финансиране от операции с държавни ценни книжа през годината е отрицателно в размер на 925,1 млн. лв., при заложено -787,2 </w:t>
      </w:r>
      <w:r>
        <w:rPr>
          <w:bCs/>
        </w:rPr>
        <w:lastRenderedPageBreak/>
        <w:t>млн. лв. или 117,5 % изпълнение</w:t>
      </w:r>
      <w:r w:rsidR="003B4220">
        <w:rPr>
          <w:bCs/>
        </w:rPr>
        <w:t xml:space="preserve"> спрямо разчетените за 2015 г</w:t>
      </w:r>
      <w:r>
        <w:rPr>
          <w:bCs/>
        </w:rPr>
        <w:t xml:space="preserve">. </w:t>
      </w:r>
      <w:r w:rsidR="0032227D">
        <w:rPr>
          <w:bCs/>
        </w:rPr>
        <w:t>Общият размер на п</w:t>
      </w:r>
      <w:r>
        <w:rPr>
          <w:bCs/>
        </w:rPr>
        <w:t>остъпленията от емисии ДЦК възлиза на 1 308,9 млн. лв. (в т.ч. 199,7 млн. лв. краткосрочни ДЦК, които се емитират и падежират в рамките на годината)</w:t>
      </w:r>
      <w:r w:rsidR="0032227D">
        <w:rPr>
          <w:bCs/>
        </w:rPr>
        <w:t xml:space="preserve"> или</w:t>
      </w:r>
      <w:r w:rsidR="0032227D" w:rsidRPr="0032227D">
        <w:t xml:space="preserve"> </w:t>
      </w:r>
      <w:bookmarkStart w:id="285" w:name="OLE_LINK4"/>
      <w:bookmarkStart w:id="286" w:name="OLE_LINK5"/>
      <w:r w:rsidR="0032227D" w:rsidRPr="0051441C">
        <w:t xml:space="preserve">са емитирани 1 311,5 </w:t>
      </w:r>
      <w:bookmarkEnd w:id="285"/>
      <w:bookmarkEnd w:id="286"/>
      <w:r w:rsidR="0032227D" w:rsidRPr="0051441C">
        <w:t>млн. лв. обща номинална стойност както следва: 6-месечни бонове в обем 200,0 млн. лв. номинална стойност, тригодишни облигации – 426,5 млн. лв., петгодишни облигации – 400,0 млн. лв., десетгодишни облигации – 235,0 млн. лв.  и  облигации с матуритет десет години и 6 месеца с номинална стойност 50,0 млн. лева.</w:t>
      </w:r>
      <w:r>
        <w:rPr>
          <w:bCs/>
        </w:rPr>
        <w:t xml:space="preserve"> Извършените погашения по ДЦК възлизат на 2 234,0 млн. лв. и от тях 32,1 млн. лв. са погашения по ДЦК, емитирани за структурната реформа.</w:t>
      </w:r>
      <w:r>
        <w:rPr>
          <w:bCs/>
          <w:color w:val="0070C0"/>
        </w:rPr>
        <w:t xml:space="preserve"> </w:t>
      </w:r>
    </w:p>
    <w:p w:rsidR="00781B85" w:rsidRDefault="00781B85" w:rsidP="00781B85">
      <w:pPr>
        <w:spacing w:after="120"/>
        <w:ind w:firstLine="709"/>
        <w:jc w:val="both"/>
        <w:outlineLvl w:val="5"/>
        <w:rPr>
          <w:bCs/>
        </w:rPr>
      </w:pPr>
      <w:r>
        <w:rPr>
          <w:bCs/>
        </w:rPr>
        <w:t>През 2015 г., в резултат на провежданата от МФ емисионна политика, са проведени 17 успешни аукциона за пласмент на ДЦК вътрешния пазар. Чрез проведените аукциони са пласирани пет нови емисии ДЦК в основните бенчмаркови матуритети с валутна деноминация в лева. През 2015 г. са емитирани както краткосрочни съкровищни бонове, така и ДЦК от отворен тип с фиксиран лихвен процент. Среднопретеглената доходност на аукционите за лихвоносни държавни ценни книжа през 2015 г. е 1,19 %. Данните потвърждават тенденцията от последните няколко години за намаляване на този показател</w:t>
      </w:r>
      <w:r w:rsidR="002556F4">
        <w:rPr>
          <w:bCs/>
          <w:lang w:val="en-US"/>
        </w:rPr>
        <w:t>:</w:t>
      </w:r>
      <w:r>
        <w:rPr>
          <w:bCs/>
        </w:rPr>
        <w:t xml:space="preserve"> през 2010 г. – 5,33 %, 2011 г.</w:t>
      </w:r>
      <w:r w:rsidR="000D22B7">
        <w:rPr>
          <w:bCs/>
        </w:rPr>
        <w:t xml:space="preserve"> </w:t>
      </w:r>
      <w:r>
        <w:rPr>
          <w:bCs/>
        </w:rPr>
        <w:t>- 4,32 %, 2012</w:t>
      </w:r>
      <w:r w:rsidR="000D22B7">
        <w:rPr>
          <w:bCs/>
        </w:rPr>
        <w:t xml:space="preserve"> г.</w:t>
      </w:r>
      <w:r>
        <w:rPr>
          <w:bCs/>
        </w:rPr>
        <w:t xml:space="preserve"> – 3,54 %, 2013 г.</w:t>
      </w:r>
      <w:r w:rsidR="000D22B7">
        <w:rPr>
          <w:bCs/>
        </w:rPr>
        <w:t xml:space="preserve"> </w:t>
      </w:r>
      <w:r>
        <w:rPr>
          <w:bCs/>
        </w:rPr>
        <w:t>– 2,51 % и през 2014 г. – 2,49 %.</w:t>
      </w:r>
    </w:p>
    <w:p w:rsidR="00781B85" w:rsidRDefault="00781B85" w:rsidP="00781B85">
      <w:pPr>
        <w:spacing w:after="120"/>
        <w:ind w:firstLine="709"/>
        <w:jc w:val="both"/>
        <w:outlineLvl w:val="5"/>
        <w:rPr>
          <w:bCs/>
        </w:rPr>
      </w:pPr>
      <w:r>
        <w:rPr>
          <w:bCs/>
        </w:rPr>
        <w:t>Отчетеното намаление на доходността по вътрешния държавен дълг спрямо 2014 г. има понижаващ ефект върху лихвените равнища и намалява разходите за обслужване в средносрочен и дългосрочен аспект.</w:t>
      </w:r>
    </w:p>
    <w:p w:rsidR="00781B85" w:rsidRDefault="00781B85" w:rsidP="00781B85">
      <w:pPr>
        <w:tabs>
          <w:tab w:val="num" w:pos="720"/>
        </w:tabs>
        <w:ind w:firstLine="540"/>
        <w:jc w:val="both"/>
        <w:rPr>
          <w:color w:val="0070C0"/>
        </w:rPr>
      </w:pPr>
      <w:r>
        <w:t xml:space="preserve">- по </w:t>
      </w:r>
      <w:r>
        <w:rPr>
          <w:u w:val="single"/>
        </w:rPr>
        <w:t>бюджетите на общините</w:t>
      </w:r>
      <w:r>
        <w:t xml:space="preserve"> – нетната стойност на операциите с ценни книжа, отчетени по общинските бюджети за 2015 г., е </w:t>
      </w:r>
      <w:r w:rsidR="007A523B">
        <w:t xml:space="preserve"> 10,0 млн. лв</w:t>
      </w:r>
      <w:r>
        <w:t>. През 2015 г. община Варна е емитирала дълг (ценни книжа) в размер на 25,0 млн.</w:t>
      </w:r>
      <w:r w:rsidR="007A523B">
        <w:rPr>
          <w:lang w:val="en-US"/>
        </w:rPr>
        <w:t xml:space="preserve"> </w:t>
      </w:r>
      <w:r>
        <w:t>лв., като средствата са предназначени за финансиране на собствено участие в проекти на ЕС, както и на други инвестиционни обекти. Погашения</w:t>
      </w:r>
      <w:r w:rsidR="007A523B">
        <w:t>та</w:t>
      </w:r>
      <w:r>
        <w:t xml:space="preserve"> по емитирани през предходни години общински ценни книжа са в размер на 15,0 млн. лв.</w:t>
      </w:r>
      <w:r w:rsidR="007A523B" w:rsidRPr="007A523B">
        <w:t xml:space="preserve"> </w:t>
      </w:r>
      <w:r w:rsidR="007A523B">
        <w:t>и са извършени от 10 общини.</w:t>
      </w:r>
      <w:r>
        <w:rPr>
          <w:color w:val="0070C0"/>
        </w:rPr>
        <w:t xml:space="preserve">  </w:t>
      </w:r>
    </w:p>
    <w:p w:rsidR="00781B85" w:rsidRDefault="00781B85" w:rsidP="00781B85">
      <w:pPr>
        <w:jc w:val="both"/>
        <w:rPr>
          <w:sz w:val="12"/>
          <w:szCs w:val="12"/>
        </w:rPr>
      </w:pPr>
    </w:p>
    <w:p w:rsidR="00781B85" w:rsidRDefault="00781B85" w:rsidP="00781B85">
      <w:pPr>
        <w:ind w:firstLine="900"/>
        <w:rPr>
          <w:b/>
          <w:i/>
        </w:rPr>
      </w:pPr>
      <w:r>
        <w:rPr>
          <w:b/>
          <w:i/>
        </w:rPr>
        <w:t xml:space="preserve">Покупко-продажба на държавни и общински ценни книжа </w:t>
      </w:r>
    </w:p>
    <w:p w:rsidR="00781B85" w:rsidRDefault="00781B85" w:rsidP="00781B85">
      <w:pPr>
        <w:spacing w:before="120" w:after="100" w:afterAutospacing="1"/>
        <w:ind w:firstLine="539"/>
        <w:jc w:val="both"/>
        <w:rPr>
          <w:lang w:val="en-US"/>
        </w:rPr>
      </w:pPr>
      <w:r>
        <w:t xml:space="preserve">Нетният размер на средствата по консолидираната фискална програма за 2015 г., отчетени в резултат на покупко-продажбата на държавни и общински ценни книжа, е </w:t>
      </w:r>
      <w:r w:rsidR="00E51A08">
        <w:t xml:space="preserve">отрицателно в размер на </w:t>
      </w:r>
      <w:r>
        <w:t xml:space="preserve">28,2 млн. лв. В централния бюджет по показателя „Продажба на държавни (общински) ценни книжа” са отчетени получени средства в размер на 16,7 млн. лв. във връзка с продажбата на прехвърлените по регистър/сметки на Министерството на финансите ДЦК, емитирани на международните капиталови пазари, с ISN-код XS0802005289, номинална стойност 8,0 млн. евро, преминали в разпореждане на министъра на финансите на основание чл. 152, ал. 9 от Закона за публичните финанси и по реда на т. 3.4 от Договор № 143/06.07.2015 г. между МФ и БНБ за съхранение от БНБ на ценни книжа по чл. 152, ал. 4 от ЗПФ. </w:t>
      </w:r>
      <w:r w:rsidR="007A523B">
        <w:t>През</w:t>
      </w:r>
      <w:r>
        <w:t xml:space="preserve"> 2015 г. изразходваните средства </w:t>
      </w:r>
      <w:r w:rsidR="007A523B">
        <w:t xml:space="preserve">от Учителския пенсионен фонд </w:t>
      </w:r>
      <w:r>
        <w:t xml:space="preserve">за покупка на ДЦК са 53,1 млн. лв. </w:t>
      </w:r>
      <w:r w:rsidR="00DD46F1">
        <w:t>, а получените</w:t>
      </w:r>
      <w:r>
        <w:t xml:space="preserve"> </w:t>
      </w:r>
      <w:r w:rsidR="00DD46F1">
        <w:t>погашения</w:t>
      </w:r>
      <w:r>
        <w:t xml:space="preserve"> </w:t>
      </w:r>
      <w:r w:rsidR="00DD46F1">
        <w:t xml:space="preserve">са в размер на </w:t>
      </w:r>
      <w:r>
        <w:t xml:space="preserve">16,6 млн. лв.. </w:t>
      </w:r>
      <w:r w:rsidR="00DD46F1">
        <w:t xml:space="preserve">Разходите за покупка на ДЦК на фонд „ГВРС“ възлизат на 8,5 млн. лв. </w:t>
      </w:r>
      <w:r>
        <w:t>Размерът на операциите по покупко-продажбата на държавни/общински/ ценни книжа за 2015 г. по общинските бюджети е положителен и е в размер на 0,05 млн. лв.</w:t>
      </w:r>
    </w:p>
    <w:p w:rsidR="00131995" w:rsidRPr="00EC33FC" w:rsidRDefault="00131995" w:rsidP="00781B85">
      <w:pPr>
        <w:spacing w:before="120" w:after="100" w:afterAutospacing="1"/>
        <w:ind w:firstLine="539"/>
        <w:jc w:val="both"/>
        <w:rPr>
          <w:color w:val="0070C0"/>
          <w:lang w:val="en-US"/>
        </w:rPr>
      </w:pPr>
    </w:p>
    <w:p w:rsidR="00781B85" w:rsidRDefault="00781B85" w:rsidP="00781B85">
      <w:pPr>
        <w:ind w:firstLine="900"/>
        <w:rPr>
          <w:b/>
          <w:i/>
        </w:rPr>
      </w:pPr>
      <w:bookmarkStart w:id="287" w:name="_Toc202754019"/>
      <w:r>
        <w:rPr>
          <w:b/>
          <w:i/>
        </w:rPr>
        <w:t>Възмездно финансиране (нето)</w:t>
      </w:r>
      <w:bookmarkEnd w:id="287"/>
    </w:p>
    <w:p w:rsidR="00781B85" w:rsidRDefault="00781B85" w:rsidP="00781B85">
      <w:pPr>
        <w:ind w:firstLine="540"/>
        <w:jc w:val="both"/>
        <w:rPr>
          <w:bCs/>
          <w:color w:val="0070C0"/>
          <w:sz w:val="8"/>
          <w:szCs w:val="8"/>
          <w:highlight w:val="cyan"/>
          <w:lang w:eastAsia="en-US"/>
        </w:rPr>
      </w:pPr>
    </w:p>
    <w:p w:rsidR="00781B85" w:rsidRDefault="00781B85" w:rsidP="00781B85">
      <w:pPr>
        <w:ind w:firstLine="540"/>
        <w:jc w:val="both"/>
        <w:rPr>
          <w:color w:val="0070C0"/>
        </w:rPr>
      </w:pPr>
      <w:r>
        <w:t xml:space="preserve">Нетният размер на възмездното финансиране (вкл. предоставените заеми към крайни бенефициенти по ДИЗ (нето)) за 2015 г. е отрицателен – 471,4 млн. лв., което се дължи </w:t>
      </w:r>
      <w:r>
        <w:lastRenderedPageBreak/>
        <w:t>основно на</w:t>
      </w:r>
      <w:r>
        <w:rPr>
          <w:bCs/>
        </w:rPr>
        <w:t xml:space="preserve"> предоставения заем от централния бюджет на Фонда за гарантиране на влоговете в банките в размер на 225,0 млн. лв. с цел изплащане на гарантираните от закона суми на вложителите в КТБ АД и на предоставената временна финансова помощ (нето) в размер на 241,1 млн. лв.</w:t>
      </w:r>
    </w:p>
    <w:p w:rsidR="00781B85" w:rsidRDefault="00781B85" w:rsidP="00781B85">
      <w:pPr>
        <w:ind w:firstLine="540"/>
        <w:jc w:val="both"/>
      </w:pPr>
      <w:r>
        <w:t xml:space="preserve">Нетното изпълнение на операциите по ДИЗ с краен бенефициент търговско дружество за 2015 г. е положително в размер на 28,8 млн. лв. и представлява възстановени суми по предоставени ДИЗ на крайни бенефициенти. </w:t>
      </w:r>
    </w:p>
    <w:p w:rsidR="00781B85" w:rsidRDefault="00781B85" w:rsidP="00781B85">
      <w:pPr>
        <w:ind w:firstLine="567"/>
        <w:jc w:val="both"/>
      </w:pPr>
      <w:r>
        <w:t xml:space="preserve">Към 31.12.2015 г. по линия на предоставените лихвени заеми </w:t>
      </w:r>
      <w:r w:rsidRPr="004C0FD2">
        <w:t xml:space="preserve">по </w:t>
      </w:r>
      <w:r w:rsidR="004C0FD2" w:rsidRPr="004C0FD2">
        <w:t>краткосрочните и</w:t>
      </w:r>
      <w:r w:rsidR="004C0FD2" w:rsidRPr="004C0FD2">
        <w:rPr>
          <w:lang w:val="en-US"/>
        </w:rPr>
        <w:t xml:space="preserve"> </w:t>
      </w:r>
      <w:r w:rsidRPr="004C0FD2">
        <w:t>инвестиционните схеми за подпомагане на селското стопанство,</w:t>
      </w:r>
      <w:r>
        <w:t xml:space="preserve"> предоставени от </w:t>
      </w:r>
      <w:r w:rsidR="003F1C30">
        <w:t xml:space="preserve">Държавен </w:t>
      </w:r>
      <w:r>
        <w:t xml:space="preserve">фонд „Земеделие” пряко или чрез рефинансиране от търговски банки, с които фондът има сключени договори, са изплатени 24,9 млн. лв. Кредитите се отпускат чрез прилагането на </w:t>
      </w:r>
      <w:r w:rsidR="004C0FD2" w:rsidRPr="004C0FD2">
        <w:t xml:space="preserve">кредитните схеми </w:t>
      </w:r>
      <w:r>
        <w:t xml:space="preserve">на ДФ „Земеделие“ и схемите за държавните помощи на Фонда за създаване и придобиване на дълготрайни материални активи в земеделието и селските райони посредством облекчаване на достъпа до кредитен ресурс и предоставяне на капиталови субсидии и субсидии за лихви. Средствата са за реализация на проекти в следните направления - „Растениевъдство”, „Животновъдство” и „Техническо обезпечаване” с цел стимулиране на инвестиционния процес в областта на селското стопанство, повишаване на конкурентоспособността и качеството на </w:t>
      </w:r>
      <w:r w:rsidRPr="0039280E">
        <w:t xml:space="preserve">произведената селскостопанска продукция. Съгласно указанията за прилагане на </w:t>
      </w:r>
      <w:r w:rsidR="0039280E" w:rsidRPr="0039280E">
        <w:t>кредитните схеми</w:t>
      </w:r>
      <w:r w:rsidRPr="0039280E">
        <w:t xml:space="preserve">, </w:t>
      </w:r>
      <w:r w:rsidR="0039280E" w:rsidRPr="0039280E">
        <w:t xml:space="preserve">краткосрочните </w:t>
      </w:r>
      <w:r w:rsidRPr="0039280E">
        <w:t>кредити са със срок на погасяване</w:t>
      </w:r>
      <w:r w:rsidR="0039280E" w:rsidRPr="0039280E">
        <w:t xml:space="preserve"> до 12 месеца, а инвестиционните </w:t>
      </w:r>
      <w:r w:rsidRPr="0039280E">
        <w:t xml:space="preserve">от 12 до </w:t>
      </w:r>
      <w:r w:rsidR="0039280E" w:rsidRPr="0039280E">
        <w:t>1</w:t>
      </w:r>
      <w:r w:rsidRPr="0039280E">
        <w:t>14 месеца в зависимост от вида на инвестицията. Възстановените главници по предоставени заеми за годината са 48,3 млн.</w:t>
      </w:r>
      <w:r>
        <w:t xml:space="preserve"> лв.</w:t>
      </w:r>
    </w:p>
    <w:p w:rsidR="00781B85" w:rsidRDefault="00781B85" w:rsidP="00781B85">
      <w:pPr>
        <w:ind w:firstLine="567"/>
        <w:jc w:val="both"/>
        <w:rPr>
          <w:color w:val="0070C0"/>
        </w:rPr>
      </w:pPr>
      <w:r>
        <w:t xml:space="preserve">Нетният размер на предоставената временна финансова помощ за годината е отрицателен и е -241,1 млн. лв., като предоставените средства са 276,6 млн. лв. (в т.ч. от министерства и ведомства 117,0 млн. лв., от Национален фонд  151,9 млн. лв., от общини 7,6 млн. лв.), а възстановените средства са 35,5 млн. лв. (в т.ч. на Национален фонд 27,0 млн. лв., на общини 8,3 млн. лв.).  </w:t>
      </w:r>
    </w:p>
    <w:p w:rsidR="00781B85" w:rsidRDefault="00781B85" w:rsidP="00781B85">
      <w:pPr>
        <w:ind w:firstLine="540"/>
        <w:jc w:val="both"/>
        <w:rPr>
          <w:iCs/>
          <w:color w:val="0070C0"/>
          <w:sz w:val="8"/>
          <w:szCs w:val="8"/>
        </w:rPr>
      </w:pPr>
    </w:p>
    <w:p w:rsidR="00781B85" w:rsidRDefault="00781B85" w:rsidP="00781B85">
      <w:pPr>
        <w:ind w:firstLine="540"/>
        <w:jc w:val="both"/>
        <w:rPr>
          <w:iCs/>
          <w:color w:val="0070C0"/>
          <w:sz w:val="8"/>
          <w:szCs w:val="8"/>
        </w:rPr>
      </w:pPr>
    </w:p>
    <w:p w:rsidR="00781B85" w:rsidRDefault="00781B85" w:rsidP="00781B85">
      <w:pPr>
        <w:ind w:right="72" w:firstLine="720"/>
        <w:jc w:val="both"/>
        <w:rPr>
          <w:b/>
          <w:i/>
          <w:szCs w:val="20"/>
          <w:lang w:eastAsia="en-US"/>
        </w:rPr>
      </w:pPr>
      <w:r>
        <w:rPr>
          <w:b/>
          <w:i/>
          <w:szCs w:val="20"/>
          <w:lang w:eastAsia="en-US"/>
        </w:rPr>
        <w:t>Придобиване на дялове, акции и съучастия (нето)</w:t>
      </w:r>
    </w:p>
    <w:p w:rsidR="00781B85" w:rsidRDefault="00781B85" w:rsidP="00781B85">
      <w:pPr>
        <w:ind w:right="72" w:firstLine="720"/>
        <w:jc w:val="both"/>
        <w:rPr>
          <w:b/>
          <w:sz w:val="12"/>
          <w:szCs w:val="12"/>
          <w:lang w:eastAsia="en-US"/>
        </w:rPr>
      </w:pPr>
    </w:p>
    <w:p w:rsidR="00781B85" w:rsidRDefault="00781B85" w:rsidP="00781B85">
      <w:pPr>
        <w:ind w:right="72" w:firstLine="540"/>
        <w:jc w:val="both"/>
        <w:rPr>
          <w:szCs w:val="20"/>
          <w:lang w:eastAsia="en-US"/>
        </w:rPr>
      </w:pPr>
      <w:r>
        <w:rPr>
          <w:szCs w:val="20"/>
          <w:lang w:eastAsia="en-US"/>
        </w:rPr>
        <w:t xml:space="preserve">Нетният размер на средствата, изразходвани за придобиване на дялове, акции и съучастия през отчетната година е </w:t>
      </w:r>
      <w:r w:rsidR="0065243C">
        <w:rPr>
          <w:szCs w:val="20"/>
          <w:lang w:eastAsia="en-US"/>
        </w:rPr>
        <w:t xml:space="preserve">отрицателен в размер на </w:t>
      </w:r>
      <w:r>
        <w:rPr>
          <w:szCs w:val="20"/>
          <w:lang w:eastAsia="en-US"/>
        </w:rPr>
        <w:t xml:space="preserve">20,4 млн. лева. </w:t>
      </w:r>
    </w:p>
    <w:p w:rsidR="00781B85" w:rsidRDefault="00781B85" w:rsidP="00781B85">
      <w:pPr>
        <w:ind w:right="72" w:firstLine="540"/>
        <w:jc w:val="both"/>
        <w:rPr>
          <w:szCs w:val="20"/>
          <w:lang w:eastAsia="en-US"/>
        </w:rPr>
      </w:pPr>
      <w:r>
        <w:rPr>
          <w:szCs w:val="20"/>
          <w:lang w:eastAsia="en-US"/>
        </w:rPr>
        <w:t>През 2015 г. за уреждане на задължения по съществуващи дялови участия и увеличаване на дяловото участие на държавата са предоставени средства в следните направления:</w:t>
      </w:r>
    </w:p>
    <w:p w:rsidR="00781B85" w:rsidRDefault="00781B85" w:rsidP="00781B85">
      <w:pPr>
        <w:numPr>
          <w:ilvl w:val="0"/>
          <w:numId w:val="74"/>
        </w:numPr>
        <w:tabs>
          <w:tab w:val="left" w:pos="1080"/>
          <w:tab w:val="left" w:pos="1260"/>
        </w:tabs>
        <w:ind w:right="72" w:firstLine="360"/>
        <w:jc w:val="both"/>
        <w:rPr>
          <w:bCs/>
        </w:rPr>
      </w:pPr>
      <w:r>
        <w:rPr>
          <w:i/>
          <w:szCs w:val="20"/>
          <w:lang w:eastAsia="en-US"/>
        </w:rPr>
        <w:t>Дялово участие на Република България в Международния валутен фонд</w:t>
      </w:r>
    </w:p>
    <w:p w:rsidR="00781B85" w:rsidRDefault="00781B85" w:rsidP="00781B85">
      <w:pPr>
        <w:tabs>
          <w:tab w:val="left" w:pos="900"/>
          <w:tab w:val="left" w:pos="1080"/>
          <w:tab w:val="left" w:pos="1260"/>
        </w:tabs>
        <w:ind w:right="72" w:firstLine="900"/>
        <w:jc w:val="both"/>
        <w:rPr>
          <w:szCs w:val="20"/>
          <w:lang w:val="ru-RU" w:eastAsia="en-US"/>
        </w:rPr>
      </w:pPr>
      <w:r>
        <w:rPr>
          <w:szCs w:val="20"/>
          <w:lang w:eastAsia="en-US"/>
        </w:rPr>
        <w:t xml:space="preserve">Във връзка с приключването на годишната преоценка на наличностите по сметките на Международния валутен фонд (МВФ) в национална валута при БНБ за 2015 г. сметката на Министерство на финансите бе задължена със сумата 0,4 млн. лв. </w:t>
      </w:r>
    </w:p>
    <w:p w:rsidR="00781B85" w:rsidRDefault="00781B85" w:rsidP="00781B85">
      <w:pPr>
        <w:tabs>
          <w:tab w:val="left" w:pos="900"/>
          <w:tab w:val="left" w:pos="1080"/>
          <w:tab w:val="left" w:pos="1260"/>
        </w:tabs>
        <w:ind w:right="72" w:firstLine="900"/>
        <w:jc w:val="both"/>
        <w:rPr>
          <w:bCs/>
          <w:lang w:val="ru-RU"/>
        </w:rPr>
      </w:pPr>
      <w:r>
        <w:rPr>
          <w:lang w:eastAsia="en-US"/>
        </w:rPr>
        <w:t>През 2015 г. не е извършен разход за увеличаване на дяловото участие на Република България в МВФ поради неприключване на реформата в международната финансова институция.</w:t>
      </w:r>
    </w:p>
    <w:p w:rsidR="00781B85" w:rsidRDefault="00781B85" w:rsidP="00781B85">
      <w:pPr>
        <w:numPr>
          <w:ilvl w:val="0"/>
          <w:numId w:val="74"/>
        </w:numPr>
        <w:tabs>
          <w:tab w:val="clear" w:pos="720"/>
          <w:tab w:val="num" w:pos="0"/>
          <w:tab w:val="left" w:pos="1080"/>
          <w:tab w:val="left" w:pos="1260"/>
        </w:tabs>
        <w:ind w:left="0" w:right="72" w:firstLine="1080"/>
        <w:jc w:val="both"/>
        <w:rPr>
          <w:i/>
          <w:szCs w:val="20"/>
          <w:lang w:eastAsia="en-US"/>
        </w:rPr>
      </w:pPr>
      <w:r>
        <w:rPr>
          <w:i/>
          <w:szCs w:val="20"/>
          <w:lang w:eastAsia="en-US"/>
        </w:rPr>
        <w:t>Дялови участия на Република България в организациите от Групата на Световната банка</w:t>
      </w:r>
    </w:p>
    <w:p w:rsidR="00781B85" w:rsidRDefault="00781B85" w:rsidP="00781B85">
      <w:pPr>
        <w:ind w:right="72" w:firstLine="900"/>
        <w:jc w:val="both"/>
      </w:pPr>
      <w:r>
        <w:t xml:space="preserve">През 2015 г. </w:t>
      </w:r>
      <w:r w:rsidR="003F1C30">
        <w:t>с</w:t>
      </w:r>
      <w:r>
        <w:t xml:space="preserve">а направени разходи за уреждане на задължения по съществуващото дялово участие на Република България в Международната банка за възстановяване и развитие (МБВР) в размер на 1,3 млн. лв. за инкасиране на издадени левови полици с цел покриване на административни разходи на Банката в местна валута (лева). </w:t>
      </w:r>
    </w:p>
    <w:p w:rsidR="00781B85" w:rsidRDefault="00781B85" w:rsidP="00781B85">
      <w:pPr>
        <w:ind w:right="72" w:firstLine="900"/>
        <w:jc w:val="both"/>
      </w:pPr>
      <w:r>
        <w:t>През 2015 г. не са извършени разходи за увеличаване на дяловото участие на Република България в организации от Групата на Световната банка.</w:t>
      </w:r>
    </w:p>
    <w:p w:rsidR="00781B85" w:rsidRDefault="00781B85" w:rsidP="00781B85">
      <w:pPr>
        <w:numPr>
          <w:ilvl w:val="0"/>
          <w:numId w:val="74"/>
        </w:numPr>
        <w:tabs>
          <w:tab w:val="clear" w:pos="720"/>
          <w:tab w:val="num" w:pos="0"/>
          <w:tab w:val="left" w:pos="1260"/>
        </w:tabs>
        <w:ind w:left="0" w:right="72" w:firstLine="1080"/>
        <w:jc w:val="both"/>
        <w:rPr>
          <w:i/>
          <w:szCs w:val="20"/>
          <w:lang w:eastAsia="en-US"/>
        </w:rPr>
      </w:pPr>
      <w:r>
        <w:rPr>
          <w:i/>
          <w:szCs w:val="20"/>
          <w:lang w:eastAsia="en-US"/>
        </w:rPr>
        <w:lastRenderedPageBreak/>
        <w:t>Дялово участие на Република България в капитала и в резервите и провизиите на Европейската инвестиционна банка (ЕИБ)</w:t>
      </w:r>
    </w:p>
    <w:p w:rsidR="00781B85" w:rsidRDefault="00781B85" w:rsidP="00781B85">
      <w:pPr>
        <w:ind w:firstLine="720"/>
        <w:jc w:val="both"/>
      </w:pPr>
      <w:r>
        <w:t>В изпълнение на Решение на Съвета на управителите на ЕИБ от 31.12.2012 г. за увеличение на записания капитал на Банката с 10 млрд. евро, подкрепено от България с протоколно решение по т. 45 от заседанието на Министерския съвет, проведено на 14.11.2012 г., на 17.03.2015 г. беше извършено плащането на третата последна вноска, дължима от Република България през 2015 г. в увеличението на капитала на ЕИБ, в размер на 8,6 млн. лв. (4,4 млн. евро).</w:t>
      </w:r>
    </w:p>
    <w:p w:rsidR="00781B85" w:rsidRDefault="00781B85" w:rsidP="00781B85">
      <w:pPr>
        <w:numPr>
          <w:ilvl w:val="0"/>
          <w:numId w:val="74"/>
        </w:numPr>
        <w:tabs>
          <w:tab w:val="clear" w:pos="720"/>
          <w:tab w:val="num" w:pos="0"/>
          <w:tab w:val="left" w:pos="1260"/>
        </w:tabs>
        <w:ind w:left="0" w:right="72" w:firstLine="1080"/>
        <w:jc w:val="both"/>
        <w:rPr>
          <w:i/>
          <w:szCs w:val="20"/>
          <w:lang w:eastAsia="en-US"/>
        </w:rPr>
      </w:pPr>
      <w:r>
        <w:rPr>
          <w:i/>
          <w:szCs w:val="20"/>
          <w:lang w:eastAsia="en-US"/>
        </w:rPr>
        <w:t>Дялово участие на Република България в увеличения капитал на Черноморската банка за търговия и развитие (ЧБТР)</w:t>
      </w:r>
    </w:p>
    <w:p w:rsidR="00781B85" w:rsidRDefault="00781B85" w:rsidP="00781B85">
      <w:pPr>
        <w:ind w:firstLine="720"/>
        <w:jc w:val="both"/>
      </w:pPr>
      <w:r>
        <w:t>На основание чл.4 ал.3 и чл.6 ал.3 от Споразумението за учредяване на ЧБТР (обн. в ДВ бр.110/96), Решение на НС от 23.05.2008 г. (обн. в ДВ бр.51/2008) и в изпълнение на Решение № 88 от 2.12.2007 г. на Съвета на управителите на ЧБТР, на 04.05.2015 г. бе извършено плащането на дължимата вноска на Република България за 2015 г. от 20%-то записано дялово участие в увеличения капитал на Банката, в размер на 7,6 млн. лв. (3,9 млн. евро).</w:t>
      </w:r>
    </w:p>
    <w:p w:rsidR="00781B85" w:rsidRDefault="00781B85" w:rsidP="00781B85">
      <w:pPr>
        <w:ind w:left="720"/>
        <w:rPr>
          <w:szCs w:val="20"/>
          <w:lang w:eastAsia="en-US"/>
        </w:rPr>
      </w:pPr>
    </w:p>
    <w:p w:rsidR="00781B85" w:rsidRDefault="00781B85" w:rsidP="00781B85">
      <w:pPr>
        <w:ind w:left="720"/>
        <w:rPr>
          <w:szCs w:val="20"/>
          <w:lang w:eastAsia="en-US"/>
        </w:rPr>
      </w:pPr>
    </w:p>
    <w:p w:rsidR="00781B85" w:rsidRDefault="00781B85" w:rsidP="00EC33FC">
      <w:pPr>
        <w:spacing w:after="120"/>
        <w:ind w:right="74"/>
        <w:jc w:val="both"/>
        <w:rPr>
          <w:szCs w:val="20"/>
          <w:lang w:eastAsia="en-US"/>
        </w:rPr>
      </w:pPr>
      <w:r>
        <w:rPr>
          <w:szCs w:val="20"/>
          <w:lang w:eastAsia="en-US"/>
        </w:rPr>
        <w:tab/>
        <w:t>Изразходваните средства за придобиване на дялове, акции и съучастия по бюджетите на министерствата и ведомствата са в размер на 0,9 млн. лв., а по бюджетите на общините 0,1 млн. лв. (нето).</w:t>
      </w:r>
    </w:p>
    <w:p w:rsidR="00D47F54" w:rsidRPr="00EC33FC" w:rsidRDefault="00D47F54" w:rsidP="00EC33FC">
      <w:pPr>
        <w:ind w:right="72" w:firstLine="720"/>
        <w:jc w:val="both"/>
        <w:rPr>
          <w:i/>
          <w:szCs w:val="20"/>
          <w:lang w:eastAsia="en-US"/>
        </w:rPr>
      </w:pPr>
      <w:r w:rsidRPr="00EC33FC">
        <w:rPr>
          <w:b/>
          <w:i/>
          <w:szCs w:val="20"/>
          <w:lang w:eastAsia="en-US"/>
        </w:rPr>
        <w:t>Финансови операции по прилагане на стълб I от Общата селскостопанска политика</w:t>
      </w:r>
      <w:bookmarkEnd w:id="280"/>
      <w:bookmarkEnd w:id="281"/>
      <w:bookmarkEnd w:id="282"/>
      <w:bookmarkEnd w:id="283"/>
      <w:bookmarkEnd w:id="284"/>
    </w:p>
    <w:p w:rsidR="00951870" w:rsidRDefault="00951870" w:rsidP="00EC33FC">
      <w:pPr>
        <w:spacing w:after="120"/>
        <w:ind w:firstLine="720"/>
        <w:jc w:val="both"/>
      </w:pPr>
      <w:bookmarkStart w:id="288" w:name="_Toc136597754"/>
      <w:bookmarkStart w:id="289" w:name="_Toc136601657"/>
      <w:bookmarkStart w:id="290" w:name="_Toc136836517"/>
      <w:bookmarkStart w:id="291" w:name="_Toc136923091"/>
      <w:bookmarkStart w:id="292" w:name="_Toc230007081"/>
      <w:bookmarkStart w:id="293" w:name="_Toc324863435"/>
      <w:bookmarkStart w:id="294" w:name="_Toc326315927"/>
      <w:bookmarkStart w:id="295" w:name="_Toc357527112"/>
      <w:bookmarkStart w:id="296" w:name="_Toc393728086"/>
      <w:r>
        <w:t xml:space="preserve">Финансовото подпомагане на селското стопанство със средства от ЕС се осъществява в следните направления: директни плащания и пазарна подкрепа. </w:t>
      </w:r>
    </w:p>
    <w:p w:rsidR="00951870" w:rsidRDefault="00951870" w:rsidP="00951870">
      <w:pPr>
        <w:ind w:right="-108" w:firstLine="720"/>
        <w:jc w:val="both"/>
        <w:rPr>
          <w:bCs/>
        </w:rPr>
      </w:pPr>
      <w:r>
        <w:t>Схемите за директни плащания са основната форма за субсидиране на аграрното производство със средства от ЕС, като у нас се прилага схемата за единно плащане на площ (СЕПП). Средствата за тези схеми се предоставят от Европейския фонд за гарантиране на земеделието (ЕФГЗ). През 2015 г. средствата, планирани за директни плащания на земеделските производители, са в размер на 1 314,0 млн. лв. Изплатените средства за отчетния период възлизат на 1 309,8 млн. лв. или 99,7 % изпълнение спрямо планираните разчети, като цялата сума е за сметка на ЕФГЗ</w:t>
      </w:r>
      <w:r>
        <w:rPr>
          <w:color w:val="0070C0"/>
        </w:rPr>
        <w:t xml:space="preserve">. </w:t>
      </w:r>
      <w:r>
        <w:t>Сумата на възстановените от ЕС средства за 2015 г. е 1 241,7 млн. лева.</w:t>
      </w:r>
    </w:p>
    <w:p w:rsidR="00951870" w:rsidRDefault="00951870" w:rsidP="00951870">
      <w:pPr>
        <w:ind w:right="-108" w:firstLine="720"/>
        <w:jc w:val="both"/>
        <w:rPr>
          <w:color w:val="0070C0"/>
        </w:rPr>
      </w:pPr>
      <w:r>
        <w:t xml:space="preserve">През изминалата година средствата от Европейския земеделски фонд за развитие на селските райони </w:t>
      </w:r>
      <w:r>
        <w:rPr>
          <w:lang w:val="ru-RU"/>
        </w:rPr>
        <w:t>(</w:t>
      </w:r>
      <w:r>
        <w:t>ЕЗФРСР</w:t>
      </w:r>
      <w:r>
        <w:rPr>
          <w:lang w:val="ru-RU"/>
        </w:rPr>
        <w:t>)</w:t>
      </w:r>
      <w:r>
        <w:t>, които бяха насочени към преките плащания, са в размер на 220,3 млн. лв., а размерът на възстановените от ЕС средства е 338,4 млн. лева. Целта на това пренасочване е да се компенсира частично разликата във финансирането на българските земеделски производители и производителите в старите държави-членки на ЕС.</w:t>
      </w:r>
    </w:p>
    <w:p w:rsidR="00951870" w:rsidRDefault="00951870" w:rsidP="00951870">
      <w:pPr>
        <w:ind w:firstLine="720"/>
        <w:jc w:val="both"/>
      </w:pPr>
      <w:r>
        <w:t>Предвидените средства за пазарна подкрепа през 2015 г. са в размер на 30,0 млн. лв. и включват средства, които биха се получавали при интервенция в сектори като зърнени култури, месо, мляко, плодове и зеленчуци; експортни субсидии в повечето сектори; помощи за повишаване консумацията на някои продукти; и подкрепа на организации на производители на плодове и зеленчуци. В тези сектори средствата за пазарна подкрепа се отпускат в зависимост от пазарната ситуация и след решение от страна на Европейската комисия. Размерът на усвоените средства в края на годината е 26,3 млн. лв., при възстановени от ЕС – 13,2 млн. лева.</w:t>
      </w:r>
    </w:p>
    <w:p w:rsidR="00951870" w:rsidRDefault="00951870" w:rsidP="00951870">
      <w:pPr>
        <w:ind w:firstLine="720"/>
        <w:jc w:val="both"/>
      </w:pPr>
      <w:r>
        <w:t>През 2015 г. са усвоени 39,8 млн. лв. за преструктуриране на лозови масиви, при възстановени от ЕС 29,4 млн. лева.</w:t>
      </w:r>
    </w:p>
    <w:p w:rsidR="00D47F54" w:rsidRPr="006935C3" w:rsidRDefault="00D47F54" w:rsidP="00781B85">
      <w:pPr>
        <w:pStyle w:val="Heading3"/>
        <w:numPr>
          <w:ilvl w:val="2"/>
          <w:numId w:val="10"/>
        </w:numPr>
        <w:rPr>
          <w:rFonts w:ascii="Times New Roman" w:hAnsi="Times New Roman"/>
          <w:sz w:val="24"/>
          <w:lang w:val="bg-BG"/>
        </w:rPr>
      </w:pPr>
      <w:bookmarkStart w:id="297" w:name="_Toc462146134"/>
      <w:r w:rsidRPr="006935C3">
        <w:rPr>
          <w:rFonts w:ascii="Times New Roman" w:hAnsi="Times New Roman"/>
          <w:sz w:val="24"/>
          <w:lang w:val="bg-BG"/>
        </w:rPr>
        <w:lastRenderedPageBreak/>
        <w:t>Приватизация</w:t>
      </w:r>
      <w:bookmarkEnd w:id="288"/>
      <w:bookmarkEnd w:id="289"/>
      <w:bookmarkEnd w:id="290"/>
      <w:bookmarkEnd w:id="291"/>
      <w:bookmarkEnd w:id="292"/>
      <w:bookmarkEnd w:id="293"/>
      <w:bookmarkEnd w:id="294"/>
      <w:bookmarkEnd w:id="295"/>
      <w:bookmarkEnd w:id="296"/>
      <w:bookmarkEnd w:id="297"/>
    </w:p>
    <w:p w:rsidR="006935C3" w:rsidRDefault="006935C3" w:rsidP="006935C3">
      <w:pPr>
        <w:ind w:firstLine="539"/>
        <w:jc w:val="both"/>
      </w:pPr>
      <w:r>
        <w:t>Общият размер на постъпленията от приватизация за 201</w:t>
      </w:r>
      <w:r>
        <w:rPr>
          <w:lang w:val="en-US"/>
        </w:rPr>
        <w:t>5</w:t>
      </w:r>
      <w:r>
        <w:t xml:space="preserve"> г. на консолидирана база възлиза на 3,</w:t>
      </w:r>
      <w:r>
        <w:rPr>
          <w:lang w:val="en-US"/>
        </w:rPr>
        <w:t>8</w:t>
      </w:r>
      <w:r>
        <w:t xml:space="preserve"> млн. лв., като</w:t>
      </w:r>
      <w:r w:rsidR="003E3371">
        <w:t xml:space="preserve"> близо</w:t>
      </w:r>
      <w:r>
        <w:t xml:space="preserve"> </w:t>
      </w:r>
      <w:r w:rsidR="003214E4">
        <w:t xml:space="preserve">2,0 млн. лв. </w:t>
      </w:r>
      <w:r>
        <w:t xml:space="preserve">са по държавния бюджет, а останалите средства </w:t>
      </w:r>
      <w:r w:rsidR="003214E4">
        <w:t xml:space="preserve">са </w:t>
      </w:r>
      <w:r>
        <w:t>от приватизация на общински предприятия.</w:t>
      </w:r>
    </w:p>
    <w:p w:rsidR="006935C3" w:rsidRDefault="006935C3" w:rsidP="006935C3">
      <w:pPr>
        <w:ind w:firstLine="539"/>
        <w:jc w:val="both"/>
        <w:rPr>
          <w:bCs/>
          <w:color w:val="0070C0"/>
        </w:rPr>
      </w:pPr>
      <w:r>
        <w:rPr>
          <w:color w:val="0070C0"/>
        </w:rPr>
        <w:t xml:space="preserve"> - </w:t>
      </w:r>
      <w:r>
        <w:t>получените средства по държавния бюджет са 1,96 млн. лв., при заложени в ЗДБРБ за 2015 г. 50,4 млн. лева. През 2015 г. са осъществени 5 броя приватизационни продажби, в т.ч. продажби на имоти</w:t>
      </w:r>
      <w:r w:rsidR="003214E4">
        <w:t xml:space="preserve"> </w:t>
      </w:r>
      <w:r>
        <w:t>-</w:t>
      </w:r>
      <w:r w:rsidR="003214E4">
        <w:t xml:space="preserve"> </w:t>
      </w:r>
      <w:r>
        <w:t xml:space="preserve">частна държавна собственост. Основната част от постъпленията през годината се очакваха от финализирането на приватизационните сделки за пакети от акции/дялове от следните търговски дружества: „Българска фондова борса - София“ АД, „Централен депозитар“ АД, „НИТИ” ЕАД, „Военно издателство” ЕООД, „Овча купел“ ЕООД, „Сортови семена Елит“ ЕАД, но същите не бяха реализирани поради забавяне в подготовката на приватизационните процедури и/или липса на инвеститорски интерес. </w:t>
      </w:r>
    </w:p>
    <w:p w:rsidR="006935C3" w:rsidRDefault="006935C3" w:rsidP="006935C3">
      <w:pPr>
        <w:ind w:firstLine="567"/>
        <w:jc w:val="both"/>
      </w:pPr>
      <w:r>
        <w:rPr>
          <w:bCs/>
        </w:rPr>
        <w:t xml:space="preserve">- през 2015 г. постъпленията от приватизация в общинските бюджети са 1,85 млн. лв. </w:t>
      </w:r>
    </w:p>
    <w:p w:rsidR="00666D9F" w:rsidRPr="00DA7BDC" w:rsidRDefault="00666D9F" w:rsidP="00781B85">
      <w:pPr>
        <w:pStyle w:val="Heading3"/>
        <w:numPr>
          <w:ilvl w:val="2"/>
          <w:numId w:val="10"/>
        </w:numPr>
        <w:spacing w:after="120"/>
        <w:rPr>
          <w:rFonts w:ascii="Times New Roman" w:hAnsi="Times New Roman"/>
          <w:sz w:val="24"/>
          <w:lang w:val="bg-BG"/>
        </w:rPr>
      </w:pPr>
      <w:bookmarkStart w:id="298" w:name="_Toc462146135"/>
      <w:r w:rsidRPr="00DA7BDC">
        <w:rPr>
          <w:rFonts w:ascii="Times New Roman" w:hAnsi="Times New Roman"/>
          <w:sz w:val="24"/>
          <w:lang w:val="bg-BG"/>
        </w:rPr>
        <w:t>Средства, акумулирани по сметка на Държавния фонд за гарантиране  устойчивост на държавната пенсионна система</w:t>
      </w:r>
      <w:bookmarkEnd w:id="274"/>
      <w:bookmarkEnd w:id="275"/>
      <w:bookmarkEnd w:id="276"/>
      <w:bookmarkEnd w:id="277"/>
      <w:bookmarkEnd w:id="278"/>
      <w:bookmarkEnd w:id="298"/>
    </w:p>
    <w:p w:rsidR="00DA7BDC" w:rsidRPr="00DA7BDC" w:rsidRDefault="00DA7BDC" w:rsidP="00DA7BDC">
      <w:pPr>
        <w:widowControl w:val="0"/>
        <w:autoSpaceDE w:val="0"/>
        <w:autoSpaceDN w:val="0"/>
        <w:adjustRightInd w:val="0"/>
        <w:spacing w:after="120"/>
        <w:ind w:firstLine="708"/>
        <w:jc w:val="both"/>
      </w:pPr>
      <w:r w:rsidRPr="00DA7BDC">
        <w:t xml:space="preserve">Общият паричен ресурс към 31.12.2015 г. по сметка на Държавния фонд за гарантиране устойчивост на държавната пенсионна система в Българска народна банка е в размер на </w:t>
      </w:r>
      <w:r w:rsidRPr="00DA7BDC">
        <w:rPr>
          <w:b/>
          <w:lang w:val="ru-MO"/>
        </w:rPr>
        <w:t>2</w:t>
      </w:r>
      <w:r w:rsidRPr="00DA7BDC">
        <w:rPr>
          <w:b/>
          <w:lang w:val="en-US"/>
        </w:rPr>
        <w:t> </w:t>
      </w:r>
      <w:r w:rsidRPr="00DA7BDC">
        <w:rPr>
          <w:b/>
        </w:rPr>
        <w:t>534,1 млн. лв.</w:t>
      </w:r>
      <w:r w:rsidRPr="00DA7BDC">
        <w:t xml:space="preserve"> , от който 2 534,0 млн. лв. са оформени в годишен депозит с решение на Управителния съвет на фонда. Общата наличност от 2 534,1</w:t>
      </w:r>
      <w:r w:rsidRPr="00DA7BDC">
        <w:rPr>
          <w:lang w:val="en-US"/>
        </w:rPr>
        <w:t> </w:t>
      </w:r>
      <w:r w:rsidRPr="00DA7BDC">
        <w:t>млн.</w:t>
      </w:r>
      <w:r w:rsidRPr="00DA7BDC">
        <w:rPr>
          <w:lang w:val="en-US"/>
        </w:rPr>
        <w:t> </w:t>
      </w:r>
      <w:r w:rsidRPr="00DA7BDC">
        <w:t>лв. включва:</w:t>
      </w:r>
    </w:p>
    <w:p w:rsidR="00DA7BDC" w:rsidRPr="00DA7BDC" w:rsidRDefault="00DA7BDC" w:rsidP="00781B85">
      <w:pPr>
        <w:widowControl w:val="0"/>
        <w:numPr>
          <w:ilvl w:val="0"/>
          <w:numId w:val="6"/>
        </w:numPr>
        <w:tabs>
          <w:tab w:val="num" w:pos="900"/>
        </w:tabs>
        <w:autoSpaceDE w:val="0"/>
        <w:autoSpaceDN w:val="0"/>
        <w:adjustRightInd w:val="0"/>
        <w:spacing w:after="120"/>
        <w:jc w:val="both"/>
      </w:pPr>
      <w:r w:rsidRPr="00DA7BDC">
        <w:t xml:space="preserve">наличност на 01.01.2015 г. – </w:t>
      </w:r>
      <w:r w:rsidRPr="00DA7BDC">
        <w:rPr>
          <w:b/>
          <w:lang w:val="ru-MO"/>
        </w:rPr>
        <w:t>2</w:t>
      </w:r>
      <w:r w:rsidRPr="00DA7BDC">
        <w:rPr>
          <w:b/>
          <w:lang w:val="en-US"/>
        </w:rPr>
        <w:t> </w:t>
      </w:r>
      <w:r w:rsidRPr="00DA7BDC">
        <w:rPr>
          <w:b/>
        </w:rPr>
        <w:t>445,4 млн. лв</w:t>
      </w:r>
      <w:r w:rsidRPr="00DA7BDC">
        <w:t>., от които: на депозит - 2 444,0 млн. лв. и по текуща банкова сметка – 1,432 млн. лв.</w:t>
      </w:r>
    </w:p>
    <w:p w:rsidR="00DA7BDC" w:rsidRPr="00DA7BDC" w:rsidRDefault="00DA7BDC" w:rsidP="00781B85">
      <w:pPr>
        <w:widowControl w:val="0"/>
        <w:numPr>
          <w:ilvl w:val="0"/>
          <w:numId w:val="6"/>
        </w:numPr>
        <w:tabs>
          <w:tab w:val="num" w:pos="900"/>
        </w:tabs>
        <w:autoSpaceDE w:val="0"/>
        <w:autoSpaceDN w:val="0"/>
        <w:adjustRightInd w:val="0"/>
        <w:spacing w:after="120"/>
        <w:jc w:val="both"/>
      </w:pPr>
      <w:r w:rsidRPr="00DA7BDC">
        <w:t>трансфери от централния бюджет, от тях:</w:t>
      </w:r>
    </w:p>
    <w:p w:rsidR="00DA7BDC" w:rsidRPr="00DA7BDC" w:rsidRDefault="00DA7BDC" w:rsidP="00D0157C">
      <w:pPr>
        <w:widowControl w:val="0"/>
        <w:numPr>
          <w:ilvl w:val="0"/>
          <w:numId w:val="23"/>
        </w:numPr>
        <w:autoSpaceDE w:val="0"/>
        <w:autoSpaceDN w:val="0"/>
        <w:adjustRightInd w:val="0"/>
        <w:spacing w:after="120"/>
        <w:ind w:left="0" w:firstLine="1494"/>
        <w:jc w:val="both"/>
      </w:pPr>
      <w:r w:rsidRPr="00DA7BDC">
        <w:rPr>
          <w:u w:val="single"/>
        </w:rPr>
        <w:t>Съгласно разпоредбата на чл. 11 от Закона за Държавния фонд за гарантиране устойчивост на държавната пенсионна система</w:t>
      </w:r>
      <w:r w:rsidRPr="00DA7BDC">
        <w:rPr>
          <w:b/>
          <w:lang w:val="en-US"/>
        </w:rPr>
        <w:t> </w:t>
      </w:r>
      <w:r w:rsidRPr="00DA7BDC">
        <w:rPr>
          <w:b/>
        </w:rPr>
        <w:t>-</w:t>
      </w:r>
      <w:r w:rsidRPr="00DA7BDC">
        <w:t xml:space="preserve"> </w:t>
      </w:r>
      <w:r w:rsidRPr="00DA7BDC">
        <w:rPr>
          <w:b/>
        </w:rPr>
        <w:t>88,618</w:t>
      </w:r>
      <w:r w:rsidRPr="00DA7BDC">
        <w:rPr>
          <w:b/>
          <w:lang w:val="en-US"/>
        </w:rPr>
        <w:t> </w:t>
      </w:r>
      <w:r w:rsidRPr="00DA7BDC">
        <w:rPr>
          <w:b/>
        </w:rPr>
        <w:t>млн.</w:t>
      </w:r>
      <w:r w:rsidRPr="00DA7BDC">
        <w:rPr>
          <w:b/>
          <w:lang w:val="en-US"/>
        </w:rPr>
        <w:t> </w:t>
      </w:r>
      <w:r w:rsidRPr="00DA7BDC">
        <w:rPr>
          <w:b/>
        </w:rPr>
        <w:t>лв.</w:t>
      </w:r>
      <w:r w:rsidRPr="00DA7BDC">
        <w:t>, включващи:</w:t>
      </w:r>
    </w:p>
    <w:p w:rsidR="00DA7BDC" w:rsidRPr="00DA7BDC" w:rsidRDefault="00DA7BDC" w:rsidP="00D0157C">
      <w:pPr>
        <w:widowControl w:val="0"/>
        <w:numPr>
          <w:ilvl w:val="0"/>
          <w:numId w:val="75"/>
        </w:numPr>
        <w:autoSpaceDE w:val="0"/>
        <w:autoSpaceDN w:val="0"/>
        <w:adjustRightInd w:val="0"/>
        <w:spacing w:after="120"/>
        <w:ind w:left="0" w:firstLine="1068"/>
        <w:jc w:val="both"/>
        <w:rPr>
          <w:lang w:val="ru-MO"/>
        </w:rPr>
      </w:pPr>
      <w:r w:rsidRPr="00DA7BDC">
        <w:t>0,064 млн. лв. – парични постъпления от приватизация, отчетени по държавния бюджет за 2014 г. (чл. 11, ал.1, т. 1 от</w:t>
      </w:r>
      <w:r w:rsidRPr="00DA7BDC">
        <w:rPr>
          <w:lang w:val="ru-RU"/>
        </w:rPr>
        <w:t xml:space="preserve"> </w:t>
      </w:r>
      <w:r w:rsidRPr="00DA7BDC">
        <w:t>Закона за Държавния фонд за гарантиране устойчивост на държавната пенсионна система);</w:t>
      </w:r>
    </w:p>
    <w:p w:rsidR="00DA7BDC" w:rsidRPr="00DA7BDC" w:rsidRDefault="00DA7BDC" w:rsidP="00D0157C">
      <w:pPr>
        <w:widowControl w:val="0"/>
        <w:numPr>
          <w:ilvl w:val="0"/>
          <w:numId w:val="75"/>
        </w:numPr>
        <w:autoSpaceDE w:val="0"/>
        <w:autoSpaceDN w:val="0"/>
        <w:adjustRightInd w:val="0"/>
        <w:spacing w:after="120"/>
        <w:ind w:left="0" w:firstLine="1068"/>
        <w:jc w:val="both"/>
        <w:rPr>
          <w:lang w:val="ru-MO"/>
        </w:rPr>
      </w:pPr>
      <w:r w:rsidRPr="00DA7BDC">
        <w:t xml:space="preserve">87,300 млн. лв. - приходи от концесии, отчетени по държавния бюджет за 2014 г. </w:t>
      </w:r>
      <w:r w:rsidRPr="00DA7BDC">
        <w:rPr>
          <w:lang w:val="ru-RU"/>
        </w:rPr>
        <w:t>(</w:t>
      </w:r>
      <w:r w:rsidRPr="00DA7BDC">
        <w:t>чл. 11, ал. 1, т. 3 от Закона за Държавния фонд за гарантиране устойчивост на държавната пенсионна система</w:t>
      </w:r>
      <w:r w:rsidRPr="00DA7BDC">
        <w:rPr>
          <w:lang w:val="ru-RU"/>
        </w:rPr>
        <w:t>)</w:t>
      </w:r>
      <w:r w:rsidRPr="00DA7BDC">
        <w:t>;</w:t>
      </w:r>
    </w:p>
    <w:p w:rsidR="00DA7BDC" w:rsidRPr="00DA7BDC" w:rsidRDefault="00DA7BDC" w:rsidP="00D0157C">
      <w:pPr>
        <w:widowControl w:val="0"/>
        <w:numPr>
          <w:ilvl w:val="0"/>
          <w:numId w:val="75"/>
        </w:numPr>
        <w:autoSpaceDE w:val="0"/>
        <w:autoSpaceDN w:val="0"/>
        <w:adjustRightInd w:val="0"/>
        <w:spacing w:after="120"/>
        <w:ind w:left="0" w:firstLine="1068"/>
        <w:jc w:val="both"/>
        <w:rPr>
          <w:lang w:val="ru-RU"/>
        </w:rPr>
      </w:pPr>
      <w:r w:rsidRPr="00DA7BDC">
        <w:t>1,254 млн. лв. - приходи от други източници, определени със закон или с акт на Министерския съвет - средства от глоби, имуществени санкции и неустойки, свързани с приватизационния процес по реда на чл.</w:t>
      </w:r>
      <w:r w:rsidRPr="00DA7BDC">
        <w:rPr>
          <w:lang w:val="ru-MO"/>
        </w:rPr>
        <w:t xml:space="preserve"> </w:t>
      </w:r>
      <w:r w:rsidRPr="00DA7BDC">
        <w:t>8, ал.</w:t>
      </w:r>
      <w:r w:rsidRPr="00DA7BDC">
        <w:rPr>
          <w:lang w:val="ru-MO"/>
        </w:rPr>
        <w:t xml:space="preserve"> </w:t>
      </w:r>
      <w:r w:rsidRPr="00DA7BDC">
        <w:t>8</w:t>
      </w:r>
      <w:r w:rsidR="004C0527">
        <w:t>,</w:t>
      </w:r>
      <w:r w:rsidRPr="00DA7BDC">
        <w:t xml:space="preserve"> </w:t>
      </w:r>
      <w:r w:rsidR="004C0527" w:rsidRPr="004C0527">
        <w:t>т.</w:t>
      </w:r>
      <w:r w:rsidR="004C0527">
        <w:t xml:space="preserve"> </w:t>
      </w:r>
      <w:r w:rsidR="004C0527" w:rsidRPr="004C0527">
        <w:t xml:space="preserve">2 </w:t>
      </w:r>
      <w:r w:rsidRPr="004C0527">
        <w:t>и ал</w:t>
      </w:r>
      <w:r w:rsidRPr="00DA7BDC">
        <w:t>. 9 от Закона за приватизация и следприватизационен контрол (чл. 11, ал. 1, т. 4 от Закона за Държавния фонд за гарантиране устойчивост на държавната пенсионна система</w:t>
      </w:r>
      <w:r w:rsidRPr="00DA7BDC">
        <w:rPr>
          <w:lang w:val="ru-RU"/>
        </w:rPr>
        <w:t>).</w:t>
      </w:r>
    </w:p>
    <w:p w:rsidR="00DA7BDC" w:rsidRPr="00DA7BDC" w:rsidRDefault="00DA7BDC" w:rsidP="00D0157C">
      <w:pPr>
        <w:widowControl w:val="0"/>
        <w:numPr>
          <w:ilvl w:val="0"/>
          <w:numId w:val="24"/>
        </w:numPr>
        <w:autoSpaceDE w:val="0"/>
        <w:autoSpaceDN w:val="0"/>
        <w:adjustRightInd w:val="0"/>
        <w:spacing w:after="120"/>
        <w:ind w:left="0" w:firstLine="1494"/>
        <w:jc w:val="both"/>
        <w:rPr>
          <w:lang w:val="ru-RU"/>
        </w:rPr>
      </w:pPr>
      <w:r w:rsidRPr="00DA7BDC">
        <w:rPr>
          <w:u w:val="single"/>
          <w:lang w:val="ru-RU"/>
        </w:rPr>
        <w:t xml:space="preserve">Съгласно разпоредбата на чл. 129, ал. 12 от Кодекса за социално осигуряване и чл. 1, ал. 4 от Закона за </w:t>
      </w:r>
      <w:r w:rsidRPr="00DA7BDC">
        <w:rPr>
          <w:u w:val="single"/>
        </w:rPr>
        <w:t>Държавния фонд за гарантиране устойчивост на държавната пенсионна система</w:t>
      </w:r>
      <w:r w:rsidRPr="00DA7BDC">
        <w:rPr>
          <w:lang w:val="ru-RU"/>
        </w:rPr>
        <w:t xml:space="preserve"> - </w:t>
      </w:r>
      <w:r w:rsidRPr="00DA7BDC">
        <w:rPr>
          <w:b/>
          <w:lang w:val="ru-RU"/>
        </w:rPr>
        <w:t>0,065 млн. лв.</w:t>
      </w:r>
    </w:p>
    <w:p w:rsidR="00DA7BDC" w:rsidRPr="00DA7BDC" w:rsidRDefault="00DA7BDC" w:rsidP="00DA7BDC">
      <w:pPr>
        <w:widowControl w:val="0"/>
        <w:autoSpaceDE w:val="0"/>
        <w:autoSpaceDN w:val="0"/>
        <w:adjustRightInd w:val="0"/>
        <w:spacing w:after="120"/>
        <w:ind w:firstLine="708"/>
        <w:jc w:val="both"/>
        <w:rPr>
          <w:lang w:val="en-US"/>
        </w:rPr>
      </w:pPr>
      <w:r w:rsidRPr="00DA7BDC">
        <w:t>Отчетът за касовото изпълнение на фонда за периода 01.01.2015 г. – 31.12.2015 г. е представен в следната таблица:</w:t>
      </w:r>
    </w:p>
    <w:p w:rsidR="00DA7BDC" w:rsidRPr="00DA7BDC" w:rsidRDefault="00D37B0F" w:rsidP="00DA7BDC">
      <w:pPr>
        <w:widowControl w:val="0"/>
        <w:autoSpaceDE w:val="0"/>
        <w:autoSpaceDN w:val="0"/>
        <w:adjustRightInd w:val="0"/>
        <w:spacing w:after="120"/>
        <w:ind w:firstLine="708"/>
        <w:jc w:val="both"/>
        <w:rPr>
          <w:color w:val="0070C0"/>
          <w:lang w:val="en-US"/>
        </w:rPr>
      </w:pPr>
      <w:r>
        <w:rPr>
          <w:noProof/>
        </w:rPr>
        <w:lastRenderedPageBreak/>
        <w:drawing>
          <wp:inline distT="0" distB="0" distL="0" distR="0" wp14:anchorId="0DBBF692" wp14:editId="7EEEFB0E">
            <wp:extent cx="5753735" cy="372681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3735" cy="3726815"/>
                    </a:xfrm>
                    <a:prstGeom prst="rect">
                      <a:avLst/>
                    </a:prstGeom>
                    <a:noFill/>
                    <a:ln>
                      <a:noFill/>
                    </a:ln>
                  </pic:spPr>
                </pic:pic>
              </a:graphicData>
            </a:graphic>
          </wp:inline>
        </w:drawing>
      </w:r>
    </w:p>
    <w:p w:rsidR="007E1031" w:rsidRPr="001F6421" w:rsidRDefault="007E1031" w:rsidP="007E1031">
      <w:pPr>
        <w:widowControl w:val="0"/>
        <w:autoSpaceDE w:val="0"/>
        <w:autoSpaceDN w:val="0"/>
        <w:adjustRightInd w:val="0"/>
        <w:spacing w:after="120"/>
        <w:ind w:firstLine="708"/>
        <w:jc w:val="both"/>
        <w:rPr>
          <w:color w:val="0070C0"/>
          <w:lang w:val="en-US"/>
        </w:rPr>
      </w:pPr>
    </w:p>
    <w:p w:rsidR="00666D9F" w:rsidRPr="001F6421" w:rsidRDefault="00666D9F" w:rsidP="0004270E">
      <w:pPr>
        <w:jc w:val="both"/>
        <w:rPr>
          <w:color w:val="0070C0"/>
        </w:rPr>
      </w:pPr>
    </w:p>
    <w:p w:rsidR="00666D9F" w:rsidRPr="001F6421" w:rsidRDefault="00666D9F" w:rsidP="00CE5B9C">
      <w:pPr>
        <w:widowControl w:val="0"/>
        <w:autoSpaceDE w:val="0"/>
        <w:autoSpaceDN w:val="0"/>
        <w:adjustRightInd w:val="0"/>
        <w:spacing w:after="120"/>
        <w:ind w:firstLine="708"/>
        <w:jc w:val="both"/>
        <w:rPr>
          <w:color w:val="0070C0"/>
          <w:lang w:val="en-US"/>
        </w:rPr>
      </w:pPr>
    </w:p>
    <w:p w:rsidR="00666D9F" w:rsidRPr="001F6421" w:rsidRDefault="00666D9F" w:rsidP="00CE5B9C">
      <w:pPr>
        <w:widowControl w:val="0"/>
        <w:autoSpaceDE w:val="0"/>
        <w:autoSpaceDN w:val="0"/>
        <w:adjustRightInd w:val="0"/>
        <w:spacing w:after="120"/>
        <w:ind w:firstLine="708"/>
        <w:jc w:val="both"/>
        <w:rPr>
          <w:color w:val="0070C0"/>
          <w:lang w:val="en-US"/>
        </w:rPr>
      </w:pPr>
    </w:p>
    <w:p w:rsidR="00666D9F" w:rsidRPr="001F6421" w:rsidRDefault="00666D9F" w:rsidP="007C69A5">
      <w:pPr>
        <w:jc w:val="both"/>
        <w:rPr>
          <w:color w:val="0070C0"/>
        </w:rPr>
      </w:pPr>
    </w:p>
    <w:p w:rsidR="00666D9F" w:rsidRPr="001F6421" w:rsidRDefault="00666D9F" w:rsidP="00CE5B9C">
      <w:pPr>
        <w:widowControl w:val="0"/>
        <w:autoSpaceDE w:val="0"/>
        <w:autoSpaceDN w:val="0"/>
        <w:adjustRightInd w:val="0"/>
        <w:spacing w:after="120"/>
        <w:ind w:firstLine="708"/>
        <w:jc w:val="both"/>
        <w:rPr>
          <w:color w:val="0070C0"/>
          <w:lang w:val="en-US"/>
        </w:rPr>
      </w:pPr>
    </w:p>
    <w:p w:rsidR="00666D9F" w:rsidRPr="00390F7A" w:rsidRDefault="00666D9F" w:rsidP="00EC1776">
      <w:pPr>
        <w:keepNext/>
        <w:jc w:val="center"/>
        <w:outlineLvl w:val="0"/>
        <w:rPr>
          <w:b/>
        </w:rPr>
      </w:pPr>
      <w:bookmarkStart w:id="299" w:name="_Toc136597755"/>
      <w:bookmarkStart w:id="300" w:name="_Toc136601658"/>
      <w:bookmarkStart w:id="301" w:name="_Toc167181042"/>
      <w:bookmarkStart w:id="302" w:name="_Toc324863437"/>
      <w:r w:rsidRPr="001F6421">
        <w:rPr>
          <w:color w:val="0070C0"/>
        </w:rPr>
        <w:br w:type="page"/>
      </w:r>
      <w:bookmarkStart w:id="303" w:name="_Toc462146136"/>
      <w:r w:rsidRPr="00390F7A">
        <w:rPr>
          <w:b/>
        </w:rPr>
        <w:lastRenderedPageBreak/>
        <w:t xml:space="preserve">III. </w:t>
      </w:r>
      <w:r w:rsidR="00666737" w:rsidRPr="00390F7A">
        <w:rPr>
          <w:b/>
        </w:rPr>
        <w:t>ДЪРЖАВЕН БЮДЖЕТ, БЮДЖЕТИ НА ОБЩИНИТЕ</w:t>
      </w:r>
      <w:r w:rsidR="00EC1776" w:rsidRPr="00390F7A">
        <w:rPr>
          <w:b/>
        </w:rPr>
        <w:t>, НА СОЦИАЛНООСИГУРИТЕЛНИТЕ ФОНДОВЕ</w:t>
      </w:r>
      <w:r w:rsidR="00666737" w:rsidRPr="00390F7A">
        <w:rPr>
          <w:b/>
        </w:rPr>
        <w:t xml:space="preserve"> И БЮДЖЕТИ ПО </w:t>
      </w:r>
      <w:r w:rsidR="001E76AA">
        <w:rPr>
          <w:b/>
        </w:rPr>
        <w:t>ЧЛ</w:t>
      </w:r>
      <w:r w:rsidR="00666737" w:rsidRPr="00390F7A">
        <w:rPr>
          <w:b/>
        </w:rPr>
        <w:t xml:space="preserve">. 13, </w:t>
      </w:r>
      <w:r w:rsidR="001E76AA">
        <w:rPr>
          <w:b/>
        </w:rPr>
        <w:t>АЛ</w:t>
      </w:r>
      <w:r w:rsidR="00666737" w:rsidRPr="00390F7A">
        <w:rPr>
          <w:b/>
        </w:rPr>
        <w:t xml:space="preserve">. 3 и </w:t>
      </w:r>
      <w:r w:rsidR="001E76AA">
        <w:rPr>
          <w:b/>
        </w:rPr>
        <w:t>АЛ</w:t>
      </w:r>
      <w:r w:rsidR="00666737" w:rsidRPr="00390F7A">
        <w:rPr>
          <w:b/>
        </w:rPr>
        <w:t>. 4 НА ЗАКОНА ЗА ПУБЛИЧНИТЕ ФИНАНСИ</w:t>
      </w:r>
      <w:bookmarkEnd w:id="299"/>
      <w:bookmarkEnd w:id="300"/>
      <w:bookmarkEnd w:id="301"/>
      <w:bookmarkEnd w:id="302"/>
      <w:bookmarkEnd w:id="303"/>
    </w:p>
    <w:p w:rsidR="00666D9F" w:rsidRPr="001F6421" w:rsidRDefault="00666D9F" w:rsidP="00FB2174">
      <w:pPr>
        <w:pStyle w:val="Header"/>
        <w:tabs>
          <w:tab w:val="clear" w:pos="4153"/>
          <w:tab w:val="clear" w:pos="8306"/>
          <w:tab w:val="left" w:pos="720"/>
          <w:tab w:val="left" w:pos="969"/>
        </w:tabs>
        <w:ind w:right="57" w:firstLine="540"/>
        <w:jc w:val="both"/>
        <w:rPr>
          <w:color w:val="0070C0"/>
          <w:highlight w:val="yellow"/>
        </w:rPr>
      </w:pPr>
    </w:p>
    <w:p w:rsidR="00621B56" w:rsidRPr="00390F7A" w:rsidRDefault="00621B56" w:rsidP="00781B85">
      <w:pPr>
        <w:pStyle w:val="Heading2"/>
        <w:numPr>
          <w:ilvl w:val="1"/>
          <w:numId w:val="7"/>
        </w:numPr>
        <w:rPr>
          <w:rFonts w:ascii="Times New Roman" w:hAnsi="Times New Roman" w:cs="Times New Roman"/>
          <w:i w:val="0"/>
          <w:iCs w:val="0"/>
          <w:sz w:val="24"/>
        </w:rPr>
      </w:pPr>
      <w:bookmarkStart w:id="304" w:name="_Toc393728089"/>
      <w:bookmarkStart w:id="305" w:name="_Toc462146137"/>
      <w:r w:rsidRPr="00390F7A">
        <w:rPr>
          <w:rFonts w:ascii="Times New Roman" w:hAnsi="Times New Roman" w:cs="Times New Roman"/>
          <w:i w:val="0"/>
          <w:iCs w:val="0"/>
          <w:sz w:val="24"/>
        </w:rPr>
        <w:t>Държавен бюджет</w:t>
      </w:r>
      <w:bookmarkEnd w:id="304"/>
      <w:bookmarkEnd w:id="305"/>
    </w:p>
    <w:p w:rsidR="00621B56" w:rsidRPr="00390F7A" w:rsidRDefault="00621B56" w:rsidP="00621B56">
      <w:pPr>
        <w:rPr>
          <w:b/>
          <w:sz w:val="12"/>
          <w:szCs w:val="12"/>
        </w:rPr>
      </w:pPr>
    </w:p>
    <w:p w:rsidR="00621B56" w:rsidRPr="00390F7A" w:rsidRDefault="00621B56" w:rsidP="000766F5">
      <w:pPr>
        <w:numPr>
          <w:ilvl w:val="0"/>
          <w:numId w:val="1"/>
        </w:numPr>
        <w:rPr>
          <w:b/>
        </w:rPr>
      </w:pPr>
      <w:r w:rsidRPr="00390F7A">
        <w:rPr>
          <w:b/>
        </w:rPr>
        <w:t>Основни параметри на изпълнението на държавния бюджет за 201</w:t>
      </w:r>
      <w:r w:rsidR="00390F7A">
        <w:rPr>
          <w:b/>
        </w:rPr>
        <w:t>5</w:t>
      </w:r>
      <w:r w:rsidRPr="00390F7A">
        <w:rPr>
          <w:b/>
        </w:rPr>
        <w:t xml:space="preserve"> г.</w:t>
      </w:r>
    </w:p>
    <w:p w:rsidR="00621B56" w:rsidRPr="001F6421" w:rsidRDefault="00621B56" w:rsidP="00621B56">
      <w:pPr>
        <w:rPr>
          <w:b/>
          <w:color w:val="0070C0"/>
        </w:rPr>
      </w:pPr>
    </w:p>
    <w:p w:rsidR="00390F7A" w:rsidRDefault="00390F7A" w:rsidP="00390F7A">
      <w:pPr>
        <w:ind w:firstLine="540"/>
        <w:jc w:val="both"/>
      </w:pPr>
      <w:bookmarkStart w:id="306" w:name="_Toc324863439"/>
      <w:bookmarkStart w:id="307" w:name="_Toc136597758"/>
      <w:bookmarkStart w:id="308" w:name="_Toc136601661"/>
      <w:bookmarkStart w:id="309" w:name="_Toc136597763"/>
      <w:bookmarkStart w:id="310" w:name="_Toc136601666"/>
      <w:r>
        <w:t>Изпълнението на основните показатели на държавния бюджет на база на отчета за касовото изпълнение към 31.12.2015 г., съпоставено с предходната година и програмата, е както следва:</w:t>
      </w:r>
    </w:p>
    <w:p w:rsidR="00390F7A" w:rsidRDefault="00390F7A" w:rsidP="00390F7A">
      <w:pPr>
        <w:jc w:val="both"/>
        <w:rPr>
          <w:color w:val="0070C0"/>
          <w:sz w:val="16"/>
          <w:szCs w:val="16"/>
        </w:rPr>
      </w:pPr>
    </w:p>
    <w:p w:rsidR="00390F7A" w:rsidRDefault="00390F7A" w:rsidP="00390F7A">
      <w:pPr>
        <w:ind w:firstLine="540"/>
        <w:jc w:val="center"/>
        <w:rPr>
          <w:b/>
          <w:i/>
        </w:rPr>
      </w:pPr>
      <w:r>
        <w:rPr>
          <w:b/>
          <w:i/>
        </w:rPr>
        <w:t>Изпълнение на държавния бюджет за 2014 г. и 2015 г., и изпълнение на параметрите по ЗДБРБ за 2015 г.</w:t>
      </w:r>
    </w:p>
    <w:p w:rsidR="00621B56" w:rsidRPr="00390F7A" w:rsidRDefault="00621B56" w:rsidP="00621B56">
      <w:pPr>
        <w:jc w:val="both"/>
        <w:rPr>
          <w:b/>
          <w:sz w:val="18"/>
          <w:szCs w:val="18"/>
        </w:rPr>
      </w:pPr>
      <w:r w:rsidRPr="00390F7A">
        <w:rPr>
          <w:b/>
          <w:i/>
          <w:sz w:val="16"/>
          <w:szCs w:val="16"/>
        </w:rPr>
        <w:tab/>
      </w:r>
      <w:r w:rsidRPr="00390F7A">
        <w:rPr>
          <w:b/>
          <w:i/>
          <w:sz w:val="16"/>
          <w:szCs w:val="16"/>
        </w:rPr>
        <w:tab/>
      </w:r>
      <w:r w:rsidRPr="00390F7A">
        <w:rPr>
          <w:b/>
          <w:i/>
          <w:sz w:val="16"/>
          <w:szCs w:val="16"/>
        </w:rPr>
        <w:tab/>
      </w:r>
      <w:r w:rsidRPr="00390F7A">
        <w:rPr>
          <w:b/>
          <w:i/>
          <w:sz w:val="16"/>
          <w:szCs w:val="16"/>
        </w:rPr>
        <w:tab/>
      </w:r>
      <w:r w:rsidRPr="00390F7A">
        <w:rPr>
          <w:b/>
          <w:i/>
          <w:sz w:val="16"/>
          <w:szCs w:val="16"/>
        </w:rPr>
        <w:tab/>
      </w:r>
      <w:r w:rsidRPr="00390F7A">
        <w:rPr>
          <w:b/>
          <w:i/>
          <w:sz w:val="16"/>
          <w:szCs w:val="16"/>
        </w:rPr>
        <w:tab/>
      </w:r>
      <w:r w:rsidRPr="00390F7A">
        <w:rPr>
          <w:b/>
          <w:i/>
          <w:sz w:val="16"/>
          <w:szCs w:val="16"/>
        </w:rPr>
        <w:tab/>
      </w:r>
      <w:r w:rsidRPr="00390F7A">
        <w:rPr>
          <w:b/>
          <w:i/>
          <w:sz w:val="16"/>
          <w:szCs w:val="16"/>
        </w:rPr>
        <w:tab/>
      </w:r>
      <w:r w:rsidRPr="00390F7A">
        <w:rPr>
          <w:b/>
          <w:i/>
          <w:sz w:val="16"/>
          <w:szCs w:val="16"/>
        </w:rPr>
        <w:tab/>
      </w:r>
      <w:r w:rsidRPr="00390F7A">
        <w:rPr>
          <w:b/>
          <w:i/>
          <w:sz w:val="16"/>
          <w:szCs w:val="16"/>
        </w:rPr>
        <w:tab/>
      </w:r>
      <w:r w:rsidRPr="00390F7A">
        <w:rPr>
          <w:b/>
          <w:i/>
          <w:sz w:val="16"/>
          <w:szCs w:val="16"/>
        </w:rPr>
        <w:tab/>
      </w:r>
      <w:r w:rsidRPr="00390F7A">
        <w:rPr>
          <w:b/>
          <w:sz w:val="18"/>
          <w:szCs w:val="18"/>
        </w:rPr>
        <w:t>(млн. лв.)</w:t>
      </w:r>
    </w:p>
    <w:tbl>
      <w:tblPr>
        <w:tblW w:w="9070" w:type="dxa"/>
        <w:tblInd w:w="47" w:type="dxa"/>
        <w:tblCellMar>
          <w:left w:w="70" w:type="dxa"/>
          <w:right w:w="70" w:type="dxa"/>
        </w:tblCellMar>
        <w:tblLook w:val="04A0" w:firstRow="1" w:lastRow="0" w:firstColumn="1" w:lastColumn="0" w:noHBand="0" w:noVBand="1"/>
      </w:tblPr>
      <w:tblGrid>
        <w:gridCol w:w="3700"/>
        <w:gridCol w:w="943"/>
        <w:gridCol w:w="940"/>
        <w:gridCol w:w="943"/>
        <w:gridCol w:w="1324"/>
        <w:gridCol w:w="1220"/>
      </w:tblGrid>
      <w:tr w:rsidR="003E460E" w:rsidTr="003E460E">
        <w:trPr>
          <w:trHeight w:val="735"/>
        </w:trPr>
        <w:tc>
          <w:tcPr>
            <w:tcW w:w="3700" w:type="dxa"/>
            <w:tcBorders>
              <w:top w:val="double" w:sz="6" w:space="0" w:color="800000"/>
              <w:left w:val="double" w:sz="6" w:space="0" w:color="800000"/>
              <w:bottom w:val="single" w:sz="8" w:space="0" w:color="FFFFFF"/>
              <w:right w:val="single" w:sz="8" w:space="0" w:color="FFFFFF"/>
            </w:tcBorders>
            <w:shd w:val="clear" w:color="auto" w:fill="800000"/>
            <w:vAlign w:val="center"/>
            <w:hideMark/>
          </w:tcPr>
          <w:p w:rsidR="003E460E" w:rsidRDefault="003E460E">
            <w:pPr>
              <w:jc w:val="center"/>
              <w:rPr>
                <w:b/>
                <w:bCs/>
                <w:sz w:val="20"/>
                <w:szCs w:val="20"/>
              </w:rPr>
            </w:pPr>
            <w:r>
              <w:rPr>
                <w:b/>
                <w:bCs/>
                <w:sz w:val="20"/>
                <w:szCs w:val="20"/>
              </w:rPr>
              <w:t>ДЪРЖАВЕН БЮДЖЕТ</w:t>
            </w:r>
          </w:p>
        </w:tc>
        <w:tc>
          <w:tcPr>
            <w:tcW w:w="943" w:type="dxa"/>
            <w:tcBorders>
              <w:top w:val="double" w:sz="6" w:space="0" w:color="800000"/>
              <w:left w:val="nil"/>
              <w:bottom w:val="single" w:sz="8" w:space="0" w:color="FFFFFF"/>
              <w:right w:val="nil"/>
            </w:tcBorders>
            <w:shd w:val="clear" w:color="auto" w:fill="800000"/>
            <w:noWrap/>
            <w:vAlign w:val="center"/>
            <w:hideMark/>
          </w:tcPr>
          <w:p w:rsidR="003E460E" w:rsidRDefault="003E460E">
            <w:pPr>
              <w:jc w:val="center"/>
              <w:rPr>
                <w:b/>
                <w:bCs/>
                <w:sz w:val="20"/>
                <w:szCs w:val="20"/>
              </w:rPr>
            </w:pPr>
            <w:r>
              <w:rPr>
                <w:b/>
                <w:bCs/>
                <w:sz w:val="20"/>
                <w:szCs w:val="20"/>
              </w:rPr>
              <w:t>ОТЧЕТ</w:t>
            </w:r>
          </w:p>
          <w:p w:rsidR="003E460E" w:rsidRDefault="003E460E">
            <w:pPr>
              <w:jc w:val="center"/>
              <w:rPr>
                <w:b/>
                <w:bCs/>
                <w:sz w:val="20"/>
                <w:szCs w:val="20"/>
              </w:rPr>
            </w:pPr>
            <w:r>
              <w:rPr>
                <w:b/>
                <w:bCs/>
                <w:sz w:val="20"/>
                <w:szCs w:val="20"/>
              </w:rPr>
              <w:t>2014 г.</w:t>
            </w:r>
          </w:p>
        </w:tc>
        <w:tc>
          <w:tcPr>
            <w:tcW w:w="940" w:type="dxa"/>
            <w:tcBorders>
              <w:top w:val="double" w:sz="6" w:space="0" w:color="800000"/>
              <w:left w:val="single" w:sz="8" w:space="0" w:color="FFFFFF"/>
              <w:bottom w:val="single" w:sz="8" w:space="0" w:color="FFFFFF"/>
              <w:right w:val="nil"/>
            </w:tcBorders>
            <w:shd w:val="clear" w:color="auto" w:fill="800000"/>
            <w:noWrap/>
            <w:vAlign w:val="center"/>
            <w:hideMark/>
          </w:tcPr>
          <w:p w:rsidR="003E460E" w:rsidRDefault="003E460E">
            <w:pPr>
              <w:jc w:val="center"/>
              <w:rPr>
                <w:b/>
                <w:bCs/>
                <w:sz w:val="20"/>
                <w:szCs w:val="20"/>
              </w:rPr>
            </w:pPr>
            <w:r>
              <w:rPr>
                <w:b/>
                <w:bCs/>
                <w:sz w:val="20"/>
                <w:szCs w:val="20"/>
              </w:rPr>
              <w:t>ЗДБРБ</w:t>
            </w:r>
          </w:p>
          <w:p w:rsidR="003E460E" w:rsidRDefault="003E460E">
            <w:pPr>
              <w:jc w:val="center"/>
              <w:rPr>
                <w:b/>
                <w:bCs/>
                <w:sz w:val="20"/>
                <w:szCs w:val="20"/>
              </w:rPr>
            </w:pPr>
            <w:r>
              <w:rPr>
                <w:b/>
                <w:bCs/>
                <w:sz w:val="20"/>
                <w:szCs w:val="20"/>
              </w:rPr>
              <w:t>2015 г.</w:t>
            </w:r>
            <w:r w:rsidRPr="00D87054">
              <w:rPr>
                <w:vertAlign w:val="superscript"/>
                <w:lang w:eastAsia="en-US"/>
              </w:rPr>
              <w:t xml:space="preserve"> </w:t>
            </w:r>
            <w:r w:rsidRPr="003E460E">
              <w:rPr>
                <w:sz w:val="20"/>
                <w:szCs w:val="20"/>
                <w:vertAlign w:val="superscript"/>
                <w:lang w:eastAsia="en-US"/>
              </w:rPr>
              <w:footnoteReference w:id="27"/>
            </w:r>
          </w:p>
        </w:tc>
        <w:tc>
          <w:tcPr>
            <w:tcW w:w="943" w:type="dxa"/>
            <w:tcBorders>
              <w:top w:val="double" w:sz="6" w:space="0" w:color="800000"/>
              <w:left w:val="single" w:sz="8" w:space="0" w:color="FFFFFF"/>
              <w:bottom w:val="single" w:sz="8" w:space="0" w:color="FFFFFF"/>
              <w:right w:val="nil"/>
            </w:tcBorders>
            <w:shd w:val="clear" w:color="auto" w:fill="800000"/>
            <w:noWrap/>
            <w:vAlign w:val="center"/>
            <w:hideMark/>
          </w:tcPr>
          <w:p w:rsidR="003E460E" w:rsidRDefault="003E460E">
            <w:pPr>
              <w:jc w:val="center"/>
              <w:rPr>
                <w:b/>
                <w:bCs/>
                <w:sz w:val="20"/>
                <w:szCs w:val="20"/>
              </w:rPr>
            </w:pPr>
            <w:r>
              <w:rPr>
                <w:b/>
                <w:bCs/>
                <w:sz w:val="20"/>
                <w:szCs w:val="20"/>
              </w:rPr>
              <w:t>ОТЧЕТ</w:t>
            </w:r>
          </w:p>
          <w:p w:rsidR="003E460E" w:rsidRDefault="003E460E">
            <w:pPr>
              <w:jc w:val="center"/>
              <w:rPr>
                <w:b/>
                <w:bCs/>
                <w:sz w:val="20"/>
                <w:szCs w:val="20"/>
              </w:rPr>
            </w:pPr>
            <w:r>
              <w:rPr>
                <w:b/>
                <w:bCs/>
                <w:sz w:val="20"/>
                <w:szCs w:val="20"/>
              </w:rPr>
              <w:t>2015 г.</w:t>
            </w:r>
          </w:p>
        </w:tc>
        <w:tc>
          <w:tcPr>
            <w:tcW w:w="1324" w:type="dxa"/>
            <w:tcBorders>
              <w:top w:val="double" w:sz="6" w:space="0" w:color="800000"/>
              <w:left w:val="single" w:sz="8" w:space="0" w:color="FFFFFF"/>
              <w:bottom w:val="single" w:sz="8" w:space="0" w:color="FFFFFF"/>
              <w:right w:val="nil"/>
            </w:tcBorders>
            <w:shd w:val="clear" w:color="auto" w:fill="800000"/>
            <w:vAlign w:val="center"/>
            <w:hideMark/>
          </w:tcPr>
          <w:p w:rsidR="003E460E" w:rsidRDefault="003E460E">
            <w:pPr>
              <w:jc w:val="center"/>
              <w:rPr>
                <w:b/>
                <w:bCs/>
                <w:sz w:val="20"/>
                <w:szCs w:val="20"/>
              </w:rPr>
            </w:pPr>
            <w:r>
              <w:rPr>
                <w:b/>
                <w:bCs/>
                <w:sz w:val="20"/>
                <w:szCs w:val="20"/>
              </w:rPr>
              <w:t>Отчет 2015</w:t>
            </w:r>
            <w:r>
              <w:rPr>
                <w:b/>
                <w:bCs/>
                <w:sz w:val="20"/>
                <w:szCs w:val="20"/>
              </w:rPr>
              <w:br/>
              <w:t>към  ЗДБРБ</w:t>
            </w:r>
          </w:p>
        </w:tc>
        <w:tc>
          <w:tcPr>
            <w:tcW w:w="1220" w:type="dxa"/>
            <w:tcBorders>
              <w:top w:val="double" w:sz="6" w:space="0" w:color="800000"/>
              <w:left w:val="single" w:sz="8" w:space="0" w:color="FFFFFF"/>
              <w:bottom w:val="single" w:sz="8" w:space="0" w:color="FFFFFF"/>
              <w:right w:val="double" w:sz="6" w:space="0" w:color="800000"/>
            </w:tcBorders>
            <w:shd w:val="clear" w:color="auto" w:fill="800000"/>
            <w:vAlign w:val="center"/>
            <w:hideMark/>
          </w:tcPr>
          <w:p w:rsidR="003E460E" w:rsidRDefault="003E460E">
            <w:pPr>
              <w:jc w:val="center"/>
              <w:rPr>
                <w:b/>
                <w:bCs/>
                <w:sz w:val="20"/>
                <w:szCs w:val="20"/>
              </w:rPr>
            </w:pPr>
            <w:r w:rsidRPr="0027234E">
              <w:rPr>
                <w:b/>
                <w:bCs/>
                <w:sz w:val="20"/>
                <w:szCs w:val="20"/>
              </w:rPr>
              <w:t>Отчет 2015</w:t>
            </w:r>
            <w:r w:rsidRPr="0027234E">
              <w:rPr>
                <w:b/>
                <w:bCs/>
                <w:sz w:val="20"/>
                <w:szCs w:val="20"/>
              </w:rPr>
              <w:br/>
              <w:t>към 2014</w:t>
            </w:r>
          </w:p>
        </w:tc>
      </w:tr>
      <w:tr w:rsidR="003E460E" w:rsidTr="003E460E">
        <w:trPr>
          <w:trHeight w:val="186"/>
        </w:trPr>
        <w:tc>
          <w:tcPr>
            <w:tcW w:w="3700" w:type="dxa"/>
            <w:tcBorders>
              <w:top w:val="nil"/>
              <w:left w:val="double" w:sz="6" w:space="0" w:color="800000"/>
              <w:bottom w:val="double" w:sz="6" w:space="0" w:color="800000"/>
              <w:right w:val="single" w:sz="8" w:space="0" w:color="FFFFFF"/>
            </w:tcBorders>
            <w:shd w:val="clear" w:color="auto" w:fill="800000"/>
            <w:noWrap/>
            <w:vAlign w:val="bottom"/>
            <w:hideMark/>
          </w:tcPr>
          <w:p w:rsidR="003E460E" w:rsidRDefault="003E460E">
            <w:pPr>
              <w:jc w:val="center"/>
              <w:rPr>
                <w:b/>
                <w:bCs/>
                <w:sz w:val="14"/>
                <w:szCs w:val="14"/>
              </w:rPr>
            </w:pPr>
            <w:r>
              <w:rPr>
                <w:b/>
                <w:bCs/>
                <w:sz w:val="14"/>
                <w:szCs w:val="14"/>
              </w:rPr>
              <w:t>К. 1</w:t>
            </w:r>
          </w:p>
        </w:tc>
        <w:tc>
          <w:tcPr>
            <w:tcW w:w="943" w:type="dxa"/>
            <w:tcBorders>
              <w:top w:val="single" w:sz="8" w:space="0" w:color="FFFFFF"/>
              <w:left w:val="nil"/>
              <w:bottom w:val="nil"/>
              <w:right w:val="nil"/>
            </w:tcBorders>
            <w:shd w:val="clear" w:color="auto" w:fill="800000"/>
            <w:noWrap/>
            <w:vAlign w:val="bottom"/>
            <w:hideMark/>
          </w:tcPr>
          <w:p w:rsidR="003E460E" w:rsidRDefault="003E460E">
            <w:pPr>
              <w:jc w:val="center"/>
              <w:rPr>
                <w:b/>
                <w:bCs/>
                <w:sz w:val="14"/>
                <w:szCs w:val="14"/>
              </w:rPr>
            </w:pPr>
            <w:r>
              <w:rPr>
                <w:b/>
                <w:bCs/>
                <w:sz w:val="14"/>
                <w:szCs w:val="14"/>
              </w:rPr>
              <w:t>К. 2</w:t>
            </w:r>
          </w:p>
        </w:tc>
        <w:tc>
          <w:tcPr>
            <w:tcW w:w="940" w:type="dxa"/>
            <w:tcBorders>
              <w:top w:val="single" w:sz="8" w:space="0" w:color="FFFFFF"/>
              <w:left w:val="single" w:sz="8" w:space="0" w:color="FFFFFF"/>
              <w:bottom w:val="nil"/>
              <w:right w:val="single" w:sz="8" w:space="0" w:color="FFFFFF"/>
            </w:tcBorders>
            <w:shd w:val="clear" w:color="auto" w:fill="800000"/>
            <w:noWrap/>
            <w:vAlign w:val="bottom"/>
            <w:hideMark/>
          </w:tcPr>
          <w:p w:rsidR="003E460E" w:rsidRDefault="003E460E">
            <w:pPr>
              <w:jc w:val="center"/>
              <w:rPr>
                <w:b/>
                <w:bCs/>
                <w:sz w:val="14"/>
                <w:szCs w:val="14"/>
              </w:rPr>
            </w:pPr>
            <w:r>
              <w:rPr>
                <w:b/>
                <w:bCs/>
                <w:sz w:val="14"/>
                <w:szCs w:val="14"/>
              </w:rPr>
              <w:t>К. 3</w:t>
            </w:r>
          </w:p>
        </w:tc>
        <w:tc>
          <w:tcPr>
            <w:tcW w:w="943" w:type="dxa"/>
            <w:tcBorders>
              <w:top w:val="single" w:sz="8" w:space="0" w:color="FFFFFF"/>
              <w:left w:val="nil"/>
              <w:bottom w:val="nil"/>
              <w:right w:val="nil"/>
            </w:tcBorders>
            <w:shd w:val="clear" w:color="auto" w:fill="800000"/>
            <w:noWrap/>
            <w:vAlign w:val="bottom"/>
            <w:hideMark/>
          </w:tcPr>
          <w:p w:rsidR="003E460E" w:rsidRDefault="003E460E">
            <w:pPr>
              <w:jc w:val="center"/>
              <w:rPr>
                <w:b/>
                <w:bCs/>
                <w:sz w:val="14"/>
                <w:szCs w:val="14"/>
              </w:rPr>
            </w:pPr>
            <w:r>
              <w:rPr>
                <w:b/>
                <w:bCs/>
                <w:sz w:val="14"/>
                <w:szCs w:val="14"/>
              </w:rPr>
              <w:t>К. 4</w:t>
            </w:r>
          </w:p>
        </w:tc>
        <w:tc>
          <w:tcPr>
            <w:tcW w:w="1324" w:type="dxa"/>
            <w:tcBorders>
              <w:top w:val="single" w:sz="8" w:space="0" w:color="FFFFFF"/>
              <w:left w:val="single" w:sz="8" w:space="0" w:color="FFFFFF"/>
              <w:bottom w:val="nil"/>
              <w:right w:val="nil"/>
            </w:tcBorders>
            <w:shd w:val="clear" w:color="auto" w:fill="800000"/>
            <w:noWrap/>
            <w:vAlign w:val="bottom"/>
            <w:hideMark/>
          </w:tcPr>
          <w:p w:rsidR="003E460E" w:rsidRDefault="003E460E" w:rsidP="003E460E">
            <w:pPr>
              <w:jc w:val="center"/>
              <w:rPr>
                <w:b/>
                <w:bCs/>
                <w:sz w:val="14"/>
                <w:szCs w:val="14"/>
              </w:rPr>
            </w:pPr>
            <w:r>
              <w:rPr>
                <w:b/>
                <w:bCs/>
                <w:sz w:val="14"/>
                <w:szCs w:val="14"/>
              </w:rPr>
              <w:t>К. 5=</w:t>
            </w:r>
            <w:r>
              <w:rPr>
                <w:b/>
                <w:bCs/>
                <w:sz w:val="20"/>
                <w:szCs w:val="20"/>
              </w:rPr>
              <w:t xml:space="preserve"> к.4:к.3</w:t>
            </w:r>
          </w:p>
        </w:tc>
        <w:tc>
          <w:tcPr>
            <w:tcW w:w="1220" w:type="dxa"/>
            <w:tcBorders>
              <w:top w:val="single" w:sz="8" w:space="0" w:color="FFFFFF"/>
              <w:left w:val="single" w:sz="8" w:space="0" w:color="FFFFFF"/>
              <w:bottom w:val="nil"/>
              <w:right w:val="double" w:sz="6" w:space="0" w:color="800000"/>
            </w:tcBorders>
            <w:shd w:val="clear" w:color="auto" w:fill="800000"/>
            <w:noWrap/>
            <w:vAlign w:val="bottom"/>
            <w:hideMark/>
          </w:tcPr>
          <w:p w:rsidR="003E460E" w:rsidRDefault="003E460E" w:rsidP="003E460E">
            <w:pPr>
              <w:jc w:val="center"/>
              <w:rPr>
                <w:b/>
                <w:bCs/>
                <w:sz w:val="14"/>
                <w:szCs w:val="14"/>
              </w:rPr>
            </w:pPr>
            <w:r w:rsidRPr="0027234E">
              <w:rPr>
                <w:b/>
                <w:bCs/>
                <w:sz w:val="14"/>
                <w:szCs w:val="14"/>
              </w:rPr>
              <w:t xml:space="preserve">К. </w:t>
            </w:r>
            <w:r>
              <w:rPr>
                <w:b/>
                <w:bCs/>
                <w:sz w:val="14"/>
                <w:szCs w:val="14"/>
              </w:rPr>
              <w:t>6</w:t>
            </w:r>
            <w:r w:rsidRPr="0027234E">
              <w:rPr>
                <w:b/>
                <w:bCs/>
                <w:sz w:val="14"/>
                <w:szCs w:val="14"/>
              </w:rPr>
              <w:t>=</w:t>
            </w:r>
            <w:r w:rsidRPr="0027234E">
              <w:rPr>
                <w:b/>
                <w:bCs/>
                <w:sz w:val="20"/>
                <w:szCs w:val="20"/>
              </w:rPr>
              <w:t xml:space="preserve"> к.4:к.2</w:t>
            </w:r>
          </w:p>
        </w:tc>
      </w:tr>
      <w:tr w:rsidR="003E460E" w:rsidTr="003E460E">
        <w:trPr>
          <w:trHeight w:val="35"/>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b/>
                <w:bCs/>
                <w:sz w:val="18"/>
                <w:szCs w:val="18"/>
              </w:rPr>
            </w:pPr>
            <w:r>
              <w:rPr>
                <w:b/>
                <w:bCs/>
                <w:sz w:val="18"/>
                <w:szCs w:val="18"/>
              </w:rPr>
              <w:t xml:space="preserve">   ПРИХОДИ И ПОМОЩИ</w:t>
            </w:r>
          </w:p>
        </w:tc>
        <w:tc>
          <w:tcPr>
            <w:tcW w:w="943" w:type="dxa"/>
            <w:tcBorders>
              <w:top w:val="double" w:sz="6" w:space="0" w:color="800000"/>
              <w:left w:val="nil"/>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17 698,3</w:t>
            </w:r>
          </w:p>
        </w:tc>
        <w:tc>
          <w:tcPr>
            <w:tcW w:w="940" w:type="dxa"/>
            <w:tcBorders>
              <w:top w:val="double" w:sz="6" w:space="0" w:color="800000"/>
              <w:left w:val="nil"/>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19 080,4</w:t>
            </w:r>
          </w:p>
        </w:tc>
        <w:tc>
          <w:tcPr>
            <w:tcW w:w="943" w:type="dxa"/>
            <w:tcBorders>
              <w:top w:val="double" w:sz="6" w:space="0" w:color="800000"/>
              <w:left w:val="nil"/>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18 921,5</w:t>
            </w:r>
          </w:p>
        </w:tc>
        <w:tc>
          <w:tcPr>
            <w:tcW w:w="1324" w:type="dxa"/>
            <w:tcBorders>
              <w:top w:val="double" w:sz="6" w:space="0" w:color="800000"/>
              <w:left w:val="nil"/>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99,2%</w:t>
            </w:r>
          </w:p>
        </w:tc>
        <w:tc>
          <w:tcPr>
            <w:tcW w:w="1220" w:type="dxa"/>
            <w:tcBorders>
              <w:top w:val="double" w:sz="6" w:space="0" w:color="800000"/>
              <w:left w:val="nil"/>
              <w:bottom w:val="nil"/>
              <w:right w:val="double" w:sz="6" w:space="0" w:color="800000"/>
            </w:tcBorders>
            <w:shd w:val="clear" w:color="auto" w:fill="FFFFCC"/>
            <w:noWrap/>
            <w:vAlign w:val="bottom"/>
            <w:hideMark/>
          </w:tcPr>
          <w:p w:rsidR="003E460E" w:rsidRDefault="003E460E">
            <w:pPr>
              <w:jc w:val="right"/>
              <w:rPr>
                <w:b/>
                <w:bCs/>
                <w:sz w:val="18"/>
                <w:szCs w:val="18"/>
              </w:rPr>
            </w:pPr>
            <w:r w:rsidRPr="0027234E">
              <w:rPr>
                <w:b/>
                <w:bCs/>
                <w:sz w:val="18"/>
                <w:szCs w:val="18"/>
              </w:rPr>
              <w:t>106,9%</w:t>
            </w:r>
          </w:p>
        </w:tc>
      </w:tr>
      <w:tr w:rsidR="003E460E" w:rsidTr="003E460E">
        <w:trPr>
          <w:trHeight w:val="115"/>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sz w:val="18"/>
                <w:szCs w:val="18"/>
              </w:rPr>
            </w:pPr>
            <w:r>
              <w:rPr>
                <w:sz w:val="18"/>
                <w:szCs w:val="18"/>
              </w:rPr>
              <w:t xml:space="preserve">     Данъчни приходи</w:t>
            </w:r>
          </w:p>
        </w:tc>
        <w:tc>
          <w:tcPr>
            <w:tcW w:w="943" w:type="dxa"/>
            <w:shd w:val="clear" w:color="auto" w:fill="FFFFCC"/>
            <w:noWrap/>
            <w:vAlign w:val="bottom"/>
            <w:hideMark/>
          </w:tcPr>
          <w:p w:rsidR="003E460E" w:rsidRDefault="003E460E">
            <w:pPr>
              <w:jc w:val="right"/>
              <w:rPr>
                <w:bCs/>
                <w:sz w:val="18"/>
                <w:szCs w:val="18"/>
              </w:rPr>
            </w:pPr>
            <w:r>
              <w:rPr>
                <w:bCs/>
                <w:sz w:val="18"/>
                <w:szCs w:val="18"/>
              </w:rPr>
              <w:t>15 860,3</w:t>
            </w:r>
          </w:p>
        </w:tc>
        <w:tc>
          <w:tcPr>
            <w:tcW w:w="940" w:type="dxa"/>
            <w:tcBorders>
              <w:top w:val="nil"/>
              <w:left w:val="single" w:sz="8" w:space="0" w:color="800000"/>
              <w:bottom w:val="nil"/>
              <w:right w:val="nil"/>
            </w:tcBorders>
            <w:shd w:val="clear" w:color="auto" w:fill="FFFFCC"/>
            <w:noWrap/>
            <w:vAlign w:val="bottom"/>
            <w:hideMark/>
          </w:tcPr>
          <w:p w:rsidR="003E460E" w:rsidRDefault="003E460E">
            <w:pPr>
              <w:jc w:val="right"/>
              <w:rPr>
                <w:sz w:val="18"/>
                <w:szCs w:val="18"/>
              </w:rPr>
            </w:pPr>
            <w:r>
              <w:rPr>
                <w:sz w:val="18"/>
                <w:szCs w:val="18"/>
              </w:rPr>
              <w:t>17 324,5</w:t>
            </w:r>
          </w:p>
        </w:tc>
        <w:tc>
          <w:tcPr>
            <w:tcW w:w="943" w:type="dxa"/>
            <w:tcBorders>
              <w:top w:val="nil"/>
              <w:left w:val="single" w:sz="8" w:space="0" w:color="800000"/>
              <w:bottom w:val="nil"/>
              <w:right w:val="nil"/>
            </w:tcBorders>
            <w:shd w:val="clear" w:color="auto" w:fill="FFFFCC"/>
            <w:noWrap/>
            <w:vAlign w:val="bottom"/>
            <w:hideMark/>
          </w:tcPr>
          <w:p w:rsidR="003E460E" w:rsidRDefault="003E460E">
            <w:pPr>
              <w:jc w:val="right"/>
              <w:rPr>
                <w:bCs/>
                <w:sz w:val="18"/>
                <w:szCs w:val="18"/>
              </w:rPr>
            </w:pPr>
            <w:r>
              <w:rPr>
                <w:bCs/>
                <w:sz w:val="18"/>
                <w:szCs w:val="18"/>
              </w:rPr>
              <w:t>17 151,5</w:t>
            </w:r>
          </w:p>
        </w:tc>
        <w:tc>
          <w:tcPr>
            <w:tcW w:w="1324" w:type="dxa"/>
            <w:tcBorders>
              <w:top w:val="nil"/>
              <w:left w:val="single" w:sz="8" w:space="0" w:color="800000"/>
              <w:bottom w:val="nil"/>
              <w:right w:val="nil"/>
            </w:tcBorders>
            <w:shd w:val="clear" w:color="auto" w:fill="FFFFCC"/>
            <w:noWrap/>
            <w:vAlign w:val="bottom"/>
            <w:hideMark/>
          </w:tcPr>
          <w:p w:rsidR="003E460E" w:rsidRDefault="003E460E">
            <w:pPr>
              <w:jc w:val="right"/>
              <w:rPr>
                <w:sz w:val="18"/>
                <w:szCs w:val="18"/>
              </w:rPr>
            </w:pPr>
            <w:r>
              <w:rPr>
                <w:sz w:val="18"/>
                <w:szCs w:val="18"/>
              </w:rPr>
              <w:t>99,0%</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jc w:val="right"/>
              <w:rPr>
                <w:sz w:val="18"/>
                <w:szCs w:val="18"/>
              </w:rPr>
            </w:pPr>
            <w:r w:rsidRPr="0027234E">
              <w:rPr>
                <w:sz w:val="18"/>
                <w:szCs w:val="18"/>
              </w:rPr>
              <w:t>108,1%</w:t>
            </w:r>
          </w:p>
        </w:tc>
      </w:tr>
      <w:tr w:rsidR="003E460E" w:rsidTr="003E460E">
        <w:trPr>
          <w:trHeight w:val="80"/>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sz w:val="18"/>
                <w:szCs w:val="18"/>
              </w:rPr>
            </w:pPr>
            <w:r>
              <w:rPr>
                <w:sz w:val="18"/>
                <w:szCs w:val="18"/>
              </w:rPr>
              <w:t xml:space="preserve">     Неданъчни приходи</w:t>
            </w:r>
          </w:p>
        </w:tc>
        <w:tc>
          <w:tcPr>
            <w:tcW w:w="943" w:type="dxa"/>
            <w:shd w:val="clear" w:color="auto" w:fill="FFFFCC"/>
            <w:noWrap/>
            <w:vAlign w:val="bottom"/>
            <w:hideMark/>
          </w:tcPr>
          <w:p w:rsidR="003E460E" w:rsidRDefault="003E460E">
            <w:pPr>
              <w:jc w:val="right"/>
              <w:rPr>
                <w:bCs/>
                <w:sz w:val="18"/>
                <w:szCs w:val="18"/>
              </w:rPr>
            </w:pPr>
            <w:r>
              <w:rPr>
                <w:bCs/>
                <w:sz w:val="18"/>
                <w:szCs w:val="18"/>
              </w:rPr>
              <w:t>1 816,7</w:t>
            </w:r>
          </w:p>
        </w:tc>
        <w:tc>
          <w:tcPr>
            <w:tcW w:w="940" w:type="dxa"/>
            <w:tcBorders>
              <w:top w:val="nil"/>
              <w:left w:val="single" w:sz="8" w:space="0" w:color="800000"/>
              <w:bottom w:val="nil"/>
              <w:right w:val="single" w:sz="8" w:space="0" w:color="800000"/>
            </w:tcBorders>
            <w:shd w:val="clear" w:color="auto" w:fill="FFFFCC"/>
            <w:noWrap/>
            <w:vAlign w:val="bottom"/>
            <w:hideMark/>
          </w:tcPr>
          <w:p w:rsidR="003E460E" w:rsidRDefault="003E460E">
            <w:pPr>
              <w:jc w:val="right"/>
              <w:rPr>
                <w:sz w:val="18"/>
                <w:szCs w:val="18"/>
              </w:rPr>
            </w:pPr>
            <w:r>
              <w:rPr>
                <w:sz w:val="18"/>
                <w:szCs w:val="18"/>
              </w:rPr>
              <w:t>1 755,1</w:t>
            </w:r>
          </w:p>
        </w:tc>
        <w:tc>
          <w:tcPr>
            <w:tcW w:w="943" w:type="dxa"/>
            <w:shd w:val="clear" w:color="auto" w:fill="FFFFCC"/>
            <w:noWrap/>
            <w:vAlign w:val="bottom"/>
            <w:hideMark/>
          </w:tcPr>
          <w:p w:rsidR="003E460E" w:rsidRDefault="003E460E">
            <w:pPr>
              <w:jc w:val="right"/>
              <w:rPr>
                <w:bCs/>
                <w:sz w:val="18"/>
                <w:szCs w:val="18"/>
              </w:rPr>
            </w:pPr>
            <w:r>
              <w:rPr>
                <w:bCs/>
                <w:sz w:val="18"/>
                <w:szCs w:val="18"/>
              </w:rPr>
              <w:t>1 757,7</w:t>
            </w:r>
          </w:p>
        </w:tc>
        <w:tc>
          <w:tcPr>
            <w:tcW w:w="1324" w:type="dxa"/>
            <w:tcBorders>
              <w:top w:val="nil"/>
              <w:left w:val="single" w:sz="8" w:space="0" w:color="800000"/>
              <w:bottom w:val="nil"/>
              <w:right w:val="nil"/>
            </w:tcBorders>
            <w:shd w:val="clear" w:color="auto" w:fill="FFFFCC"/>
            <w:noWrap/>
            <w:vAlign w:val="bottom"/>
            <w:hideMark/>
          </w:tcPr>
          <w:p w:rsidR="003E460E" w:rsidRDefault="003E460E">
            <w:pPr>
              <w:jc w:val="right"/>
              <w:rPr>
                <w:sz w:val="18"/>
                <w:szCs w:val="18"/>
              </w:rPr>
            </w:pPr>
            <w:r>
              <w:rPr>
                <w:sz w:val="18"/>
                <w:szCs w:val="18"/>
              </w:rPr>
              <w:t>100,1%</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jc w:val="right"/>
              <w:rPr>
                <w:sz w:val="18"/>
                <w:szCs w:val="18"/>
              </w:rPr>
            </w:pPr>
            <w:r w:rsidRPr="0027234E">
              <w:rPr>
                <w:sz w:val="18"/>
                <w:szCs w:val="18"/>
              </w:rPr>
              <w:t>96,7%</w:t>
            </w:r>
          </w:p>
        </w:tc>
      </w:tr>
      <w:tr w:rsidR="003E460E" w:rsidTr="003E460E">
        <w:trPr>
          <w:trHeight w:val="80"/>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sz w:val="18"/>
                <w:szCs w:val="18"/>
              </w:rPr>
            </w:pPr>
            <w:r>
              <w:rPr>
                <w:sz w:val="18"/>
                <w:szCs w:val="18"/>
              </w:rPr>
              <w:t xml:space="preserve">     Помощи</w:t>
            </w:r>
          </w:p>
        </w:tc>
        <w:tc>
          <w:tcPr>
            <w:tcW w:w="943" w:type="dxa"/>
            <w:shd w:val="clear" w:color="auto" w:fill="FFFFCC"/>
            <w:noWrap/>
            <w:vAlign w:val="bottom"/>
            <w:hideMark/>
          </w:tcPr>
          <w:p w:rsidR="003E460E" w:rsidRDefault="003E460E">
            <w:pPr>
              <w:jc w:val="right"/>
              <w:rPr>
                <w:bCs/>
                <w:sz w:val="18"/>
                <w:szCs w:val="18"/>
              </w:rPr>
            </w:pPr>
            <w:r>
              <w:rPr>
                <w:bCs/>
                <w:sz w:val="18"/>
                <w:szCs w:val="18"/>
              </w:rPr>
              <w:t>21,2</w:t>
            </w:r>
          </w:p>
        </w:tc>
        <w:tc>
          <w:tcPr>
            <w:tcW w:w="940" w:type="dxa"/>
            <w:tcBorders>
              <w:top w:val="nil"/>
              <w:left w:val="single" w:sz="8" w:space="0" w:color="800000"/>
              <w:bottom w:val="nil"/>
              <w:right w:val="single" w:sz="8" w:space="0" w:color="800000"/>
            </w:tcBorders>
            <w:shd w:val="clear" w:color="auto" w:fill="FFFFCC"/>
            <w:noWrap/>
            <w:vAlign w:val="bottom"/>
            <w:hideMark/>
          </w:tcPr>
          <w:p w:rsidR="003E460E" w:rsidRDefault="003E460E">
            <w:pPr>
              <w:jc w:val="right"/>
              <w:rPr>
                <w:sz w:val="18"/>
                <w:szCs w:val="18"/>
              </w:rPr>
            </w:pPr>
            <w:r>
              <w:rPr>
                <w:sz w:val="18"/>
                <w:szCs w:val="18"/>
              </w:rPr>
              <w:t>0,7</w:t>
            </w:r>
          </w:p>
        </w:tc>
        <w:tc>
          <w:tcPr>
            <w:tcW w:w="943" w:type="dxa"/>
            <w:shd w:val="clear" w:color="auto" w:fill="FFFFCC"/>
            <w:noWrap/>
            <w:vAlign w:val="bottom"/>
            <w:hideMark/>
          </w:tcPr>
          <w:p w:rsidR="003E460E" w:rsidRDefault="003E460E">
            <w:pPr>
              <w:jc w:val="right"/>
              <w:rPr>
                <w:bCs/>
                <w:sz w:val="18"/>
                <w:szCs w:val="18"/>
              </w:rPr>
            </w:pPr>
            <w:r>
              <w:rPr>
                <w:bCs/>
                <w:sz w:val="18"/>
                <w:szCs w:val="18"/>
              </w:rPr>
              <w:t>12,3</w:t>
            </w:r>
          </w:p>
        </w:tc>
        <w:tc>
          <w:tcPr>
            <w:tcW w:w="1324" w:type="dxa"/>
            <w:tcBorders>
              <w:top w:val="nil"/>
              <w:left w:val="single" w:sz="8" w:space="0" w:color="800000"/>
              <w:bottom w:val="nil"/>
              <w:right w:val="nil"/>
            </w:tcBorders>
            <w:shd w:val="clear" w:color="auto" w:fill="FFFFCC"/>
            <w:noWrap/>
            <w:vAlign w:val="bottom"/>
            <w:hideMark/>
          </w:tcPr>
          <w:p w:rsidR="003E460E" w:rsidRDefault="003E460E">
            <w:pPr>
              <w:jc w:val="right"/>
              <w:rPr>
                <w:sz w:val="18"/>
                <w:szCs w:val="18"/>
              </w:rPr>
            </w:pP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rsidP="00E52F5A">
            <w:pPr>
              <w:jc w:val="right"/>
              <w:rPr>
                <w:sz w:val="18"/>
                <w:szCs w:val="18"/>
              </w:rPr>
            </w:pPr>
            <w:r w:rsidRPr="0027234E">
              <w:rPr>
                <w:sz w:val="18"/>
                <w:szCs w:val="18"/>
              </w:rPr>
              <w:t>57,9%</w:t>
            </w:r>
          </w:p>
        </w:tc>
      </w:tr>
      <w:tr w:rsidR="003E460E" w:rsidTr="003E460E">
        <w:trPr>
          <w:trHeight w:val="80"/>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sz w:val="4"/>
                <w:szCs w:val="4"/>
              </w:rPr>
            </w:pPr>
            <w:r>
              <w:rPr>
                <w:sz w:val="4"/>
                <w:szCs w:val="4"/>
              </w:rPr>
              <w:t> </w:t>
            </w:r>
          </w:p>
        </w:tc>
        <w:tc>
          <w:tcPr>
            <w:tcW w:w="943" w:type="dxa"/>
            <w:shd w:val="clear" w:color="auto" w:fill="FFFFCC"/>
            <w:noWrap/>
            <w:vAlign w:val="bottom"/>
            <w:hideMark/>
          </w:tcPr>
          <w:p w:rsidR="003E460E" w:rsidRDefault="003E460E">
            <w:pPr>
              <w:jc w:val="right"/>
              <w:rPr>
                <w:b/>
                <w:bCs/>
                <w:color w:val="0070C0"/>
                <w:sz w:val="18"/>
                <w:szCs w:val="18"/>
              </w:rPr>
            </w:pPr>
            <w:r>
              <w:rPr>
                <w:b/>
                <w:bCs/>
                <w:color w:val="0070C0"/>
                <w:sz w:val="18"/>
                <w:szCs w:val="18"/>
              </w:rPr>
              <w:t> </w:t>
            </w:r>
          </w:p>
        </w:tc>
        <w:tc>
          <w:tcPr>
            <w:tcW w:w="940" w:type="dxa"/>
            <w:tcBorders>
              <w:top w:val="nil"/>
              <w:left w:val="single" w:sz="8" w:space="0" w:color="800000"/>
              <w:bottom w:val="nil"/>
              <w:right w:val="nil"/>
            </w:tcBorders>
            <w:shd w:val="clear" w:color="auto" w:fill="FFFFCC"/>
            <w:noWrap/>
            <w:vAlign w:val="bottom"/>
            <w:hideMark/>
          </w:tcPr>
          <w:p w:rsidR="003E460E" w:rsidRDefault="003E460E">
            <w:pPr>
              <w:rPr>
                <w:sz w:val="18"/>
                <w:szCs w:val="18"/>
              </w:rPr>
            </w:pPr>
            <w:r>
              <w:rPr>
                <w:sz w:val="18"/>
                <w:szCs w:val="18"/>
              </w:rPr>
              <w:t> </w:t>
            </w:r>
          </w:p>
        </w:tc>
        <w:tc>
          <w:tcPr>
            <w:tcW w:w="943" w:type="dxa"/>
            <w:tcBorders>
              <w:top w:val="nil"/>
              <w:left w:val="single" w:sz="8" w:space="0" w:color="800000"/>
              <w:bottom w:val="nil"/>
              <w:right w:val="nil"/>
            </w:tcBorders>
            <w:shd w:val="clear" w:color="auto" w:fill="FFFFCC"/>
            <w:noWrap/>
            <w:vAlign w:val="bottom"/>
            <w:hideMark/>
          </w:tcPr>
          <w:p w:rsidR="003E460E" w:rsidRDefault="003E460E">
            <w:pPr>
              <w:jc w:val="right"/>
              <w:rPr>
                <w:b/>
                <w:bCs/>
                <w:sz w:val="18"/>
                <w:szCs w:val="18"/>
              </w:rPr>
            </w:pPr>
            <w:r>
              <w:rPr>
                <w:b/>
                <w:bCs/>
                <w:sz w:val="18"/>
                <w:szCs w:val="18"/>
              </w:rPr>
              <w:t> </w:t>
            </w:r>
          </w:p>
        </w:tc>
        <w:tc>
          <w:tcPr>
            <w:tcW w:w="1324" w:type="dxa"/>
            <w:tcBorders>
              <w:top w:val="nil"/>
              <w:left w:val="single" w:sz="8" w:space="0" w:color="800000"/>
              <w:bottom w:val="nil"/>
              <w:right w:val="nil"/>
            </w:tcBorders>
            <w:shd w:val="clear" w:color="auto" w:fill="FFFFCC"/>
            <w:noWrap/>
            <w:vAlign w:val="bottom"/>
            <w:hideMark/>
          </w:tcPr>
          <w:p w:rsidR="003E460E" w:rsidRDefault="003E460E">
            <w:pPr>
              <w:rPr>
                <w:sz w:val="18"/>
                <w:szCs w:val="18"/>
              </w:rPr>
            </w:pPr>
            <w:r>
              <w:rPr>
                <w:sz w:val="18"/>
                <w:szCs w:val="18"/>
              </w:rPr>
              <w:t> </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rPr>
                <w:sz w:val="18"/>
                <w:szCs w:val="18"/>
              </w:rPr>
            </w:pPr>
            <w:r w:rsidRPr="0027234E">
              <w:rPr>
                <w:sz w:val="18"/>
                <w:szCs w:val="18"/>
              </w:rPr>
              <w:t> </w:t>
            </w:r>
          </w:p>
        </w:tc>
      </w:tr>
      <w:tr w:rsidR="003E460E" w:rsidTr="003E460E">
        <w:trPr>
          <w:trHeight w:val="255"/>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ind w:left="133" w:hanging="133"/>
              <w:rPr>
                <w:b/>
                <w:bCs/>
                <w:sz w:val="18"/>
                <w:szCs w:val="18"/>
              </w:rPr>
            </w:pPr>
            <w:r>
              <w:rPr>
                <w:b/>
                <w:bCs/>
                <w:sz w:val="18"/>
                <w:szCs w:val="18"/>
              </w:rPr>
              <w:t xml:space="preserve">   РАЗХОДИ, ТРАНСФЕРИ И ВНОСКА В   БЮДЖЕТА НА ЕС</w:t>
            </w:r>
          </w:p>
        </w:tc>
        <w:tc>
          <w:tcPr>
            <w:tcW w:w="943" w:type="dxa"/>
            <w:shd w:val="clear" w:color="auto" w:fill="FFFFCC"/>
            <w:noWrap/>
            <w:vAlign w:val="bottom"/>
            <w:hideMark/>
          </w:tcPr>
          <w:p w:rsidR="003E460E" w:rsidRDefault="003E460E">
            <w:pPr>
              <w:jc w:val="right"/>
              <w:rPr>
                <w:b/>
                <w:bCs/>
                <w:sz w:val="18"/>
                <w:szCs w:val="18"/>
              </w:rPr>
            </w:pPr>
            <w:r>
              <w:rPr>
                <w:b/>
                <w:bCs/>
                <w:sz w:val="18"/>
                <w:szCs w:val="18"/>
              </w:rPr>
              <w:t>20 266,6</w:t>
            </w:r>
          </w:p>
        </w:tc>
        <w:tc>
          <w:tcPr>
            <w:tcW w:w="940" w:type="dxa"/>
            <w:tcBorders>
              <w:top w:val="nil"/>
              <w:left w:val="single" w:sz="8" w:space="0" w:color="800000"/>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21 355,8</w:t>
            </w:r>
          </w:p>
        </w:tc>
        <w:tc>
          <w:tcPr>
            <w:tcW w:w="943" w:type="dxa"/>
            <w:tcBorders>
              <w:top w:val="nil"/>
              <w:left w:val="nil"/>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20 945,9</w:t>
            </w:r>
          </w:p>
        </w:tc>
        <w:tc>
          <w:tcPr>
            <w:tcW w:w="1324" w:type="dxa"/>
            <w:shd w:val="clear" w:color="auto" w:fill="FFFFCC"/>
            <w:noWrap/>
            <w:vAlign w:val="bottom"/>
            <w:hideMark/>
          </w:tcPr>
          <w:p w:rsidR="003E460E" w:rsidRDefault="003E460E">
            <w:pPr>
              <w:jc w:val="right"/>
              <w:rPr>
                <w:b/>
                <w:bCs/>
                <w:sz w:val="18"/>
                <w:szCs w:val="18"/>
              </w:rPr>
            </w:pPr>
            <w:r>
              <w:rPr>
                <w:b/>
                <w:bCs/>
                <w:sz w:val="18"/>
                <w:szCs w:val="18"/>
              </w:rPr>
              <w:t>98,1%</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jc w:val="right"/>
              <w:rPr>
                <w:b/>
                <w:bCs/>
                <w:sz w:val="18"/>
                <w:szCs w:val="18"/>
              </w:rPr>
            </w:pPr>
            <w:r w:rsidRPr="0027234E">
              <w:rPr>
                <w:b/>
                <w:bCs/>
                <w:sz w:val="18"/>
                <w:szCs w:val="18"/>
              </w:rPr>
              <w:t>103,4%</w:t>
            </w:r>
          </w:p>
        </w:tc>
      </w:tr>
      <w:tr w:rsidR="003E460E" w:rsidTr="003E460E">
        <w:trPr>
          <w:trHeight w:val="100"/>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b/>
                <w:bCs/>
                <w:sz w:val="18"/>
                <w:szCs w:val="18"/>
              </w:rPr>
            </w:pPr>
            <w:r>
              <w:rPr>
                <w:b/>
                <w:bCs/>
                <w:sz w:val="18"/>
                <w:szCs w:val="18"/>
              </w:rPr>
              <w:t xml:space="preserve">    Разходи</w:t>
            </w:r>
          </w:p>
        </w:tc>
        <w:tc>
          <w:tcPr>
            <w:tcW w:w="943" w:type="dxa"/>
            <w:shd w:val="clear" w:color="auto" w:fill="FFFFCC"/>
            <w:noWrap/>
            <w:vAlign w:val="bottom"/>
            <w:hideMark/>
          </w:tcPr>
          <w:p w:rsidR="003E460E" w:rsidRDefault="003E460E">
            <w:pPr>
              <w:jc w:val="right"/>
              <w:rPr>
                <w:b/>
                <w:bCs/>
                <w:sz w:val="18"/>
                <w:szCs w:val="18"/>
              </w:rPr>
            </w:pPr>
            <w:r>
              <w:rPr>
                <w:b/>
                <w:bCs/>
                <w:sz w:val="18"/>
                <w:szCs w:val="18"/>
              </w:rPr>
              <w:t>8 503,1</w:t>
            </w:r>
          </w:p>
        </w:tc>
        <w:tc>
          <w:tcPr>
            <w:tcW w:w="940" w:type="dxa"/>
            <w:tcBorders>
              <w:top w:val="nil"/>
              <w:left w:val="single" w:sz="8" w:space="0" w:color="800000"/>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9 444,3</w:t>
            </w:r>
          </w:p>
        </w:tc>
        <w:tc>
          <w:tcPr>
            <w:tcW w:w="943" w:type="dxa"/>
            <w:tcBorders>
              <w:top w:val="nil"/>
              <w:left w:val="nil"/>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8 677,1</w:t>
            </w:r>
          </w:p>
        </w:tc>
        <w:tc>
          <w:tcPr>
            <w:tcW w:w="1324" w:type="dxa"/>
            <w:shd w:val="clear" w:color="auto" w:fill="FFFFCC"/>
            <w:noWrap/>
            <w:vAlign w:val="bottom"/>
            <w:hideMark/>
          </w:tcPr>
          <w:p w:rsidR="003E460E" w:rsidRDefault="003E460E">
            <w:pPr>
              <w:jc w:val="right"/>
              <w:rPr>
                <w:b/>
                <w:bCs/>
                <w:sz w:val="18"/>
                <w:szCs w:val="18"/>
              </w:rPr>
            </w:pPr>
            <w:r>
              <w:rPr>
                <w:b/>
                <w:bCs/>
                <w:sz w:val="18"/>
                <w:szCs w:val="18"/>
              </w:rPr>
              <w:t>91,9%</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jc w:val="right"/>
              <w:rPr>
                <w:b/>
                <w:bCs/>
                <w:sz w:val="18"/>
                <w:szCs w:val="18"/>
              </w:rPr>
            </w:pPr>
            <w:r w:rsidRPr="0027234E">
              <w:rPr>
                <w:b/>
                <w:bCs/>
                <w:sz w:val="18"/>
                <w:szCs w:val="18"/>
              </w:rPr>
              <w:t>102,0%</w:t>
            </w:r>
          </w:p>
        </w:tc>
      </w:tr>
      <w:tr w:rsidR="003E460E" w:rsidTr="003E460E">
        <w:trPr>
          <w:trHeight w:val="208"/>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sz w:val="18"/>
                <w:szCs w:val="18"/>
              </w:rPr>
            </w:pPr>
            <w:r>
              <w:rPr>
                <w:sz w:val="18"/>
                <w:szCs w:val="18"/>
              </w:rPr>
              <w:t xml:space="preserve">     Текущи нелихвени разходи</w:t>
            </w:r>
          </w:p>
        </w:tc>
        <w:tc>
          <w:tcPr>
            <w:tcW w:w="943" w:type="dxa"/>
            <w:shd w:val="clear" w:color="auto" w:fill="FFFFCC"/>
            <w:noWrap/>
            <w:vAlign w:val="bottom"/>
            <w:hideMark/>
          </w:tcPr>
          <w:p w:rsidR="003E460E" w:rsidRDefault="003E460E">
            <w:pPr>
              <w:jc w:val="right"/>
              <w:rPr>
                <w:bCs/>
                <w:sz w:val="18"/>
                <w:szCs w:val="18"/>
              </w:rPr>
            </w:pPr>
            <w:r>
              <w:rPr>
                <w:bCs/>
                <w:sz w:val="18"/>
                <w:szCs w:val="18"/>
              </w:rPr>
              <w:t>7 330,0</w:t>
            </w:r>
          </w:p>
        </w:tc>
        <w:tc>
          <w:tcPr>
            <w:tcW w:w="940" w:type="dxa"/>
            <w:tcBorders>
              <w:top w:val="nil"/>
              <w:left w:val="single" w:sz="8" w:space="0" w:color="800000"/>
              <w:bottom w:val="nil"/>
              <w:right w:val="nil"/>
            </w:tcBorders>
            <w:shd w:val="clear" w:color="auto" w:fill="FFFFCC"/>
            <w:noWrap/>
            <w:vAlign w:val="bottom"/>
            <w:hideMark/>
          </w:tcPr>
          <w:p w:rsidR="003E460E" w:rsidRDefault="003E460E">
            <w:pPr>
              <w:jc w:val="right"/>
              <w:rPr>
                <w:sz w:val="18"/>
                <w:szCs w:val="18"/>
              </w:rPr>
            </w:pPr>
            <w:r>
              <w:rPr>
                <w:sz w:val="18"/>
                <w:szCs w:val="18"/>
              </w:rPr>
              <w:t>7 595,4</w:t>
            </w:r>
          </w:p>
        </w:tc>
        <w:tc>
          <w:tcPr>
            <w:tcW w:w="943" w:type="dxa"/>
            <w:tcBorders>
              <w:top w:val="nil"/>
              <w:left w:val="single" w:sz="8" w:space="0" w:color="800000"/>
              <w:bottom w:val="nil"/>
              <w:right w:val="nil"/>
            </w:tcBorders>
            <w:shd w:val="clear" w:color="auto" w:fill="FFFFCC"/>
            <w:noWrap/>
            <w:vAlign w:val="bottom"/>
            <w:hideMark/>
          </w:tcPr>
          <w:p w:rsidR="003E460E" w:rsidRDefault="003E460E">
            <w:pPr>
              <w:jc w:val="right"/>
              <w:rPr>
                <w:bCs/>
                <w:sz w:val="18"/>
                <w:szCs w:val="18"/>
              </w:rPr>
            </w:pPr>
            <w:r>
              <w:rPr>
                <w:bCs/>
                <w:sz w:val="18"/>
                <w:szCs w:val="18"/>
              </w:rPr>
              <w:t>7 365,2</w:t>
            </w:r>
          </w:p>
        </w:tc>
        <w:tc>
          <w:tcPr>
            <w:tcW w:w="1324" w:type="dxa"/>
            <w:tcBorders>
              <w:top w:val="nil"/>
              <w:left w:val="single" w:sz="8" w:space="0" w:color="800000"/>
              <w:bottom w:val="nil"/>
              <w:right w:val="nil"/>
            </w:tcBorders>
            <w:shd w:val="clear" w:color="auto" w:fill="FFFFCC"/>
            <w:noWrap/>
            <w:vAlign w:val="bottom"/>
            <w:hideMark/>
          </w:tcPr>
          <w:p w:rsidR="003E460E" w:rsidRDefault="003E460E">
            <w:pPr>
              <w:jc w:val="right"/>
              <w:rPr>
                <w:sz w:val="18"/>
                <w:szCs w:val="18"/>
              </w:rPr>
            </w:pPr>
            <w:r>
              <w:rPr>
                <w:sz w:val="18"/>
                <w:szCs w:val="18"/>
              </w:rPr>
              <w:t>97,0%</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jc w:val="right"/>
              <w:rPr>
                <w:sz w:val="18"/>
                <w:szCs w:val="18"/>
              </w:rPr>
            </w:pPr>
            <w:r w:rsidRPr="0027234E">
              <w:rPr>
                <w:sz w:val="18"/>
                <w:szCs w:val="18"/>
              </w:rPr>
              <w:t>100,5%</w:t>
            </w:r>
          </w:p>
        </w:tc>
      </w:tr>
      <w:tr w:rsidR="003E460E" w:rsidTr="003E460E">
        <w:trPr>
          <w:trHeight w:val="179"/>
        </w:trPr>
        <w:tc>
          <w:tcPr>
            <w:tcW w:w="3700" w:type="dxa"/>
            <w:tcBorders>
              <w:top w:val="nil"/>
              <w:left w:val="double" w:sz="6" w:space="0" w:color="800000"/>
              <w:bottom w:val="nil"/>
              <w:right w:val="nil"/>
            </w:tcBorders>
            <w:shd w:val="clear" w:color="auto" w:fill="FFFFCC"/>
            <w:noWrap/>
            <w:vAlign w:val="bottom"/>
            <w:hideMark/>
          </w:tcPr>
          <w:p w:rsidR="003E460E" w:rsidRDefault="003E460E">
            <w:pPr>
              <w:rPr>
                <w:sz w:val="20"/>
                <w:szCs w:val="20"/>
              </w:rPr>
            </w:pPr>
            <w:r>
              <w:rPr>
                <w:sz w:val="20"/>
                <w:szCs w:val="20"/>
              </w:rPr>
              <w:t xml:space="preserve">     Капиталови разходи</w:t>
            </w:r>
          </w:p>
        </w:tc>
        <w:tc>
          <w:tcPr>
            <w:tcW w:w="943" w:type="dxa"/>
            <w:tcBorders>
              <w:top w:val="nil"/>
              <w:left w:val="single" w:sz="8" w:space="0" w:color="800000"/>
              <w:bottom w:val="nil"/>
              <w:right w:val="nil"/>
            </w:tcBorders>
            <w:shd w:val="clear" w:color="auto" w:fill="FFFFCC"/>
            <w:noWrap/>
            <w:vAlign w:val="bottom"/>
            <w:hideMark/>
          </w:tcPr>
          <w:p w:rsidR="003E460E" w:rsidRDefault="003E460E">
            <w:pPr>
              <w:jc w:val="right"/>
              <w:rPr>
                <w:bCs/>
                <w:sz w:val="18"/>
                <w:szCs w:val="18"/>
              </w:rPr>
            </w:pPr>
            <w:r>
              <w:rPr>
                <w:bCs/>
                <w:sz w:val="18"/>
                <w:szCs w:val="18"/>
              </w:rPr>
              <w:t>631,4</w:t>
            </w:r>
          </w:p>
        </w:tc>
        <w:tc>
          <w:tcPr>
            <w:tcW w:w="940" w:type="dxa"/>
            <w:tcBorders>
              <w:top w:val="nil"/>
              <w:left w:val="single" w:sz="8" w:space="0" w:color="800000"/>
              <w:bottom w:val="nil"/>
              <w:right w:val="nil"/>
            </w:tcBorders>
            <w:shd w:val="clear" w:color="auto" w:fill="FFFFCC"/>
            <w:noWrap/>
            <w:vAlign w:val="bottom"/>
            <w:hideMark/>
          </w:tcPr>
          <w:p w:rsidR="003E460E" w:rsidRDefault="003E460E">
            <w:pPr>
              <w:jc w:val="right"/>
              <w:rPr>
                <w:sz w:val="18"/>
                <w:szCs w:val="18"/>
              </w:rPr>
            </w:pPr>
            <w:r>
              <w:rPr>
                <w:sz w:val="18"/>
                <w:szCs w:val="18"/>
              </w:rPr>
              <w:t>1 002,9</w:t>
            </w:r>
          </w:p>
        </w:tc>
        <w:tc>
          <w:tcPr>
            <w:tcW w:w="943" w:type="dxa"/>
            <w:tcBorders>
              <w:top w:val="nil"/>
              <w:left w:val="single" w:sz="8" w:space="0" w:color="800000"/>
              <w:bottom w:val="nil"/>
              <w:right w:val="nil"/>
            </w:tcBorders>
            <w:shd w:val="clear" w:color="auto" w:fill="FFFFCC"/>
            <w:noWrap/>
            <w:vAlign w:val="bottom"/>
            <w:hideMark/>
          </w:tcPr>
          <w:p w:rsidR="003E460E" w:rsidRDefault="003E460E">
            <w:pPr>
              <w:jc w:val="right"/>
              <w:rPr>
                <w:bCs/>
                <w:sz w:val="18"/>
                <w:szCs w:val="18"/>
              </w:rPr>
            </w:pPr>
            <w:r>
              <w:rPr>
                <w:bCs/>
                <w:sz w:val="18"/>
                <w:szCs w:val="18"/>
              </w:rPr>
              <w:t>657,0</w:t>
            </w:r>
          </w:p>
        </w:tc>
        <w:tc>
          <w:tcPr>
            <w:tcW w:w="1324" w:type="dxa"/>
            <w:tcBorders>
              <w:top w:val="nil"/>
              <w:left w:val="single" w:sz="8" w:space="0" w:color="800000"/>
              <w:bottom w:val="nil"/>
              <w:right w:val="nil"/>
            </w:tcBorders>
            <w:shd w:val="clear" w:color="auto" w:fill="FFFFCC"/>
            <w:noWrap/>
            <w:vAlign w:val="bottom"/>
            <w:hideMark/>
          </w:tcPr>
          <w:p w:rsidR="003E460E" w:rsidRDefault="003E460E">
            <w:pPr>
              <w:jc w:val="right"/>
              <w:rPr>
                <w:sz w:val="18"/>
                <w:szCs w:val="18"/>
              </w:rPr>
            </w:pPr>
            <w:r>
              <w:rPr>
                <w:sz w:val="18"/>
                <w:szCs w:val="18"/>
              </w:rPr>
              <w:t>65,5%</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jc w:val="right"/>
              <w:rPr>
                <w:sz w:val="18"/>
                <w:szCs w:val="18"/>
              </w:rPr>
            </w:pPr>
            <w:r w:rsidRPr="0027234E">
              <w:rPr>
                <w:sz w:val="18"/>
                <w:szCs w:val="18"/>
              </w:rPr>
              <w:t>104,1%</w:t>
            </w:r>
          </w:p>
        </w:tc>
      </w:tr>
      <w:tr w:rsidR="003E460E" w:rsidTr="003E460E">
        <w:trPr>
          <w:trHeight w:val="92"/>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sz w:val="18"/>
                <w:szCs w:val="18"/>
              </w:rPr>
            </w:pPr>
            <w:r>
              <w:rPr>
                <w:sz w:val="18"/>
                <w:szCs w:val="18"/>
              </w:rPr>
              <w:t xml:space="preserve">     Лихвени разходи</w:t>
            </w:r>
          </w:p>
        </w:tc>
        <w:tc>
          <w:tcPr>
            <w:tcW w:w="943" w:type="dxa"/>
            <w:tcBorders>
              <w:top w:val="nil"/>
              <w:left w:val="nil"/>
              <w:bottom w:val="nil"/>
              <w:right w:val="single" w:sz="8" w:space="0" w:color="800000"/>
            </w:tcBorders>
            <w:shd w:val="clear" w:color="auto" w:fill="FFFFCC"/>
            <w:noWrap/>
            <w:vAlign w:val="bottom"/>
            <w:hideMark/>
          </w:tcPr>
          <w:p w:rsidR="003E460E" w:rsidRDefault="003E460E">
            <w:pPr>
              <w:jc w:val="right"/>
              <w:rPr>
                <w:bCs/>
                <w:sz w:val="18"/>
                <w:szCs w:val="18"/>
              </w:rPr>
            </w:pPr>
            <w:r>
              <w:rPr>
                <w:bCs/>
                <w:sz w:val="18"/>
                <w:szCs w:val="18"/>
              </w:rPr>
              <w:t>541,8</w:t>
            </w:r>
          </w:p>
        </w:tc>
        <w:tc>
          <w:tcPr>
            <w:tcW w:w="940" w:type="dxa"/>
            <w:shd w:val="clear" w:color="auto" w:fill="FFFFCC"/>
            <w:noWrap/>
            <w:vAlign w:val="bottom"/>
            <w:hideMark/>
          </w:tcPr>
          <w:p w:rsidR="003E460E" w:rsidRDefault="003E460E">
            <w:pPr>
              <w:jc w:val="right"/>
              <w:rPr>
                <w:sz w:val="18"/>
                <w:szCs w:val="18"/>
              </w:rPr>
            </w:pPr>
            <w:r>
              <w:rPr>
                <w:sz w:val="18"/>
                <w:szCs w:val="18"/>
              </w:rPr>
              <w:t>846,0</w:t>
            </w:r>
          </w:p>
        </w:tc>
        <w:tc>
          <w:tcPr>
            <w:tcW w:w="943" w:type="dxa"/>
            <w:tcBorders>
              <w:top w:val="nil"/>
              <w:left w:val="single" w:sz="8" w:space="0" w:color="800000"/>
              <w:bottom w:val="nil"/>
              <w:right w:val="nil"/>
            </w:tcBorders>
            <w:shd w:val="clear" w:color="auto" w:fill="FFFFCC"/>
            <w:noWrap/>
            <w:vAlign w:val="bottom"/>
            <w:hideMark/>
          </w:tcPr>
          <w:p w:rsidR="003E460E" w:rsidRDefault="003E460E">
            <w:pPr>
              <w:jc w:val="center"/>
              <w:rPr>
                <w:bCs/>
                <w:sz w:val="18"/>
                <w:szCs w:val="18"/>
              </w:rPr>
            </w:pPr>
            <w:r>
              <w:rPr>
                <w:bCs/>
                <w:sz w:val="18"/>
                <w:szCs w:val="18"/>
              </w:rPr>
              <w:t xml:space="preserve">        654,9</w:t>
            </w:r>
          </w:p>
        </w:tc>
        <w:tc>
          <w:tcPr>
            <w:tcW w:w="1324" w:type="dxa"/>
            <w:tcBorders>
              <w:top w:val="nil"/>
              <w:left w:val="single" w:sz="8" w:space="0" w:color="800000"/>
              <w:bottom w:val="nil"/>
              <w:right w:val="nil"/>
            </w:tcBorders>
            <w:shd w:val="clear" w:color="auto" w:fill="FFFFCC"/>
            <w:noWrap/>
            <w:vAlign w:val="bottom"/>
            <w:hideMark/>
          </w:tcPr>
          <w:p w:rsidR="003E460E" w:rsidRDefault="003E460E">
            <w:pPr>
              <w:jc w:val="right"/>
              <w:rPr>
                <w:sz w:val="18"/>
                <w:szCs w:val="18"/>
              </w:rPr>
            </w:pPr>
            <w:r>
              <w:rPr>
                <w:sz w:val="18"/>
                <w:szCs w:val="18"/>
              </w:rPr>
              <w:t>77,4%</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jc w:val="right"/>
              <w:rPr>
                <w:sz w:val="18"/>
                <w:szCs w:val="18"/>
              </w:rPr>
            </w:pPr>
            <w:r w:rsidRPr="0027234E">
              <w:rPr>
                <w:sz w:val="18"/>
                <w:szCs w:val="18"/>
              </w:rPr>
              <w:t>120,9%</w:t>
            </w:r>
          </w:p>
        </w:tc>
      </w:tr>
      <w:tr w:rsidR="003E460E" w:rsidTr="003E460E">
        <w:trPr>
          <w:trHeight w:val="80"/>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b/>
                <w:bCs/>
                <w:sz w:val="18"/>
                <w:szCs w:val="18"/>
              </w:rPr>
            </w:pPr>
            <w:r>
              <w:rPr>
                <w:b/>
                <w:bCs/>
                <w:sz w:val="18"/>
                <w:szCs w:val="18"/>
              </w:rPr>
              <w:t xml:space="preserve">    Трансфери</w:t>
            </w:r>
          </w:p>
        </w:tc>
        <w:tc>
          <w:tcPr>
            <w:tcW w:w="943" w:type="dxa"/>
            <w:shd w:val="clear" w:color="auto" w:fill="FFFFCC"/>
            <w:noWrap/>
            <w:vAlign w:val="bottom"/>
            <w:hideMark/>
          </w:tcPr>
          <w:p w:rsidR="003E460E" w:rsidRDefault="003E460E">
            <w:pPr>
              <w:jc w:val="right"/>
              <w:rPr>
                <w:b/>
                <w:bCs/>
                <w:sz w:val="18"/>
                <w:szCs w:val="18"/>
              </w:rPr>
            </w:pPr>
            <w:r>
              <w:rPr>
                <w:b/>
                <w:bCs/>
                <w:sz w:val="18"/>
                <w:szCs w:val="18"/>
              </w:rPr>
              <w:t>10 808,6</w:t>
            </w:r>
          </w:p>
        </w:tc>
        <w:tc>
          <w:tcPr>
            <w:tcW w:w="940" w:type="dxa"/>
            <w:tcBorders>
              <w:top w:val="nil"/>
              <w:left w:val="single" w:sz="8" w:space="0" w:color="800000"/>
              <w:bottom w:val="nil"/>
              <w:right w:val="nil"/>
            </w:tcBorders>
            <w:shd w:val="clear" w:color="auto" w:fill="FFFFCC"/>
            <w:noWrap/>
            <w:vAlign w:val="bottom"/>
            <w:hideMark/>
          </w:tcPr>
          <w:p w:rsidR="003E460E" w:rsidRDefault="003E460E">
            <w:pPr>
              <w:jc w:val="right"/>
              <w:rPr>
                <w:b/>
                <w:bCs/>
                <w:sz w:val="18"/>
                <w:szCs w:val="18"/>
              </w:rPr>
            </w:pPr>
            <w:r>
              <w:rPr>
                <w:b/>
                <w:bCs/>
                <w:sz w:val="18"/>
                <w:szCs w:val="18"/>
              </w:rPr>
              <w:t>10 931,6</w:t>
            </w:r>
          </w:p>
        </w:tc>
        <w:tc>
          <w:tcPr>
            <w:tcW w:w="943" w:type="dxa"/>
            <w:tcBorders>
              <w:top w:val="nil"/>
              <w:left w:val="single" w:sz="8" w:space="0" w:color="800000"/>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11 322,4</w:t>
            </w:r>
          </w:p>
        </w:tc>
        <w:tc>
          <w:tcPr>
            <w:tcW w:w="1324" w:type="dxa"/>
            <w:shd w:val="clear" w:color="auto" w:fill="FFFFCC"/>
            <w:noWrap/>
            <w:vAlign w:val="bottom"/>
            <w:hideMark/>
          </w:tcPr>
          <w:p w:rsidR="003E460E" w:rsidRDefault="003E460E">
            <w:pPr>
              <w:jc w:val="right"/>
              <w:rPr>
                <w:b/>
                <w:bCs/>
                <w:sz w:val="18"/>
                <w:szCs w:val="18"/>
              </w:rPr>
            </w:pPr>
            <w:r>
              <w:rPr>
                <w:b/>
                <w:bCs/>
                <w:sz w:val="18"/>
                <w:szCs w:val="18"/>
              </w:rPr>
              <w:t>103,6%</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jc w:val="right"/>
              <w:rPr>
                <w:b/>
                <w:bCs/>
                <w:sz w:val="18"/>
                <w:szCs w:val="18"/>
              </w:rPr>
            </w:pPr>
            <w:r w:rsidRPr="0027234E">
              <w:rPr>
                <w:b/>
                <w:bCs/>
                <w:sz w:val="18"/>
                <w:szCs w:val="18"/>
              </w:rPr>
              <w:t>104,8%</w:t>
            </w:r>
          </w:p>
        </w:tc>
      </w:tr>
      <w:tr w:rsidR="003E460E" w:rsidTr="003E460E">
        <w:trPr>
          <w:trHeight w:val="255"/>
        </w:trPr>
        <w:tc>
          <w:tcPr>
            <w:tcW w:w="3700" w:type="dxa"/>
            <w:tcBorders>
              <w:top w:val="nil"/>
              <w:left w:val="double" w:sz="6" w:space="0" w:color="800000"/>
              <w:bottom w:val="nil"/>
              <w:right w:val="single" w:sz="8" w:space="0" w:color="800000"/>
            </w:tcBorders>
            <w:shd w:val="clear" w:color="auto" w:fill="FFFFCC"/>
            <w:noWrap/>
            <w:vAlign w:val="bottom"/>
            <w:hideMark/>
          </w:tcPr>
          <w:p w:rsidR="003E460E" w:rsidRDefault="003E460E">
            <w:pPr>
              <w:rPr>
                <w:b/>
                <w:bCs/>
                <w:sz w:val="18"/>
                <w:szCs w:val="18"/>
              </w:rPr>
            </w:pPr>
            <w:r>
              <w:rPr>
                <w:b/>
                <w:bCs/>
                <w:sz w:val="18"/>
                <w:szCs w:val="18"/>
              </w:rPr>
              <w:t xml:space="preserve">    Вноска в бюджета на ЕС</w:t>
            </w:r>
          </w:p>
        </w:tc>
        <w:tc>
          <w:tcPr>
            <w:tcW w:w="943" w:type="dxa"/>
            <w:shd w:val="clear" w:color="auto" w:fill="FFFFCC"/>
            <w:noWrap/>
            <w:vAlign w:val="bottom"/>
            <w:hideMark/>
          </w:tcPr>
          <w:p w:rsidR="003E460E" w:rsidRDefault="003E460E">
            <w:pPr>
              <w:jc w:val="right"/>
              <w:rPr>
                <w:b/>
                <w:bCs/>
                <w:sz w:val="18"/>
                <w:szCs w:val="18"/>
              </w:rPr>
            </w:pPr>
            <w:r>
              <w:rPr>
                <w:b/>
                <w:bCs/>
                <w:sz w:val="18"/>
                <w:szCs w:val="18"/>
              </w:rPr>
              <w:t>954,9</w:t>
            </w:r>
          </w:p>
        </w:tc>
        <w:tc>
          <w:tcPr>
            <w:tcW w:w="940" w:type="dxa"/>
            <w:tcBorders>
              <w:top w:val="nil"/>
              <w:left w:val="single" w:sz="8" w:space="0" w:color="800000"/>
              <w:bottom w:val="nil"/>
              <w:right w:val="nil"/>
            </w:tcBorders>
            <w:shd w:val="clear" w:color="auto" w:fill="FFFFCC"/>
            <w:noWrap/>
            <w:vAlign w:val="bottom"/>
            <w:hideMark/>
          </w:tcPr>
          <w:p w:rsidR="003E460E" w:rsidRDefault="003E460E">
            <w:pPr>
              <w:jc w:val="right"/>
              <w:rPr>
                <w:b/>
                <w:bCs/>
                <w:sz w:val="18"/>
                <w:szCs w:val="18"/>
              </w:rPr>
            </w:pPr>
            <w:r>
              <w:rPr>
                <w:b/>
                <w:bCs/>
                <w:sz w:val="18"/>
                <w:szCs w:val="18"/>
              </w:rPr>
              <w:t>979,9</w:t>
            </w:r>
          </w:p>
        </w:tc>
        <w:tc>
          <w:tcPr>
            <w:tcW w:w="943" w:type="dxa"/>
            <w:tcBorders>
              <w:top w:val="nil"/>
              <w:left w:val="single" w:sz="8" w:space="0" w:color="800000"/>
              <w:bottom w:val="nil"/>
              <w:right w:val="single" w:sz="8" w:space="0" w:color="800000"/>
            </w:tcBorders>
            <w:shd w:val="clear" w:color="auto" w:fill="FFFFCC"/>
            <w:noWrap/>
            <w:vAlign w:val="bottom"/>
            <w:hideMark/>
          </w:tcPr>
          <w:p w:rsidR="003E460E" w:rsidRDefault="003E460E">
            <w:pPr>
              <w:jc w:val="right"/>
              <w:rPr>
                <w:b/>
                <w:bCs/>
                <w:sz w:val="18"/>
                <w:szCs w:val="18"/>
              </w:rPr>
            </w:pPr>
            <w:r>
              <w:rPr>
                <w:b/>
                <w:bCs/>
                <w:sz w:val="18"/>
                <w:szCs w:val="18"/>
              </w:rPr>
              <w:t>946,4</w:t>
            </w:r>
          </w:p>
        </w:tc>
        <w:tc>
          <w:tcPr>
            <w:tcW w:w="1324" w:type="dxa"/>
            <w:shd w:val="clear" w:color="auto" w:fill="FFFFCC"/>
            <w:noWrap/>
            <w:vAlign w:val="bottom"/>
            <w:hideMark/>
          </w:tcPr>
          <w:p w:rsidR="003E460E" w:rsidRDefault="003E460E">
            <w:pPr>
              <w:jc w:val="right"/>
              <w:rPr>
                <w:b/>
                <w:bCs/>
                <w:sz w:val="18"/>
                <w:szCs w:val="18"/>
              </w:rPr>
            </w:pPr>
            <w:r>
              <w:rPr>
                <w:b/>
                <w:bCs/>
                <w:sz w:val="18"/>
                <w:szCs w:val="18"/>
              </w:rPr>
              <w:t>96,6%</w:t>
            </w:r>
          </w:p>
        </w:tc>
        <w:tc>
          <w:tcPr>
            <w:tcW w:w="1220" w:type="dxa"/>
            <w:tcBorders>
              <w:top w:val="nil"/>
              <w:left w:val="single" w:sz="8" w:space="0" w:color="800000"/>
              <w:bottom w:val="nil"/>
              <w:right w:val="double" w:sz="6" w:space="0" w:color="800000"/>
            </w:tcBorders>
            <w:shd w:val="clear" w:color="auto" w:fill="FFFFCC"/>
            <w:noWrap/>
            <w:vAlign w:val="bottom"/>
            <w:hideMark/>
          </w:tcPr>
          <w:p w:rsidR="003E460E" w:rsidRDefault="003E460E">
            <w:pPr>
              <w:jc w:val="right"/>
              <w:rPr>
                <w:b/>
                <w:bCs/>
                <w:sz w:val="18"/>
                <w:szCs w:val="18"/>
              </w:rPr>
            </w:pPr>
            <w:r w:rsidRPr="0027234E">
              <w:rPr>
                <w:b/>
                <w:bCs/>
                <w:sz w:val="18"/>
                <w:szCs w:val="18"/>
              </w:rPr>
              <w:t>99,1%</w:t>
            </w:r>
          </w:p>
        </w:tc>
      </w:tr>
      <w:tr w:rsidR="00390F7A" w:rsidTr="003E460E">
        <w:trPr>
          <w:trHeight w:val="80"/>
        </w:trPr>
        <w:tc>
          <w:tcPr>
            <w:tcW w:w="3700" w:type="dxa"/>
            <w:tcBorders>
              <w:top w:val="nil"/>
              <w:left w:val="double" w:sz="6" w:space="0" w:color="800000"/>
              <w:bottom w:val="nil"/>
              <w:right w:val="single" w:sz="8" w:space="0" w:color="800000"/>
            </w:tcBorders>
            <w:shd w:val="clear" w:color="auto" w:fill="FFFFCC"/>
            <w:noWrap/>
            <w:vAlign w:val="bottom"/>
            <w:hideMark/>
          </w:tcPr>
          <w:p w:rsidR="00390F7A" w:rsidRDefault="00390F7A">
            <w:pPr>
              <w:rPr>
                <w:b/>
                <w:bCs/>
                <w:sz w:val="4"/>
                <w:szCs w:val="4"/>
              </w:rPr>
            </w:pPr>
            <w:r>
              <w:rPr>
                <w:b/>
                <w:bCs/>
                <w:sz w:val="4"/>
                <w:szCs w:val="4"/>
              </w:rPr>
              <w:t> </w:t>
            </w:r>
          </w:p>
        </w:tc>
        <w:tc>
          <w:tcPr>
            <w:tcW w:w="943" w:type="dxa"/>
            <w:shd w:val="clear" w:color="auto" w:fill="FFFFCC"/>
            <w:noWrap/>
            <w:vAlign w:val="bottom"/>
            <w:hideMark/>
          </w:tcPr>
          <w:p w:rsidR="00390F7A" w:rsidRDefault="00390F7A">
            <w:pPr>
              <w:jc w:val="right"/>
              <w:rPr>
                <w:b/>
                <w:bCs/>
                <w:sz w:val="18"/>
                <w:szCs w:val="18"/>
              </w:rPr>
            </w:pPr>
            <w:r>
              <w:rPr>
                <w:b/>
                <w:bCs/>
                <w:sz w:val="18"/>
                <w:szCs w:val="18"/>
              </w:rPr>
              <w:t> </w:t>
            </w:r>
          </w:p>
        </w:tc>
        <w:tc>
          <w:tcPr>
            <w:tcW w:w="940" w:type="dxa"/>
            <w:tcBorders>
              <w:top w:val="nil"/>
              <w:left w:val="single" w:sz="8" w:space="0" w:color="800000"/>
              <w:bottom w:val="nil"/>
              <w:right w:val="nil"/>
            </w:tcBorders>
            <w:shd w:val="clear" w:color="auto" w:fill="FFFFCC"/>
            <w:noWrap/>
            <w:vAlign w:val="bottom"/>
            <w:hideMark/>
          </w:tcPr>
          <w:p w:rsidR="00390F7A" w:rsidRDefault="00390F7A">
            <w:pPr>
              <w:rPr>
                <w:sz w:val="18"/>
                <w:szCs w:val="18"/>
              </w:rPr>
            </w:pPr>
            <w:r>
              <w:rPr>
                <w:sz w:val="18"/>
                <w:szCs w:val="18"/>
              </w:rPr>
              <w:t> </w:t>
            </w:r>
          </w:p>
        </w:tc>
        <w:tc>
          <w:tcPr>
            <w:tcW w:w="943" w:type="dxa"/>
            <w:tcBorders>
              <w:top w:val="nil"/>
              <w:left w:val="single" w:sz="8" w:space="0" w:color="800000"/>
              <w:bottom w:val="nil"/>
              <w:right w:val="nil"/>
            </w:tcBorders>
            <w:shd w:val="clear" w:color="auto" w:fill="FFFFCC"/>
            <w:noWrap/>
            <w:vAlign w:val="bottom"/>
            <w:hideMark/>
          </w:tcPr>
          <w:p w:rsidR="00390F7A" w:rsidRDefault="00390F7A">
            <w:pPr>
              <w:jc w:val="right"/>
              <w:rPr>
                <w:b/>
                <w:bCs/>
                <w:sz w:val="18"/>
                <w:szCs w:val="18"/>
              </w:rPr>
            </w:pPr>
            <w:r>
              <w:rPr>
                <w:b/>
                <w:bCs/>
                <w:sz w:val="18"/>
                <w:szCs w:val="18"/>
              </w:rPr>
              <w:t> </w:t>
            </w:r>
          </w:p>
        </w:tc>
        <w:tc>
          <w:tcPr>
            <w:tcW w:w="1324" w:type="dxa"/>
            <w:tcBorders>
              <w:top w:val="nil"/>
              <w:left w:val="single" w:sz="8" w:space="0" w:color="800000"/>
              <w:bottom w:val="nil"/>
              <w:right w:val="nil"/>
            </w:tcBorders>
            <w:shd w:val="clear" w:color="auto" w:fill="FFFFCC"/>
            <w:noWrap/>
            <w:vAlign w:val="bottom"/>
            <w:hideMark/>
          </w:tcPr>
          <w:p w:rsidR="00390F7A" w:rsidRDefault="00390F7A">
            <w:pPr>
              <w:rPr>
                <w:sz w:val="18"/>
                <w:szCs w:val="18"/>
              </w:rPr>
            </w:pPr>
            <w:r>
              <w:rPr>
                <w:sz w:val="18"/>
                <w:szCs w:val="18"/>
              </w:rPr>
              <w:t> </w:t>
            </w:r>
          </w:p>
        </w:tc>
        <w:tc>
          <w:tcPr>
            <w:tcW w:w="1220" w:type="dxa"/>
            <w:tcBorders>
              <w:top w:val="nil"/>
              <w:left w:val="single" w:sz="8" w:space="0" w:color="800000"/>
              <w:bottom w:val="nil"/>
              <w:right w:val="double" w:sz="6" w:space="0" w:color="800000"/>
            </w:tcBorders>
            <w:shd w:val="clear" w:color="auto" w:fill="FFFFCC"/>
            <w:noWrap/>
            <w:vAlign w:val="bottom"/>
            <w:hideMark/>
          </w:tcPr>
          <w:p w:rsidR="00390F7A" w:rsidRDefault="00390F7A">
            <w:pPr>
              <w:rPr>
                <w:b/>
                <w:bCs/>
                <w:sz w:val="18"/>
                <w:szCs w:val="18"/>
              </w:rPr>
            </w:pPr>
            <w:r>
              <w:rPr>
                <w:b/>
                <w:bCs/>
                <w:sz w:val="18"/>
                <w:szCs w:val="18"/>
              </w:rPr>
              <w:t> </w:t>
            </w:r>
          </w:p>
        </w:tc>
      </w:tr>
      <w:tr w:rsidR="00390F7A" w:rsidTr="003E460E">
        <w:trPr>
          <w:trHeight w:val="270"/>
        </w:trPr>
        <w:tc>
          <w:tcPr>
            <w:tcW w:w="3700" w:type="dxa"/>
            <w:tcBorders>
              <w:top w:val="nil"/>
              <w:left w:val="double" w:sz="6" w:space="0" w:color="800000"/>
              <w:bottom w:val="double" w:sz="6" w:space="0" w:color="800000"/>
              <w:right w:val="single" w:sz="8" w:space="0" w:color="800000"/>
            </w:tcBorders>
            <w:shd w:val="clear" w:color="auto" w:fill="FFFFCC"/>
            <w:noWrap/>
            <w:vAlign w:val="bottom"/>
            <w:hideMark/>
          </w:tcPr>
          <w:p w:rsidR="00390F7A" w:rsidRDefault="00390F7A">
            <w:pPr>
              <w:rPr>
                <w:b/>
                <w:bCs/>
                <w:sz w:val="20"/>
                <w:szCs w:val="20"/>
              </w:rPr>
            </w:pPr>
            <w:r>
              <w:rPr>
                <w:b/>
                <w:bCs/>
                <w:sz w:val="20"/>
                <w:szCs w:val="20"/>
              </w:rPr>
              <w:t xml:space="preserve">   ДЕФИЦИТ (-)/ИЗЛИШЪК (+)</w:t>
            </w:r>
          </w:p>
        </w:tc>
        <w:tc>
          <w:tcPr>
            <w:tcW w:w="943" w:type="dxa"/>
            <w:tcBorders>
              <w:top w:val="nil"/>
              <w:left w:val="nil"/>
              <w:bottom w:val="double" w:sz="6" w:space="0" w:color="800000"/>
              <w:right w:val="single" w:sz="8" w:space="0" w:color="800000"/>
            </w:tcBorders>
            <w:shd w:val="clear" w:color="auto" w:fill="FFFFCC"/>
            <w:noWrap/>
            <w:vAlign w:val="bottom"/>
            <w:hideMark/>
          </w:tcPr>
          <w:p w:rsidR="00390F7A" w:rsidRDefault="00390F7A">
            <w:pPr>
              <w:jc w:val="right"/>
              <w:rPr>
                <w:b/>
                <w:bCs/>
                <w:sz w:val="18"/>
                <w:szCs w:val="18"/>
              </w:rPr>
            </w:pPr>
            <w:r>
              <w:rPr>
                <w:b/>
                <w:bCs/>
                <w:sz w:val="18"/>
                <w:szCs w:val="18"/>
              </w:rPr>
              <w:t>-2 568,3</w:t>
            </w:r>
          </w:p>
        </w:tc>
        <w:tc>
          <w:tcPr>
            <w:tcW w:w="940" w:type="dxa"/>
            <w:tcBorders>
              <w:top w:val="nil"/>
              <w:left w:val="nil"/>
              <w:bottom w:val="double" w:sz="6" w:space="0" w:color="800000"/>
              <w:right w:val="single" w:sz="8" w:space="0" w:color="800000"/>
            </w:tcBorders>
            <w:shd w:val="clear" w:color="auto" w:fill="FFFFCC"/>
            <w:noWrap/>
            <w:vAlign w:val="bottom"/>
            <w:hideMark/>
          </w:tcPr>
          <w:p w:rsidR="00390F7A" w:rsidRDefault="00390F7A">
            <w:pPr>
              <w:jc w:val="right"/>
              <w:rPr>
                <w:b/>
                <w:bCs/>
                <w:sz w:val="18"/>
                <w:szCs w:val="18"/>
              </w:rPr>
            </w:pPr>
            <w:r>
              <w:rPr>
                <w:b/>
                <w:bCs/>
                <w:sz w:val="18"/>
                <w:szCs w:val="18"/>
              </w:rPr>
              <w:t>-2 275,4</w:t>
            </w:r>
          </w:p>
        </w:tc>
        <w:tc>
          <w:tcPr>
            <w:tcW w:w="943" w:type="dxa"/>
            <w:tcBorders>
              <w:top w:val="nil"/>
              <w:left w:val="nil"/>
              <w:bottom w:val="double" w:sz="6" w:space="0" w:color="800000"/>
              <w:right w:val="single" w:sz="8" w:space="0" w:color="800000"/>
            </w:tcBorders>
            <w:shd w:val="clear" w:color="auto" w:fill="FFFFCC"/>
            <w:noWrap/>
            <w:vAlign w:val="bottom"/>
            <w:hideMark/>
          </w:tcPr>
          <w:p w:rsidR="00390F7A" w:rsidRDefault="00390F7A">
            <w:pPr>
              <w:jc w:val="right"/>
              <w:rPr>
                <w:b/>
                <w:bCs/>
                <w:sz w:val="18"/>
                <w:szCs w:val="18"/>
              </w:rPr>
            </w:pPr>
            <w:r>
              <w:rPr>
                <w:b/>
                <w:bCs/>
                <w:sz w:val="18"/>
                <w:szCs w:val="18"/>
              </w:rPr>
              <w:t>-2 024,4</w:t>
            </w:r>
          </w:p>
        </w:tc>
        <w:tc>
          <w:tcPr>
            <w:tcW w:w="1324" w:type="dxa"/>
            <w:tcBorders>
              <w:top w:val="nil"/>
              <w:left w:val="nil"/>
              <w:bottom w:val="double" w:sz="6" w:space="0" w:color="800000"/>
              <w:right w:val="single" w:sz="8" w:space="0" w:color="800000"/>
            </w:tcBorders>
            <w:shd w:val="clear" w:color="auto" w:fill="FFFFCC"/>
            <w:noWrap/>
            <w:vAlign w:val="bottom"/>
            <w:hideMark/>
          </w:tcPr>
          <w:p w:rsidR="00390F7A" w:rsidRDefault="00390F7A">
            <w:pPr>
              <w:rPr>
                <w:color w:val="0070C0"/>
                <w:sz w:val="18"/>
                <w:szCs w:val="18"/>
              </w:rPr>
            </w:pPr>
            <w:r>
              <w:rPr>
                <w:color w:val="0070C0"/>
                <w:sz w:val="18"/>
                <w:szCs w:val="18"/>
              </w:rPr>
              <w:t> </w:t>
            </w:r>
          </w:p>
        </w:tc>
        <w:tc>
          <w:tcPr>
            <w:tcW w:w="1220" w:type="dxa"/>
            <w:tcBorders>
              <w:top w:val="nil"/>
              <w:left w:val="nil"/>
              <w:bottom w:val="double" w:sz="6" w:space="0" w:color="800000"/>
              <w:right w:val="double" w:sz="6" w:space="0" w:color="800000"/>
            </w:tcBorders>
            <w:shd w:val="clear" w:color="auto" w:fill="FFFFCC"/>
            <w:noWrap/>
            <w:vAlign w:val="bottom"/>
            <w:hideMark/>
          </w:tcPr>
          <w:p w:rsidR="00390F7A" w:rsidRDefault="00390F7A">
            <w:pPr>
              <w:rPr>
                <w:color w:val="0070C0"/>
                <w:sz w:val="18"/>
                <w:szCs w:val="18"/>
              </w:rPr>
            </w:pPr>
            <w:r>
              <w:rPr>
                <w:color w:val="0070C0"/>
                <w:sz w:val="18"/>
                <w:szCs w:val="18"/>
              </w:rPr>
              <w:t> </w:t>
            </w:r>
          </w:p>
        </w:tc>
      </w:tr>
    </w:tbl>
    <w:p w:rsidR="00390F7A" w:rsidRDefault="00390F7A" w:rsidP="00621B56">
      <w:pPr>
        <w:jc w:val="both"/>
        <w:rPr>
          <w:b/>
          <w:color w:val="0070C0"/>
          <w:sz w:val="18"/>
          <w:szCs w:val="18"/>
        </w:rPr>
      </w:pPr>
    </w:p>
    <w:p w:rsidR="00390F7A" w:rsidRPr="001F6421" w:rsidRDefault="00390F7A" w:rsidP="00621B56">
      <w:pPr>
        <w:jc w:val="both"/>
        <w:rPr>
          <w:b/>
          <w:color w:val="0070C0"/>
          <w:sz w:val="18"/>
          <w:szCs w:val="18"/>
        </w:rPr>
      </w:pPr>
    </w:p>
    <w:p w:rsidR="00390F7A" w:rsidRDefault="005C08DF" w:rsidP="00390F7A">
      <w:pPr>
        <w:ind w:firstLine="720"/>
        <w:jc w:val="both"/>
      </w:pPr>
      <w:bookmarkStart w:id="311" w:name="_Toc393728090"/>
      <w:bookmarkEnd w:id="306"/>
      <w:r>
        <w:t>Актуализираните разчети към</w:t>
      </w:r>
      <w:r w:rsidR="00390F7A">
        <w:t xml:space="preserve"> ЗДБРБ за 201</w:t>
      </w:r>
      <w:r w:rsidR="00390F7A">
        <w:rPr>
          <w:lang w:val="en-US"/>
        </w:rPr>
        <w:t>5</w:t>
      </w:r>
      <w:r w:rsidR="00390F7A">
        <w:t xml:space="preserve"> г. </w:t>
      </w:r>
      <w:r>
        <w:t xml:space="preserve">предвиждат </w:t>
      </w:r>
      <w:r w:rsidR="00390F7A">
        <w:rPr>
          <w:b/>
        </w:rPr>
        <w:t>приходи</w:t>
      </w:r>
      <w:r>
        <w:rPr>
          <w:b/>
        </w:rPr>
        <w:t>те</w:t>
      </w:r>
      <w:r w:rsidR="00390F7A">
        <w:t xml:space="preserve"> по държавния бюджет </w:t>
      </w:r>
      <w:r>
        <w:t xml:space="preserve">да </w:t>
      </w:r>
      <w:r w:rsidR="00390F7A">
        <w:t>са в размер на 1</w:t>
      </w:r>
      <w:r w:rsidR="00390F7A">
        <w:rPr>
          <w:lang w:val="en-US"/>
        </w:rPr>
        <w:t>9</w:t>
      </w:r>
      <w:r w:rsidR="00390F7A">
        <w:t> </w:t>
      </w:r>
      <w:r w:rsidR="00390F7A">
        <w:rPr>
          <w:lang w:val="en-US"/>
        </w:rPr>
        <w:t>080</w:t>
      </w:r>
      <w:r w:rsidR="00390F7A">
        <w:t>,</w:t>
      </w:r>
      <w:r w:rsidR="00390F7A">
        <w:rPr>
          <w:lang w:val="en-US"/>
        </w:rPr>
        <w:t>4</w:t>
      </w:r>
      <w:r w:rsidR="00390F7A">
        <w:t xml:space="preserve"> млн. лв., като отчетените касови постъпления за 201</w:t>
      </w:r>
      <w:r w:rsidR="00390F7A">
        <w:rPr>
          <w:lang w:val="en-US"/>
        </w:rPr>
        <w:t>5</w:t>
      </w:r>
      <w:r w:rsidR="00390F7A">
        <w:t xml:space="preserve"> г. са 1</w:t>
      </w:r>
      <w:r w:rsidR="00390F7A">
        <w:rPr>
          <w:lang w:val="en-US"/>
        </w:rPr>
        <w:t>8</w:t>
      </w:r>
      <w:r w:rsidR="00390F7A">
        <w:t> </w:t>
      </w:r>
      <w:r w:rsidR="00390F7A">
        <w:rPr>
          <w:lang w:val="en-US"/>
        </w:rPr>
        <w:t>921</w:t>
      </w:r>
      <w:r w:rsidR="00390F7A">
        <w:t>,</w:t>
      </w:r>
      <w:r w:rsidR="00390F7A">
        <w:rPr>
          <w:lang w:val="en-US"/>
        </w:rPr>
        <w:t>5</w:t>
      </w:r>
      <w:r w:rsidR="00390F7A">
        <w:t xml:space="preserve"> млн. лв. или изпълнението на приходната част на държавния бюджет е 9</w:t>
      </w:r>
      <w:r w:rsidR="00390F7A">
        <w:rPr>
          <w:lang w:val="en-US"/>
        </w:rPr>
        <w:t>9</w:t>
      </w:r>
      <w:r w:rsidR="00390F7A">
        <w:t xml:space="preserve">,2 % от разчета. </w:t>
      </w:r>
    </w:p>
    <w:p w:rsidR="00390F7A" w:rsidRDefault="00390F7A" w:rsidP="00390F7A">
      <w:pPr>
        <w:spacing w:after="120"/>
        <w:ind w:right="-62"/>
        <w:jc w:val="both"/>
      </w:pPr>
      <w:r>
        <w:tab/>
        <w:t xml:space="preserve">Постъпленията от </w:t>
      </w:r>
      <w:r>
        <w:rPr>
          <w:b/>
        </w:rPr>
        <w:t>данъци</w:t>
      </w:r>
      <w:r>
        <w:t xml:space="preserve"> по държавния бюджет за 201</w:t>
      </w:r>
      <w:r>
        <w:rPr>
          <w:lang w:val="en-US"/>
        </w:rPr>
        <w:t>5</w:t>
      </w:r>
      <w:r>
        <w:t xml:space="preserve"> г. са в размер на 1</w:t>
      </w:r>
      <w:r>
        <w:rPr>
          <w:lang w:val="en-US"/>
        </w:rPr>
        <w:t>7</w:t>
      </w:r>
      <w:r>
        <w:t> </w:t>
      </w:r>
      <w:r>
        <w:rPr>
          <w:lang w:val="en-US"/>
        </w:rPr>
        <w:t>151</w:t>
      </w:r>
      <w:r>
        <w:t>,</w:t>
      </w:r>
      <w:r>
        <w:rPr>
          <w:lang w:val="en-US"/>
        </w:rPr>
        <w:t>5</w:t>
      </w:r>
      <w:r>
        <w:t xml:space="preserve"> млн. лв., което представлява изпълнение от 9</w:t>
      </w:r>
      <w:r>
        <w:rPr>
          <w:lang w:val="en-US"/>
        </w:rPr>
        <w:t>9</w:t>
      </w:r>
      <w:r>
        <w:t>,</w:t>
      </w:r>
      <w:r>
        <w:rPr>
          <w:lang w:val="en-US"/>
        </w:rPr>
        <w:t>0</w:t>
      </w:r>
      <w:r>
        <w:t xml:space="preserve"> % на планираните нива за 201</w:t>
      </w:r>
      <w:r>
        <w:rPr>
          <w:lang w:val="en-US"/>
        </w:rPr>
        <w:t>5</w:t>
      </w:r>
      <w:r>
        <w:t> г. и увеличение от</w:t>
      </w:r>
      <w:r>
        <w:rPr>
          <w:bCs/>
        </w:rPr>
        <w:t xml:space="preserve"> </w:t>
      </w:r>
      <w:r>
        <w:rPr>
          <w:bCs/>
          <w:lang w:val="en-US"/>
        </w:rPr>
        <w:t>8</w:t>
      </w:r>
      <w:r>
        <w:rPr>
          <w:bCs/>
        </w:rPr>
        <w:t>,</w:t>
      </w:r>
      <w:r>
        <w:rPr>
          <w:bCs/>
          <w:lang w:val="en-US"/>
        </w:rPr>
        <w:t>1</w:t>
      </w:r>
      <w:r>
        <w:rPr>
          <w:bCs/>
        </w:rPr>
        <w:t xml:space="preserve"> % или </w:t>
      </w:r>
      <w:r>
        <w:rPr>
          <w:bCs/>
          <w:lang w:val="en-US"/>
        </w:rPr>
        <w:t>1 291</w:t>
      </w:r>
      <w:r>
        <w:rPr>
          <w:bCs/>
        </w:rPr>
        <w:t>,2 млн. лв. спрямо 201</w:t>
      </w:r>
      <w:r>
        <w:rPr>
          <w:bCs/>
          <w:lang w:val="en-US"/>
        </w:rPr>
        <w:t>4</w:t>
      </w:r>
      <w:r>
        <w:rPr>
          <w:bCs/>
        </w:rPr>
        <w:t xml:space="preserve"> г.</w:t>
      </w:r>
      <w:r>
        <w:t xml:space="preserve"> Постъпленията от </w:t>
      </w:r>
      <w:r>
        <w:rPr>
          <w:b/>
        </w:rPr>
        <w:t xml:space="preserve">косвени данъци </w:t>
      </w:r>
      <w:r>
        <w:t>за 201</w:t>
      </w:r>
      <w:r>
        <w:rPr>
          <w:lang w:val="en-US"/>
        </w:rPr>
        <w:t>5</w:t>
      </w:r>
      <w:r>
        <w:t xml:space="preserve"> г. възлизат на 1</w:t>
      </w:r>
      <w:r>
        <w:rPr>
          <w:lang w:val="en-US"/>
        </w:rPr>
        <w:t>2</w:t>
      </w:r>
      <w:r>
        <w:t> 4</w:t>
      </w:r>
      <w:r>
        <w:rPr>
          <w:lang w:val="en-US"/>
        </w:rPr>
        <w:t>50</w:t>
      </w:r>
      <w:r>
        <w:t>,</w:t>
      </w:r>
      <w:r>
        <w:rPr>
          <w:lang w:val="en-US"/>
        </w:rPr>
        <w:t>5</w:t>
      </w:r>
      <w:r>
        <w:t xml:space="preserve"> млн. лв. или 9</w:t>
      </w:r>
      <w:r>
        <w:rPr>
          <w:lang w:val="en-US"/>
        </w:rPr>
        <w:t>7</w:t>
      </w:r>
      <w:r>
        <w:t>,</w:t>
      </w:r>
      <w:r>
        <w:rPr>
          <w:lang w:val="en-US"/>
        </w:rPr>
        <w:t>6</w:t>
      </w:r>
      <w:r>
        <w:t xml:space="preserve"> % от предвидените в ЗДБРБ за 201</w:t>
      </w:r>
      <w:r>
        <w:rPr>
          <w:lang w:val="en-US"/>
        </w:rPr>
        <w:t>5</w:t>
      </w:r>
      <w:r>
        <w:t xml:space="preserve"> г. </w:t>
      </w:r>
      <w:r>
        <w:rPr>
          <w:bCs/>
        </w:rPr>
        <w:t xml:space="preserve">Приходите от </w:t>
      </w:r>
      <w:r>
        <w:rPr>
          <w:b/>
          <w:bCs/>
        </w:rPr>
        <w:t>преки данъци</w:t>
      </w:r>
      <w:r>
        <w:t xml:space="preserve"> за 201</w:t>
      </w:r>
      <w:r>
        <w:rPr>
          <w:lang w:val="en-US"/>
        </w:rPr>
        <w:t>5</w:t>
      </w:r>
      <w:r>
        <w:t xml:space="preserve"> г. са в размер на 4 </w:t>
      </w:r>
      <w:r>
        <w:rPr>
          <w:lang w:val="en-US"/>
        </w:rPr>
        <w:t>579</w:t>
      </w:r>
      <w:r>
        <w:t>,</w:t>
      </w:r>
      <w:r>
        <w:rPr>
          <w:lang w:val="en-US"/>
        </w:rPr>
        <w:t>5</w:t>
      </w:r>
      <w:r>
        <w:t xml:space="preserve"> млн. лв. или </w:t>
      </w:r>
      <w:r>
        <w:rPr>
          <w:lang w:val="en-US"/>
        </w:rPr>
        <w:t>103</w:t>
      </w:r>
      <w:r>
        <w:t>,</w:t>
      </w:r>
      <w:r>
        <w:rPr>
          <w:lang w:val="en-US"/>
        </w:rPr>
        <w:t>1</w:t>
      </w:r>
      <w:r>
        <w:t xml:space="preserve"> % </w:t>
      </w:r>
      <w:r w:rsidR="00E52F5A">
        <w:t>спрямо</w:t>
      </w:r>
      <w:r>
        <w:t xml:space="preserve"> актуализирания разчет за годината. Спрямо 201</w:t>
      </w:r>
      <w:r>
        <w:rPr>
          <w:lang w:val="en-US"/>
        </w:rPr>
        <w:t>4</w:t>
      </w:r>
      <w:r>
        <w:t xml:space="preserve"> г. се отчита увеличение на приходите от преки данъци с</w:t>
      </w:r>
      <w:r w:rsidR="00E52F5A">
        <w:t>ъс</w:t>
      </w:r>
      <w:r>
        <w:t xml:space="preserve"> </w:t>
      </w:r>
      <w:r>
        <w:rPr>
          <w:lang w:val="en-US"/>
        </w:rPr>
        <w:t>7</w:t>
      </w:r>
      <w:r>
        <w:t>,</w:t>
      </w:r>
      <w:r>
        <w:rPr>
          <w:lang w:val="en-US"/>
        </w:rPr>
        <w:t>4</w:t>
      </w:r>
      <w:r>
        <w:t xml:space="preserve"> % или 3</w:t>
      </w:r>
      <w:r>
        <w:rPr>
          <w:lang w:val="en-US"/>
        </w:rPr>
        <w:t>16</w:t>
      </w:r>
      <w:r>
        <w:t>,</w:t>
      </w:r>
      <w:r>
        <w:rPr>
          <w:lang w:val="en-US"/>
        </w:rPr>
        <w:t>7</w:t>
      </w:r>
      <w:r>
        <w:t xml:space="preserve"> млн. лева. Постъпленията от </w:t>
      </w:r>
      <w:r>
        <w:rPr>
          <w:b/>
          <w:bCs/>
        </w:rPr>
        <w:t xml:space="preserve">други данъци </w:t>
      </w:r>
      <w:r>
        <w:t>са в размер на 1</w:t>
      </w:r>
      <w:r>
        <w:rPr>
          <w:lang w:val="en-US"/>
        </w:rPr>
        <w:t>21</w:t>
      </w:r>
      <w:r>
        <w:t>,</w:t>
      </w:r>
      <w:r>
        <w:rPr>
          <w:lang w:val="en-US"/>
        </w:rPr>
        <w:t>5</w:t>
      </w:r>
      <w:r>
        <w:t xml:space="preserve"> млн. лв. или </w:t>
      </w:r>
      <w:r>
        <w:rPr>
          <w:lang w:val="en-US"/>
        </w:rPr>
        <w:t>96</w:t>
      </w:r>
      <w:r>
        <w:t>,</w:t>
      </w:r>
      <w:r>
        <w:rPr>
          <w:lang w:val="en-US"/>
        </w:rPr>
        <w:t>1</w:t>
      </w:r>
      <w:r>
        <w:t xml:space="preserve"> % о</w:t>
      </w:r>
      <w:r w:rsidR="00F26402">
        <w:t>т</w:t>
      </w:r>
      <w:r>
        <w:t xml:space="preserve"> разчета за годината, като най-голям дял (46,</w:t>
      </w:r>
      <w:r>
        <w:rPr>
          <w:lang w:val="en-US"/>
        </w:rPr>
        <w:t>9</w:t>
      </w:r>
      <w:r>
        <w:t xml:space="preserve"> %) заемат постъпленията от окончателния данък върху залози за хазартни игри и хазартни съоръжения.</w:t>
      </w:r>
    </w:p>
    <w:p w:rsidR="00390F7A" w:rsidRDefault="00390F7A" w:rsidP="00390F7A">
      <w:pPr>
        <w:tabs>
          <w:tab w:val="left" w:pos="900"/>
        </w:tabs>
        <w:spacing w:after="120"/>
        <w:ind w:firstLine="709"/>
        <w:jc w:val="both"/>
        <w:rPr>
          <w:color w:val="0070C0"/>
        </w:rPr>
      </w:pPr>
      <w:r>
        <w:rPr>
          <w:b/>
          <w:bCs/>
        </w:rPr>
        <w:t>Неданъчните приходи</w:t>
      </w:r>
      <w:r>
        <w:t xml:space="preserve"> по държавния бюджет за 201</w:t>
      </w:r>
      <w:r>
        <w:rPr>
          <w:lang w:val="en-US"/>
        </w:rPr>
        <w:t>5</w:t>
      </w:r>
      <w:r>
        <w:t xml:space="preserve"> г. са в размер на 1 </w:t>
      </w:r>
      <w:r>
        <w:rPr>
          <w:lang w:val="en-US"/>
        </w:rPr>
        <w:t>757</w:t>
      </w:r>
      <w:r>
        <w:t xml:space="preserve">,7 млн. лв. Постъпленията представляват </w:t>
      </w:r>
      <w:r>
        <w:rPr>
          <w:lang w:val="en-US"/>
        </w:rPr>
        <w:t>100</w:t>
      </w:r>
      <w:r>
        <w:t>,</w:t>
      </w:r>
      <w:r>
        <w:rPr>
          <w:lang w:val="en-US"/>
        </w:rPr>
        <w:t>1</w:t>
      </w:r>
      <w:r>
        <w:t xml:space="preserve"> % </w:t>
      </w:r>
      <w:r w:rsidR="00D87054">
        <w:t>спрямо</w:t>
      </w:r>
      <w:r>
        <w:t xml:space="preserve"> планираните за годината, като по-</w:t>
      </w:r>
      <w:r>
        <w:lastRenderedPageBreak/>
        <w:t xml:space="preserve">голямата част от неданъчните приходи по държавния бюджет се формира по бюджетите на министерствата и ведомствата. Според характера на приходите с най-голям принос са постъпленията от държавни и съдебни такси – </w:t>
      </w:r>
      <w:r>
        <w:rPr>
          <w:lang w:val="en-US"/>
        </w:rPr>
        <w:t>948</w:t>
      </w:r>
      <w:r>
        <w:t>,1 млн. лв., следвани от приходите и доходи от собственост – 4</w:t>
      </w:r>
      <w:r>
        <w:rPr>
          <w:lang w:val="en-US"/>
        </w:rPr>
        <w:t>50</w:t>
      </w:r>
      <w:r>
        <w:t>,</w:t>
      </w:r>
      <w:r>
        <w:rPr>
          <w:lang w:val="en-US"/>
        </w:rPr>
        <w:t>1</w:t>
      </w:r>
      <w:r>
        <w:t xml:space="preserve"> млн. лв., 1</w:t>
      </w:r>
      <w:r>
        <w:rPr>
          <w:lang w:val="en-US"/>
        </w:rPr>
        <w:t>18</w:t>
      </w:r>
      <w:r>
        <w:t xml:space="preserve">,2 млн. лв. постъпления от глоби, санкции и наказателни лихви, и </w:t>
      </w:r>
      <w:r>
        <w:rPr>
          <w:lang w:val="en-US"/>
        </w:rPr>
        <w:t>118</w:t>
      </w:r>
      <w:r>
        <w:t>,</w:t>
      </w:r>
      <w:r>
        <w:rPr>
          <w:lang w:val="en-US"/>
        </w:rPr>
        <w:t>0</w:t>
      </w:r>
      <w:r>
        <w:t xml:space="preserve"> млн. лв. други неданъчни приходи. </w:t>
      </w:r>
    </w:p>
    <w:p w:rsidR="00390F7A" w:rsidRDefault="00390F7A" w:rsidP="00390F7A">
      <w:pPr>
        <w:ind w:firstLine="540"/>
        <w:jc w:val="both"/>
        <w:rPr>
          <w:color w:val="0070C0"/>
          <w:sz w:val="8"/>
          <w:szCs w:val="8"/>
        </w:rPr>
      </w:pPr>
    </w:p>
    <w:p w:rsidR="00390F7A" w:rsidRDefault="00390F7A" w:rsidP="00390F7A">
      <w:pPr>
        <w:ind w:firstLine="540"/>
        <w:jc w:val="both"/>
      </w:pPr>
      <w:r>
        <w:t xml:space="preserve">Постъпилите </w:t>
      </w:r>
      <w:r>
        <w:rPr>
          <w:b/>
        </w:rPr>
        <w:t xml:space="preserve">помощи </w:t>
      </w:r>
      <w:r>
        <w:t>по държавния бюджет през 2015 г. са в размер на 12,3 млн. лв., главно по бюджетите на министерствата и ведомствата.</w:t>
      </w:r>
    </w:p>
    <w:p w:rsidR="00390F7A" w:rsidRDefault="00390F7A" w:rsidP="00390F7A">
      <w:pPr>
        <w:ind w:firstLine="540"/>
        <w:jc w:val="both"/>
        <w:rPr>
          <w:sz w:val="8"/>
          <w:szCs w:val="8"/>
        </w:rPr>
      </w:pPr>
    </w:p>
    <w:p w:rsidR="00390F7A" w:rsidRDefault="00390F7A" w:rsidP="00390F7A">
      <w:pPr>
        <w:ind w:firstLine="540"/>
        <w:jc w:val="both"/>
        <w:rPr>
          <w:color w:val="0070C0"/>
        </w:rPr>
      </w:pPr>
      <w:r>
        <w:rPr>
          <w:b/>
        </w:rPr>
        <w:t>Разходите</w:t>
      </w:r>
      <w:r>
        <w:t xml:space="preserve"> по държавния бюджет (вкл. трансферите за др. бюджети и вноската в бюджета на ЕС) за 2015 г. са в размер на 20 945,9 млн. лв., което представлява 98,1 % изпълнение на разчетите в ЗДБРБ за 2015 г. При съпоставяне на разходите по държавния бюджет през 2015 г. с предходната година се наблюдава ръст на разходите </w:t>
      </w:r>
      <w:r w:rsidR="00FB3718">
        <w:t xml:space="preserve">през 2015 г. </w:t>
      </w:r>
      <w:r>
        <w:t>с 3,4 % или 679,</w:t>
      </w:r>
      <w:r w:rsidR="00FB3718">
        <w:t>3</w:t>
      </w:r>
      <w:r>
        <w:t xml:space="preserve"> млн. лева. </w:t>
      </w:r>
    </w:p>
    <w:p w:rsidR="00390F7A" w:rsidRDefault="00390F7A" w:rsidP="00390F7A">
      <w:pPr>
        <w:ind w:firstLine="540"/>
        <w:jc w:val="both"/>
        <w:rPr>
          <w:b/>
          <w:bCs/>
          <w:color w:val="0070C0"/>
          <w:sz w:val="12"/>
          <w:szCs w:val="12"/>
          <w:lang w:eastAsia="en-US"/>
        </w:rPr>
      </w:pPr>
      <w:r>
        <w:rPr>
          <w:i/>
        </w:rPr>
        <w:t>Н</w:t>
      </w:r>
      <w:r>
        <w:rPr>
          <w:bCs/>
          <w:i/>
        </w:rPr>
        <w:t xml:space="preserve">елихвените разходи </w:t>
      </w:r>
      <w:r>
        <w:rPr>
          <w:bCs/>
        </w:rPr>
        <w:t xml:space="preserve">по държавния бюджет </w:t>
      </w:r>
      <w:r>
        <w:t xml:space="preserve">(без трансферите за др. бюджети и вноската в ЕС), извършени през 2015 г., са в размер 8 022,2 млн. лв., което представлява 93,3 % от предвидените в ЗДБРБ за 2015 г. средства. Съпоставено с данните за 2014 г. нелихвените разходи </w:t>
      </w:r>
      <w:r w:rsidR="00FB3718">
        <w:t>нарастват</w:t>
      </w:r>
      <w:r>
        <w:t xml:space="preserve"> с 0,8 % (60,</w:t>
      </w:r>
      <w:r w:rsidR="00FB3718">
        <w:t>8</w:t>
      </w:r>
      <w:r>
        <w:t xml:space="preserve"> млн. лв.). Текущите нелихвени разходи представляват 97,0 % от планираните с разчета за годината и са в размер на 7 365,2 млн. лева. Капиталовите разходи и нетният прираст на държавния резерв са в размер на 657,0 млн. лв. или 65,5 % от разчета за годината.</w:t>
      </w:r>
    </w:p>
    <w:p w:rsidR="00390F7A" w:rsidRDefault="00390F7A" w:rsidP="00390F7A">
      <w:pPr>
        <w:spacing w:after="120"/>
        <w:ind w:firstLine="540"/>
        <w:jc w:val="both"/>
        <w:rPr>
          <w:color w:val="0070C0"/>
        </w:rPr>
      </w:pPr>
      <w:r>
        <w:rPr>
          <w:i/>
        </w:rPr>
        <w:t>Лихвените плащания</w:t>
      </w:r>
      <w:r>
        <w:t xml:space="preserve"> по държавния бюджет за 2015 г. са в общ размер на 654,9</w:t>
      </w:r>
      <w:r>
        <w:rPr>
          <w:bCs/>
        </w:rPr>
        <w:t xml:space="preserve"> млн. лв</w:t>
      </w:r>
      <w:r>
        <w:t>. или 77,4 % от предвидените за годината. По-голямата част от тези разходи са лихви по външни заеми, които за отчетния период са в размер на 413,6 млн. лв.</w:t>
      </w:r>
      <w:r w:rsidR="00BA13EA">
        <w:t>,</w:t>
      </w:r>
      <w:r>
        <w:t xml:space="preserve"> </w:t>
      </w:r>
      <w:r w:rsidR="00BA13EA">
        <w:t>в т.ч.</w:t>
      </w:r>
      <w:r>
        <w:t xml:space="preserve"> 364,1 млн. лв. разходи, направени по централния бюджет</w:t>
      </w:r>
      <w:r w:rsidR="00BA13EA">
        <w:t>,</w:t>
      </w:r>
      <w:r>
        <w:t xml:space="preserve"> 41,7 млн. лв. по заемите, управлявани от министерства и ведомства</w:t>
      </w:r>
      <w:r w:rsidR="00BA13EA">
        <w:t xml:space="preserve"> и</w:t>
      </w:r>
      <w:r>
        <w:t xml:space="preserve"> 7,3 млн. лв. по заемите с краен бенефициент търговско дружество. Лихвите по вътрешни заеми по държавния бюджет за 2015 г. са в размер на 241,3 млн. лв. (70,4 % от годишния разчет) и представляват основно лихви по емисии на ДЦК на вътрешния пазар. </w:t>
      </w:r>
    </w:p>
    <w:p w:rsidR="00390F7A" w:rsidRDefault="00390F7A" w:rsidP="00390F7A">
      <w:pPr>
        <w:spacing w:after="120"/>
        <w:ind w:firstLine="540"/>
        <w:jc w:val="both"/>
      </w:pPr>
      <w:r>
        <w:rPr>
          <w:i/>
        </w:rPr>
        <w:t>Частта от вноската на България в общия бюджет на ЕС</w:t>
      </w:r>
      <w:r>
        <w:t xml:space="preserve">, изплатена за 2015 г. от централния бюджет възлиза на 946,4 млн. лв., което е в съответствие с действащото към момента законодателство в областта на собствените ресурси на ЕС, Решение на Съвета 2007/436/ЕО, Евратом относно системата на собствените ресурси на Европейските общности и Регламент на Съвета № 1150/2000, изменен с Регламент № 2018/2004, Регламент № 105/2009 и Регламент № 1377/2014, за прилагане на Решение 2007/436/ЕО. </w:t>
      </w:r>
    </w:p>
    <w:p w:rsidR="00390F7A" w:rsidRDefault="00390F7A" w:rsidP="00390F7A">
      <w:pPr>
        <w:spacing w:after="120"/>
        <w:ind w:firstLine="567"/>
        <w:jc w:val="both"/>
      </w:pPr>
      <w:r>
        <w:t xml:space="preserve">Предоставените </w:t>
      </w:r>
      <w:r>
        <w:rPr>
          <w:b/>
        </w:rPr>
        <w:t>трансфери/субсидии</w:t>
      </w:r>
      <w:r>
        <w:t xml:space="preserve"> от държавния бюджет за други бюджети (нето) са в размер на </w:t>
      </w:r>
      <w:r>
        <w:rPr>
          <w:lang w:val="ru-RU"/>
        </w:rPr>
        <w:t>11</w:t>
      </w:r>
      <w:r>
        <w:rPr>
          <w:lang w:val="en-US"/>
        </w:rPr>
        <w:t> </w:t>
      </w:r>
      <w:r>
        <w:t>322</w:t>
      </w:r>
      <w:r>
        <w:rPr>
          <w:lang w:val="ru-RU"/>
        </w:rPr>
        <w:t>,4</w:t>
      </w:r>
      <w:r>
        <w:t xml:space="preserve"> млн. лв. или 103,6 % спрямо планираните в ЗДБРБ за 2015 г.</w:t>
      </w:r>
    </w:p>
    <w:p w:rsidR="00390F7A" w:rsidRPr="00DA6A91" w:rsidRDefault="00390F7A" w:rsidP="00390F7A">
      <w:pPr>
        <w:ind w:firstLine="567"/>
        <w:jc w:val="both"/>
      </w:pPr>
      <w:r w:rsidRPr="00DA6A91">
        <w:t xml:space="preserve">- </w:t>
      </w:r>
      <w:r w:rsidRPr="00DA6A91">
        <w:rPr>
          <w:b/>
          <w:i/>
        </w:rPr>
        <w:t>Нетните трансфери/субсидии и временни безлихвени заеми, предоставени на общините,</w:t>
      </w:r>
      <w:r w:rsidRPr="00DA6A91">
        <w:t xml:space="preserve"> са в размер на 3</w:t>
      </w:r>
      <w:r w:rsidR="00DA6A91" w:rsidRPr="00DA6A91">
        <w:t> </w:t>
      </w:r>
      <w:r w:rsidR="00DA6A91" w:rsidRPr="00DA6A91">
        <w:rPr>
          <w:lang w:val="en-US"/>
        </w:rPr>
        <w:t>078</w:t>
      </w:r>
      <w:r w:rsidR="00DA6A91" w:rsidRPr="00DA6A91">
        <w:t>,</w:t>
      </w:r>
      <w:r w:rsidR="00DA6A91" w:rsidRPr="00DA6A91">
        <w:rPr>
          <w:lang w:val="en-US"/>
        </w:rPr>
        <w:t>2</w:t>
      </w:r>
      <w:r w:rsidRPr="00DA6A91">
        <w:t xml:space="preserve"> млн. лева. </w:t>
      </w:r>
    </w:p>
    <w:p w:rsidR="00390F7A" w:rsidRDefault="00390F7A" w:rsidP="00390F7A">
      <w:pPr>
        <w:widowControl w:val="0"/>
        <w:ind w:firstLine="737"/>
        <w:jc w:val="both"/>
        <w:rPr>
          <w:color w:val="0070C0"/>
        </w:rPr>
      </w:pPr>
      <w:r>
        <w:rPr>
          <w:i/>
        </w:rPr>
        <w:t xml:space="preserve">- бюджетните взаимоотношения </w:t>
      </w:r>
      <w:r>
        <w:rPr>
          <w:b/>
          <w:i/>
        </w:rPr>
        <w:t>на общините с централния бюджет</w:t>
      </w:r>
      <w:r>
        <w:rPr>
          <w:i/>
        </w:rPr>
        <w:t xml:space="preserve"> </w:t>
      </w:r>
      <w:r>
        <w:t>за 201</w:t>
      </w:r>
      <w:r>
        <w:rPr>
          <w:lang w:val="en-US"/>
        </w:rPr>
        <w:t>5</w:t>
      </w:r>
      <w:r>
        <w:t xml:space="preserve"> г. възлизат на </w:t>
      </w:r>
      <w:r>
        <w:rPr>
          <w:lang w:val="en-US"/>
        </w:rPr>
        <w:t>2</w:t>
      </w:r>
      <w:r>
        <w:t> </w:t>
      </w:r>
      <w:r>
        <w:rPr>
          <w:lang w:val="en-US"/>
        </w:rPr>
        <w:t>862</w:t>
      </w:r>
      <w:r>
        <w:t>,</w:t>
      </w:r>
      <w:r>
        <w:rPr>
          <w:lang w:val="en-US"/>
        </w:rPr>
        <w:t>1</w:t>
      </w:r>
      <w:r>
        <w:t xml:space="preserve"> млн. лв., в т.ч. обща субсидия за делегирани от държавата дейности 2 </w:t>
      </w:r>
      <w:r>
        <w:rPr>
          <w:lang w:val="en-US"/>
        </w:rPr>
        <w:t>180</w:t>
      </w:r>
      <w:r>
        <w:t>,</w:t>
      </w:r>
      <w:r>
        <w:rPr>
          <w:lang w:val="en-US"/>
        </w:rPr>
        <w:t>0</w:t>
      </w:r>
      <w:r>
        <w:t xml:space="preserve"> млн. лв., общо трансфери за местни дейности 2</w:t>
      </w:r>
      <w:r>
        <w:rPr>
          <w:lang w:val="en-US"/>
        </w:rPr>
        <w:t>87</w:t>
      </w:r>
      <w:r>
        <w:t>,</w:t>
      </w:r>
      <w:r>
        <w:rPr>
          <w:lang w:val="en-US"/>
        </w:rPr>
        <w:t>0</w:t>
      </w:r>
      <w:r>
        <w:t xml:space="preserve"> млн. лв., целеви субсидии за капиталови разходи в размер на </w:t>
      </w:r>
      <w:r>
        <w:rPr>
          <w:lang w:val="en-US"/>
        </w:rPr>
        <w:t>221</w:t>
      </w:r>
      <w:r>
        <w:t>,</w:t>
      </w:r>
      <w:r>
        <w:rPr>
          <w:lang w:val="en-US"/>
        </w:rPr>
        <w:t>4</w:t>
      </w:r>
      <w:r>
        <w:t xml:space="preserve"> млн. лв., получени от общини други целеви трансфери от ЦБ – </w:t>
      </w:r>
      <w:r>
        <w:rPr>
          <w:lang w:val="en-US"/>
        </w:rPr>
        <w:t>177</w:t>
      </w:r>
      <w:r>
        <w:t>,</w:t>
      </w:r>
      <w:r>
        <w:rPr>
          <w:lang w:val="en-US"/>
        </w:rPr>
        <w:t>6</w:t>
      </w:r>
      <w:r>
        <w:t xml:space="preserve"> млн. лв. и възстановени трансфери (субсидии) за ЦБ в размер на </w:t>
      </w:r>
      <w:r>
        <w:rPr>
          <w:lang w:val="en-US"/>
        </w:rPr>
        <w:t>4</w:t>
      </w:r>
      <w:r>
        <w:t>,</w:t>
      </w:r>
      <w:r>
        <w:rPr>
          <w:lang w:val="en-US"/>
        </w:rPr>
        <w:t>0</w:t>
      </w:r>
      <w:r>
        <w:t xml:space="preserve"> млн. лева.</w:t>
      </w:r>
    </w:p>
    <w:p w:rsidR="00390F7A" w:rsidRDefault="00390F7A" w:rsidP="00390F7A">
      <w:pPr>
        <w:ind w:firstLine="540"/>
        <w:jc w:val="both"/>
      </w:pPr>
      <w:r>
        <w:t xml:space="preserve">- на </w:t>
      </w:r>
      <w:r>
        <w:rPr>
          <w:b/>
          <w:i/>
        </w:rPr>
        <w:t xml:space="preserve">здравните и социалноосигурителните фондове </w:t>
      </w:r>
      <w:r>
        <w:t>– 5</w:t>
      </w:r>
      <w:r w:rsidR="00747272">
        <w:t> 849,6</w:t>
      </w:r>
      <w:r>
        <w:t xml:space="preserve"> млн. лв., което представлява 9</w:t>
      </w:r>
      <w:r w:rsidR="00747272">
        <w:t>6,5</w:t>
      </w:r>
      <w:r>
        <w:t> % от годишния разчет;</w:t>
      </w:r>
    </w:p>
    <w:p w:rsidR="00390F7A" w:rsidRDefault="00390F7A" w:rsidP="00390F7A">
      <w:pPr>
        <w:ind w:firstLine="540"/>
        <w:jc w:val="both"/>
      </w:pPr>
      <w:r>
        <w:t xml:space="preserve">- на </w:t>
      </w:r>
      <w:r>
        <w:rPr>
          <w:b/>
          <w:i/>
        </w:rPr>
        <w:t>други автономни бюджети (ДВУ, БАН, БНТ, БНР и БТА)</w:t>
      </w:r>
      <w:r>
        <w:t xml:space="preserve"> – 6</w:t>
      </w:r>
      <w:r w:rsidR="00747272">
        <w:t>22,7</w:t>
      </w:r>
      <w:r>
        <w:t xml:space="preserve"> млн. лева;</w:t>
      </w:r>
    </w:p>
    <w:p w:rsidR="00390F7A" w:rsidRDefault="00390F7A" w:rsidP="00390F7A">
      <w:pPr>
        <w:ind w:firstLine="540"/>
        <w:jc w:val="both"/>
      </w:pPr>
      <w:r>
        <w:lastRenderedPageBreak/>
        <w:t xml:space="preserve">- на </w:t>
      </w:r>
      <w:r>
        <w:rPr>
          <w:b/>
          <w:i/>
        </w:rPr>
        <w:t xml:space="preserve">сметките за средства от ЕС </w:t>
      </w:r>
      <w:r>
        <w:t>– общият размер на трансферите от ЦБ е 1 596,5 млн. лв., в т. ч. за Национален фонд са предоставени 1 013,4 млн. лв. и за Държавен фонд „Земеделие”</w:t>
      </w:r>
      <w:r w:rsidR="00747272">
        <w:t xml:space="preserve"> – Разплащателна агенция </w:t>
      </w:r>
      <w:r>
        <w:t xml:space="preserve">- 583,1 млн. лева.  </w:t>
      </w:r>
    </w:p>
    <w:p w:rsidR="00390F7A" w:rsidRDefault="00390F7A" w:rsidP="00390F7A">
      <w:pPr>
        <w:ind w:firstLine="540"/>
        <w:jc w:val="both"/>
        <w:rPr>
          <w:b/>
          <w:sz w:val="12"/>
          <w:szCs w:val="12"/>
        </w:rPr>
      </w:pPr>
    </w:p>
    <w:p w:rsidR="00390F7A" w:rsidRDefault="00390F7A" w:rsidP="00390F7A">
      <w:pPr>
        <w:ind w:firstLine="720"/>
        <w:jc w:val="both"/>
        <w:rPr>
          <w:b/>
        </w:rPr>
      </w:pPr>
      <w:r>
        <w:rPr>
          <w:b/>
        </w:rPr>
        <w:t>Бюджетното салдо по държавния бюджет за 2015 г. е отрицателно в размер на 2 024,4 млн. лева.</w:t>
      </w:r>
    </w:p>
    <w:p w:rsidR="001D071D" w:rsidRDefault="001D071D" w:rsidP="00781B85">
      <w:pPr>
        <w:pStyle w:val="Heading3"/>
        <w:numPr>
          <w:ilvl w:val="1"/>
          <w:numId w:val="48"/>
        </w:numPr>
        <w:rPr>
          <w:rFonts w:ascii="Times New Roman" w:hAnsi="Times New Roman"/>
          <w:sz w:val="24"/>
          <w:lang w:val="bg-BG"/>
        </w:rPr>
      </w:pPr>
      <w:bookmarkStart w:id="312" w:name="_Toc462146138"/>
      <w:r>
        <w:rPr>
          <w:rFonts w:ascii="Times New Roman" w:hAnsi="Times New Roman"/>
          <w:sz w:val="24"/>
          <w:lang w:val="bg-BG"/>
        </w:rPr>
        <w:t>Бюджет на Народното събрание</w:t>
      </w:r>
      <w:bookmarkEnd w:id="312"/>
    </w:p>
    <w:p w:rsidR="001D071D" w:rsidRDefault="001D071D" w:rsidP="001D071D">
      <w:pPr>
        <w:ind w:firstLine="709"/>
        <w:jc w:val="both"/>
      </w:pPr>
      <w:r>
        <w:t xml:space="preserve">Към 31.12.2015 г. </w:t>
      </w:r>
      <w:r w:rsidR="004A4AFF">
        <w:t xml:space="preserve">по бюджета на Народното събрание </w:t>
      </w:r>
      <w:r>
        <w:t>са отчетени 1,5 млн. лв. приходи, при предвидени със ЗДБРБ за 2015 г. – 1,6 млн. лв., което в процентно изражение е 95,1 %. С най - голям относителен дял (74,0 %) са приходи</w:t>
      </w:r>
      <w:r w:rsidR="004A4AFF">
        <w:t>те</w:t>
      </w:r>
      <w:r>
        <w:t xml:space="preserve"> от продажба на услуги, стоки и продукция, които са в размер на 1,1 млн. лв. </w:t>
      </w:r>
    </w:p>
    <w:p w:rsidR="001D071D" w:rsidRDefault="001D071D" w:rsidP="001D071D">
      <w:pPr>
        <w:ind w:firstLine="709"/>
        <w:jc w:val="both"/>
      </w:pPr>
      <w:r>
        <w:t xml:space="preserve">Отчетените разходи към 31.12.2015 г. по бюджета на Народното събрание са в размер на 44,9 млн. лв., което представлява 84,8 % от утвърдените със ЗДБРБ за 2015 г. средства за разходи – 53,0 млн. лв. </w:t>
      </w:r>
      <w:r w:rsidR="00390F7A" w:rsidRPr="00390F7A">
        <w:t>Разходите за персонал са 29,7 млн. лв., което е 95,3 % от годишния разчет.</w:t>
      </w:r>
      <w:r w:rsidR="00390F7A">
        <w:t xml:space="preserve"> </w:t>
      </w:r>
      <w:r>
        <w:t>Разходите за текуща издръжка по отчетни данни са в размер на 13,0 млн. лв. и представляват 68,6 % от утвърдените средства по закон. Капиталовите разходи, извършени през 2015 г. са в размер на 0,97</w:t>
      </w:r>
      <w:r w:rsidR="006847FE">
        <w:t>5</w:t>
      </w:r>
      <w:r>
        <w:t xml:space="preserve"> млн. лв., което е 46,5 % от предвидените със ЗДБРБ за 2015 г.</w:t>
      </w:r>
    </w:p>
    <w:p w:rsidR="00390F7A" w:rsidRDefault="00390F7A" w:rsidP="00390F7A">
      <w:pPr>
        <w:ind w:firstLine="709"/>
        <w:jc w:val="both"/>
      </w:pPr>
      <w:r>
        <w:t>Отчетените ангажименти за разходи, които са поети по бюджета на НС към 31.12.2015 г. са в размер на 14,7 млн. лв. и са в рамките на утвърдените.</w:t>
      </w:r>
    </w:p>
    <w:p w:rsidR="00390F7A" w:rsidRDefault="00390F7A" w:rsidP="00390F7A">
      <w:pPr>
        <w:ind w:firstLine="709"/>
        <w:jc w:val="both"/>
      </w:pPr>
      <w:r>
        <w:t>Отчетените нови задължения за разходи, които са натрупани през 2015 г. по бюджета на НС са в рамките на утвърдените и са в размер на 14,2 млн. лв.</w:t>
      </w:r>
    </w:p>
    <w:p w:rsidR="001D071D" w:rsidRDefault="001D071D" w:rsidP="00781B85">
      <w:pPr>
        <w:pStyle w:val="Heading3"/>
        <w:numPr>
          <w:ilvl w:val="1"/>
          <w:numId w:val="48"/>
        </w:numPr>
        <w:rPr>
          <w:rFonts w:ascii="Times New Roman" w:hAnsi="Times New Roman"/>
          <w:sz w:val="24"/>
          <w:lang w:val="bg-BG"/>
        </w:rPr>
      </w:pPr>
      <w:bookmarkStart w:id="313" w:name="_Toc462146139"/>
      <w:r>
        <w:rPr>
          <w:rFonts w:ascii="Times New Roman" w:hAnsi="Times New Roman"/>
          <w:sz w:val="24"/>
          <w:lang w:val="bg-BG"/>
        </w:rPr>
        <w:t>Бюджет на съдебната  власт</w:t>
      </w:r>
      <w:bookmarkEnd w:id="311"/>
      <w:bookmarkEnd w:id="313"/>
    </w:p>
    <w:p w:rsidR="007845E4" w:rsidRDefault="001D071D" w:rsidP="007845E4">
      <w:pPr>
        <w:spacing w:after="120"/>
        <w:ind w:right="-108" w:firstLine="720"/>
        <w:jc w:val="both"/>
        <w:rPr>
          <w:color w:val="0070C0"/>
        </w:rPr>
      </w:pPr>
      <w:r>
        <w:t>Със ЗДБРБ за 2015 г. по бюджета на съдебната власт са одобрени общо приходи в размер на 1</w:t>
      </w:r>
      <w:r>
        <w:rPr>
          <w:lang w:val="ru-RU"/>
        </w:rPr>
        <w:t>40,0</w:t>
      </w:r>
      <w:r>
        <w:t xml:space="preserve"> млн. лв., в т.ч. приходи от съдебни такси – </w:t>
      </w:r>
      <w:r>
        <w:rPr>
          <w:lang w:val="ru-RU"/>
        </w:rPr>
        <w:t>120,</w:t>
      </w:r>
      <w:r>
        <w:t xml:space="preserve">0 млн. лв. </w:t>
      </w:r>
      <w:r w:rsidR="00FA5B3F">
        <w:t xml:space="preserve">Очерталата се тенденция за неизпълнение на приходната част </w:t>
      </w:r>
      <w:r>
        <w:t xml:space="preserve">наложи промяна в одобрените с годишния закон параметри и </w:t>
      </w:r>
      <w:r w:rsidR="00FA5B3F">
        <w:t xml:space="preserve">уточнения </w:t>
      </w:r>
      <w:r>
        <w:t xml:space="preserve">план </w:t>
      </w:r>
      <w:r w:rsidR="00FA5B3F">
        <w:t xml:space="preserve">по приходите на съдебната власт </w:t>
      </w:r>
      <w:r>
        <w:t xml:space="preserve">бе намален с 26,0 млн. лв. (или в размер на 114,0 млн. лв.). В изпълнение на Закона за съдебната власт (чл. 361, ал.4), очакваното неизпълнение на приходите по бюджета на съдебната власт беше </w:t>
      </w:r>
      <w:r w:rsidR="00FA5B3F">
        <w:t>компенсирано</w:t>
      </w:r>
      <w:r>
        <w:t xml:space="preserve"> със субсидия от централния бюджет (ПМС №350/2015 г. за одобряване на допълнителни разходи/трансфери за покриване на неизпълнението на приходите по бюджета на съдебната власт за 2015 г. в размер на 26,0 млн. лв.). През 2015 г. постъпилите по бюджета на съдебната власт неданъчни приходи и помощи са в размер на 118,3 млн. лв. или 84,5 % от предвидените в ЗДБРБ за 2015 г. Приходите от съдебни такси са 100,9 млн. лв. (84,1 % от одобрените със ЗДБРБ за 2015 г. параметри), като техният дял в общия обем на приходите е 85,4 % и включват съдебни такси, събирани по Тарифа № 1 </w:t>
      </w:r>
      <w:r w:rsidR="000069AF">
        <w:t xml:space="preserve">към </w:t>
      </w:r>
      <w:r>
        <w:t xml:space="preserve">Закона за държавните такси; държавни такси, събирани в съдебното производство по ГПК; държавни такси за регистрации и промени по фирмени дела на дружества с нестопанска цел и кооперации; и други. </w:t>
      </w:r>
      <w:r w:rsidR="007845E4">
        <w:t>От другите неданъчни приходи (11,</w:t>
      </w:r>
      <w:r w:rsidR="00726F33">
        <w:t>8</w:t>
      </w:r>
      <w:r w:rsidR="007845E4">
        <w:t xml:space="preserve"> % от общия размер) най-голям относителен дял заемат приходите от вземания по изпълнителни листове, издавани в полза на органите на съдебната власт и събирани от Националната агенция за приходите, от разноски по дела, приходи от предоставяне на обществена информация по Закона за достъп до обществена информация и други.</w:t>
      </w:r>
    </w:p>
    <w:p w:rsidR="001D071D" w:rsidRDefault="001D071D" w:rsidP="001D071D">
      <w:pPr>
        <w:spacing w:before="120" w:after="120"/>
        <w:ind w:firstLine="708"/>
        <w:jc w:val="both"/>
        <w:rPr>
          <w:lang w:eastAsia="en-US"/>
        </w:rPr>
      </w:pPr>
      <w:r>
        <w:t>През 2015 г. по бюджета на съдебната власт са отчетени разходи в размер на 469,3 млн. лв., които представляват 99,2 % о</w:t>
      </w:r>
      <w:r w:rsidR="00726F33">
        <w:t>т</w:t>
      </w:r>
      <w:r>
        <w:t xml:space="preserve"> определените с годишния закон </w:t>
      </w:r>
      <w:r>
        <w:rPr>
          <w:lang w:val="ru-RU"/>
        </w:rPr>
        <w:t>473,0</w:t>
      </w:r>
      <w:r>
        <w:t xml:space="preserve"> млн. лв. </w:t>
      </w:r>
      <w:r w:rsidR="00C01C6D">
        <w:t xml:space="preserve">Разходите за персонал са 421,6 млн. лв. или 102,5 % </w:t>
      </w:r>
      <w:r w:rsidR="00726F33">
        <w:t>спрямо</w:t>
      </w:r>
      <w:r w:rsidR="00C01C6D">
        <w:t xml:space="preserve"> годишния разчет. Отчетените средства за издръжка са 44,3 млн. лв. при разчетени 52,7 млн. лв., а капиталовите разходи са  3,3 млн. лв. при планирани 9,0 млн. лв. </w:t>
      </w:r>
      <w:r>
        <w:rPr>
          <w:lang w:eastAsia="en-US"/>
        </w:rPr>
        <w:t xml:space="preserve">В отчета са включени одобрени допълнителни разходи по бюджета на съдебната власт (ПМС №113/30.04.2015 г., </w:t>
      </w:r>
      <w:r>
        <w:rPr>
          <w:lang w:eastAsia="en-US"/>
        </w:rPr>
        <w:lastRenderedPageBreak/>
        <w:t>РМС</w:t>
      </w:r>
      <w:r w:rsidR="00FA5B3F">
        <w:rPr>
          <w:lang w:eastAsia="en-US"/>
        </w:rPr>
        <w:t> </w:t>
      </w:r>
      <w:r>
        <w:rPr>
          <w:lang w:eastAsia="en-US"/>
        </w:rPr>
        <w:t>№245А/16.04.2015</w:t>
      </w:r>
      <w:r w:rsidR="00FA5B3F">
        <w:rPr>
          <w:lang w:eastAsia="en-US"/>
        </w:rPr>
        <w:t> </w:t>
      </w:r>
      <w:r>
        <w:rPr>
          <w:lang w:eastAsia="en-US"/>
        </w:rPr>
        <w:t xml:space="preserve">г., ПМС №279/14.10.2015 г.) и трансфери от МТСП. С размера на одобрените допълнителни разходи са увеличени и показателите по чл. 2, ал. 3 от ЗДБРБ за 2015 г. (максималните размери на ангажиментите за разходи и максималните размери на новите задължения за разходи). </w:t>
      </w:r>
    </w:p>
    <w:p w:rsidR="00590962" w:rsidRDefault="00590962" w:rsidP="00590962">
      <w:pPr>
        <w:spacing w:before="120" w:after="120"/>
        <w:ind w:firstLine="708"/>
        <w:jc w:val="both"/>
      </w:pPr>
      <w:r>
        <w:t>Отчетените ангажименти за разходи – 53,5 мн. лв. и поетите нови задължения за разходи, натрупани през 2015 г. – 48,0 млн. лв., са в рамките на утвърдените за годината.</w:t>
      </w:r>
    </w:p>
    <w:p w:rsidR="006506F4" w:rsidRPr="00066B39" w:rsidRDefault="006506F4" w:rsidP="00781B85">
      <w:pPr>
        <w:pStyle w:val="Heading2"/>
        <w:numPr>
          <w:ilvl w:val="1"/>
          <w:numId w:val="7"/>
        </w:numPr>
        <w:rPr>
          <w:rFonts w:ascii="Times New Roman" w:hAnsi="Times New Roman" w:cs="Times New Roman"/>
          <w:i w:val="0"/>
          <w:iCs w:val="0"/>
          <w:sz w:val="24"/>
        </w:rPr>
      </w:pPr>
      <w:bookmarkStart w:id="314" w:name="_Toc462146140"/>
      <w:r w:rsidRPr="00066B39">
        <w:rPr>
          <w:rFonts w:ascii="Times New Roman" w:hAnsi="Times New Roman" w:cs="Times New Roman"/>
          <w:i w:val="0"/>
          <w:iCs w:val="0"/>
          <w:sz w:val="24"/>
        </w:rPr>
        <w:t>Бюджети на общините</w:t>
      </w:r>
      <w:bookmarkEnd w:id="314"/>
    </w:p>
    <w:p w:rsidR="00066B39" w:rsidRDefault="00E0390C" w:rsidP="00066B39">
      <w:pPr>
        <w:widowControl w:val="0"/>
        <w:spacing w:after="120"/>
        <w:ind w:firstLine="720"/>
        <w:jc w:val="both"/>
      </w:pPr>
      <w:r w:rsidRPr="00E0390C">
        <w:t xml:space="preserve">През 2015 г. постъпилите по бюджетите на общините </w:t>
      </w:r>
      <w:r w:rsidRPr="00EC33FC">
        <w:rPr>
          <w:b/>
        </w:rPr>
        <w:t>п</w:t>
      </w:r>
      <w:r w:rsidR="00066B39" w:rsidRPr="00EC33FC">
        <w:rPr>
          <w:b/>
        </w:rPr>
        <w:t>риходи и помощи</w:t>
      </w:r>
      <w:r w:rsidR="00066B39" w:rsidRPr="00E0390C">
        <w:t xml:space="preserve"> са в</w:t>
      </w:r>
      <w:r w:rsidR="00066B39">
        <w:t xml:space="preserve"> размер на 1 945,</w:t>
      </w:r>
      <w:r w:rsidR="00F54BFB">
        <w:t>0</w:t>
      </w:r>
      <w:r w:rsidR="00066B39">
        <w:t xml:space="preserve"> млн. лв., което е </w:t>
      </w:r>
      <w:r w:rsidR="00657F8A">
        <w:t>100,</w:t>
      </w:r>
      <w:r w:rsidR="00F54BFB">
        <w:t>0</w:t>
      </w:r>
      <w:r w:rsidR="00657F8A">
        <w:t xml:space="preserve"> % изпълнение на разчетите към ЗДБРБ за 2015 г. Съпоставени с 2014 г. </w:t>
      </w:r>
      <w:r w:rsidR="00AF4B5B">
        <w:t>постъпленията</w:t>
      </w:r>
      <w:r w:rsidR="00657F8A">
        <w:t xml:space="preserve"> </w:t>
      </w:r>
      <w:r w:rsidR="00AF4B5B">
        <w:t xml:space="preserve">нарастват </w:t>
      </w:r>
      <w:r w:rsidR="00066B39">
        <w:t>със 7</w:t>
      </w:r>
      <w:r w:rsidR="00F54BFB">
        <w:t>6</w:t>
      </w:r>
      <w:r w:rsidR="00066B39">
        <w:t>,</w:t>
      </w:r>
      <w:r w:rsidR="00F54BFB">
        <w:t>4</w:t>
      </w:r>
      <w:r w:rsidR="00066B39">
        <w:t xml:space="preserve"> млн. лв. </w:t>
      </w:r>
      <w:r w:rsidR="00657F8A">
        <w:rPr>
          <w:lang w:val="en-US"/>
        </w:rPr>
        <w:t>(4</w:t>
      </w:r>
      <w:r w:rsidR="008778AC">
        <w:t>,</w:t>
      </w:r>
      <w:r w:rsidR="00657F8A">
        <w:rPr>
          <w:lang w:val="en-US"/>
        </w:rPr>
        <w:t>1 %)</w:t>
      </w:r>
      <w:r w:rsidR="00066B39">
        <w:t>.</w:t>
      </w:r>
    </w:p>
    <w:p w:rsidR="000F395D" w:rsidRDefault="00066B39" w:rsidP="00066B39">
      <w:pPr>
        <w:widowControl w:val="0"/>
        <w:spacing w:after="120"/>
        <w:ind w:firstLine="720"/>
        <w:jc w:val="both"/>
      </w:pPr>
      <w:r>
        <w:rPr>
          <w:i/>
        </w:rPr>
        <w:t>Данъчните приходи</w:t>
      </w:r>
      <w:r>
        <w:t xml:space="preserve"> възлизат на 757,0 млн. лв.</w:t>
      </w:r>
      <w:r w:rsidR="00AF4B5B">
        <w:t>, 100,9 % спрямо годишния разчет</w:t>
      </w:r>
      <w:r>
        <w:t xml:space="preserve"> и формират 38,9 % от общия размер на п</w:t>
      </w:r>
      <w:r w:rsidR="00F3262D">
        <w:t>остъпленията</w:t>
      </w:r>
      <w:r>
        <w:t xml:space="preserve">. </w:t>
      </w:r>
      <w:r w:rsidR="008778AC">
        <w:t>Съпоставени</w:t>
      </w:r>
      <w:r w:rsidR="0006724B">
        <w:t xml:space="preserve"> с</w:t>
      </w:r>
      <w:r>
        <w:t xml:space="preserve"> 2014 г. </w:t>
      </w:r>
      <w:r w:rsidR="008778AC">
        <w:t>те</w:t>
      </w:r>
      <w:r>
        <w:t xml:space="preserve"> </w:t>
      </w:r>
      <w:r w:rsidR="00B971F5">
        <w:t xml:space="preserve">нарастват </w:t>
      </w:r>
      <w:r>
        <w:t xml:space="preserve">с 38,4 млн. лв. </w:t>
      </w:r>
      <w:r w:rsidR="00B971F5">
        <w:rPr>
          <w:lang w:val="en-US"/>
        </w:rPr>
        <w:t>(</w:t>
      </w:r>
      <w:r>
        <w:t>5,3 %</w:t>
      </w:r>
      <w:r w:rsidR="00B971F5">
        <w:rPr>
          <w:lang w:val="en-US"/>
        </w:rPr>
        <w:t>)</w:t>
      </w:r>
      <w:r>
        <w:t xml:space="preserve">.  </w:t>
      </w:r>
      <w:r w:rsidR="00520A75">
        <w:t>В</w:t>
      </w:r>
      <w:r>
        <w:t>ключват п</w:t>
      </w:r>
      <w:r w:rsidR="000F395D">
        <w:t>риходи</w:t>
      </w:r>
      <w:r>
        <w:t xml:space="preserve"> от патентен данък</w:t>
      </w:r>
      <w:r w:rsidR="00E0390C">
        <w:t>,</w:t>
      </w:r>
      <w:r>
        <w:t xml:space="preserve"> </w:t>
      </w:r>
      <w:r w:rsidR="00E0390C">
        <w:t xml:space="preserve">постъпления от имуществени и други местни данъци и </w:t>
      </w:r>
      <w:r w:rsidR="008778AC">
        <w:t xml:space="preserve">приходи от </w:t>
      </w:r>
      <w:r w:rsidR="00E0390C">
        <w:t>други данъци. С най-голям относителен дял</w:t>
      </w:r>
      <w:r w:rsidR="008551E0">
        <w:t xml:space="preserve"> </w:t>
      </w:r>
      <w:r w:rsidR="008551E0">
        <w:rPr>
          <w:lang w:val="en-US"/>
        </w:rPr>
        <w:t>(</w:t>
      </w:r>
      <w:r w:rsidR="008551E0">
        <w:t>98,4 %</w:t>
      </w:r>
      <w:r w:rsidR="008551E0">
        <w:rPr>
          <w:lang w:val="en-US"/>
        </w:rPr>
        <w:t>)</w:t>
      </w:r>
      <w:r w:rsidR="00E0390C">
        <w:t xml:space="preserve"> в д</w:t>
      </w:r>
      <w:r w:rsidR="008551E0">
        <w:t>а</w:t>
      </w:r>
      <w:r w:rsidR="00E0390C">
        <w:t xml:space="preserve">нъчните приходи са постъпленията от имуществени и други местни данъци, които </w:t>
      </w:r>
      <w:r w:rsidR="0083749B">
        <w:t>са в размер на 744,7 млн. лв., 101,0 % спрямо разчетите към ЗДБРБ за 2015 г. Те вк</w:t>
      </w:r>
      <w:r w:rsidR="00E0390C">
        <w:t>лючват: данък върху недвижимите имоти (278,4 млн. лв.), данък върху превозните средства (227,7 млн. лв.), данък при придобиване на имущество по дарения и възмезден начин (223,7 млн. лв.), туристически данък (14,7 млн. лв.) и данък върху наследствата (0,2 млн. лв.).</w:t>
      </w:r>
      <w:r w:rsidR="0083749B">
        <w:t xml:space="preserve"> Съпоставени с 2014 г. постъпленията от имуществени и други местни данъци нарастват с 39,4 млн. лв. </w:t>
      </w:r>
      <w:r w:rsidR="0083749B">
        <w:rPr>
          <w:lang w:val="en-US"/>
        </w:rPr>
        <w:t>(</w:t>
      </w:r>
      <w:r w:rsidR="0083749B">
        <w:t>5,6 %</w:t>
      </w:r>
      <w:r w:rsidR="0083749B">
        <w:rPr>
          <w:lang w:val="en-US"/>
        </w:rPr>
        <w:t>)</w:t>
      </w:r>
      <w:r w:rsidR="0083749B">
        <w:t>. П</w:t>
      </w:r>
      <w:r w:rsidR="004F47AE">
        <w:t>остъпленията</w:t>
      </w:r>
      <w:r w:rsidR="0083749B">
        <w:t xml:space="preserve"> от патентен данък по общинските бю</w:t>
      </w:r>
      <w:r w:rsidR="000F395D">
        <w:t>д</w:t>
      </w:r>
      <w:r w:rsidR="0083749B">
        <w:t>жети за 2015 г. са в размер на 12,1 млн. лв.,</w:t>
      </w:r>
      <w:r w:rsidR="000F395D">
        <w:t xml:space="preserve"> 95,6 % от годишните разчети. През 2015 г. по бюджетите на общините са постъпили и 0,2 млн. лв. приходи от други данъци.</w:t>
      </w:r>
    </w:p>
    <w:p w:rsidR="000579D1" w:rsidRDefault="005B12C8" w:rsidP="00066B39">
      <w:pPr>
        <w:widowControl w:val="0"/>
        <w:spacing w:after="120"/>
        <w:ind w:firstLine="720"/>
        <w:jc w:val="both"/>
      </w:pPr>
      <w:r w:rsidRPr="000579D1">
        <w:rPr>
          <w:i/>
        </w:rPr>
        <w:t>Неданъчните приходи</w:t>
      </w:r>
      <w:r>
        <w:t>, постъпили по бюджетите на общините през 2015 г. са в размер на 1 170,</w:t>
      </w:r>
      <w:r w:rsidR="00F54BFB">
        <w:t>0</w:t>
      </w:r>
      <w:r>
        <w:t xml:space="preserve"> млн. лв., 99,</w:t>
      </w:r>
      <w:r w:rsidR="00F54BFB">
        <w:t>6</w:t>
      </w:r>
      <w:r>
        <w:t xml:space="preserve"> % от разчетите към ЗДБРБ за 2015 г. и формират 60,2 % от общия размер на постъпленията по общинските бюджети. </w:t>
      </w:r>
      <w:r w:rsidR="000579D1">
        <w:t>Съпоставени с 2014 г. те нарастват с 4</w:t>
      </w:r>
      <w:r w:rsidR="00F54BFB">
        <w:t>2</w:t>
      </w:r>
      <w:r w:rsidR="000579D1">
        <w:t>,</w:t>
      </w:r>
      <w:r w:rsidR="00F54BFB">
        <w:t>8</w:t>
      </w:r>
      <w:r w:rsidR="000579D1">
        <w:t xml:space="preserve"> млн. лв. </w:t>
      </w:r>
      <w:r w:rsidR="000579D1">
        <w:rPr>
          <w:lang w:val="en-US"/>
        </w:rPr>
        <w:t>(</w:t>
      </w:r>
      <w:r w:rsidR="000579D1">
        <w:t>3,</w:t>
      </w:r>
      <w:r w:rsidR="00F54BFB">
        <w:t>8</w:t>
      </w:r>
      <w:r w:rsidR="000579D1">
        <w:t xml:space="preserve"> %</w:t>
      </w:r>
      <w:r w:rsidR="000579D1">
        <w:rPr>
          <w:lang w:val="en-US"/>
        </w:rPr>
        <w:t>)</w:t>
      </w:r>
      <w:r w:rsidR="000579D1">
        <w:t xml:space="preserve">. С най-голям относителен дял в неданъчните приходи </w:t>
      </w:r>
      <w:r w:rsidR="000579D1">
        <w:rPr>
          <w:lang w:val="en-US"/>
        </w:rPr>
        <w:t>(</w:t>
      </w:r>
      <w:r w:rsidR="000579D1">
        <w:t>62,</w:t>
      </w:r>
      <w:r w:rsidR="00F54BFB">
        <w:t>1</w:t>
      </w:r>
      <w:r w:rsidR="000579D1">
        <w:t xml:space="preserve"> %</w:t>
      </w:r>
      <w:r w:rsidR="000579D1">
        <w:rPr>
          <w:lang w:val="en-US"/>
        </w:rPr>
        <w:t>)</w:t>
      </w:r>
      <w:r w:rsidR="000579D1">
        <w:t xml:space="preserve"> са постъпленията от общински такси, които са в размер на</w:t>
      </w:r>
      <w:r w:rsidR="00897123">
        <w:t xml:space="preserve"> </w:t>
      </w:r>
      <w:r w:rsidR="000579D1">
        <w:t>726,2 млн</w:t>
      </w:r>
      <w:r w:rsidR="009F2537">
        <w:t>.</w:t>
      </w:r>
      <w:r w:rsidR="000579D1">
        <w:t xml:space="preserve"> лв., 98,7 % изпълнение на годишните разчети и </w:t>
      </w:r>
      <w:r w:rsidR="004F47AE">
        <w:t xml:space="preserve">нарастват с </w:t>
      </w:r>
      <w:r w:rsidR="000579D1">
        <w:t>15,</w:t>
      </w:r>
      <w:r w:rsidR="00897123">
        <w:t>2</w:t>
      </w:r>
      <w:r w:rsidR="000579D1">
        <w:t xml:space="preserve"> млн. лв. </w:t>
      </w:r>
      <w:r w:rsidR="000579D1">
        <w:rPr>
          <w:lang w:val="en-US"/>
        </w:rPr>
        <w:t>(</w:t>
      </w:r>
      <w:r w:rsidR="000579D1">
        <w:t>2,</w:t>
      </w:r>
      <w:r w:rsidR="00897123">
        <w:t>1</w:t>
      </w:r>
      <w:r w:rsidR="000579D1">
        <w:t xml:space="preserve"> %</w:t>
      </w:r>
      <w:r w:rsidR="000579D1">
        <w:rPr>
          <w:lang w:val="en-US"/>
        </w:rPr>
        <w:t xml:space="preserve">) </w:t>
      </w:r>
      <w:r w:rsidR="000579D1">
        <w:t xml:space="preserve">спрямо предходната година. С най-голям относителен дял в </w:t>
      </w:r>
      <w:r w:rsidR="009F2537">
        <w:t xml:space="preserve">постъпленията от </w:t>
      </w:r>
      <w:r w:rsidR="000579D1">
        <w:t xml:space="preserve">общински такси </w:t>
      </w:r>
      <w:r w:rsidR="000579D1">
        <w:rPr>
          <w:lang w:val="en-US"/>
        </w:rPr>
        <w:t>(</w:t>
      </w:r>
      <w:r w:rsidR="000579D1">
        <w:t>70,6 %</w:t>
      </w:r>
      <w:r w:rsidR="000579D1">
        <w:rPr>
          <w:lang w:val="en-US"/>
        </w:rPr>
        <w:t>)</w:t>
      </w:r>
      <w:r w:rsidR="000579D1">
        <w:t xml:space="preserve"> е таксата за битови отпадъц</w:t>
      </w:r>
      <w:r w:rsidR="009F2537">
        <w:t>и.</w:t>
      </w:r>
      <w:r w:rsidR="000579D1">
        <w:t xml:space="preserve"> </w:t>
      </w:r>
      <w:r w:rsidR="009F2537">
        <w:t>П</w:t>
      </w:r>
      <w:r w:rsidR="000579D1">
        <w:t xml:space="preserve">рез 2015 г. </w:t>
      </w:r>
      <w:r w:rsidR="009F2537">
        <w:t>по общинските бюджети са постъпили 513,0 млн. лв. приходи от такса за битови отпадъци, което е 99,5 % от разчетите към ЗДБРБ за 2015 г.</w:t>
      </w:r>
      <w:r w:rsidR="007D4838">
        <w:t xml:space="preserve"> и </w:t>
      </w:r>
      <w:r w:rsidR="009F2537">
        <w:t xml:space="preserve">с 8,8 млн. лв. </w:t>
      </w:r>
      <w:r w:rsidR="009F2537">
        <w:rPr>
          <w:lang w:val="en-US"/>
        </w:rPr>
        <w:t>(</w:t>
      </w:r>
      <w:r w:rsidR="009F2537">
        <w:t>1,7 %</w:t>
      </w:r>
      <w:r w:rsidR="009F2537">
        <w:rPr>
          <w:lang w:val="en-US"/>
        </w:rPr>
        <w:t>)</w:t>
      </w:r>
      <w:r w:rsidR="009F2537">
        <w:t xml:space="preserve"> повече спрямо 2014 г. </w:t>
      </w:r>
      <w:r w:rsidR="007D4838">
        <w:t xml:space="preserve">Приходите и доходите от общинска собственост през 2015 г. са в размер на 246,6 млн. лв., 98,1 % от разчетите към ЗДБРБ за 2015 г. и формират 21,1 % от неданъчните приходи, постъпили по общинските бюджети за годината. Съпоставени с 2014 г, те нарастват с 15,7 млн. лв., 6,8 %. </w:t>
      </w:r>
      <w:r w:rsidR="007603E9">
        <w:t xml:space="preserve">Постъпленията от продажба на нефинансови активи </w:t>
      </w:r>
      <w:r w:rsidR="004F47AE">
        <w:t>за 2015 г.</w:t>
      </w:r>
      <w:r w:rsidR="00897123">
        <w:t xml:space="preserve"> </w:t>
      </w:r>
      <w:r w:rsidR="007603E9">
        <w:t xml:space="preserve">са в размер на 134,0 млн. лв., 102,3 </w:t>
      </w:r>
      <w:r w:rsidR="004F47AE">
        <w:t>%</w:t>
      </w:r>
      <w:r w:rsidR="007603E9">
        <w:t xml:space="preserve"> изпълнение на годишните разчети към ЗДБРБ за 2015 г. и с 2,7 млн. лв. </w:t>
      </w:r>
      <w:r w:rsidR="007603E9">
        <w:rPr>
          <w:lang w:val="en-US"/>
        </w:rPr>
        <w:t>(</w:t>
      </w:r>
      <w:r w:rsidR="007603E9">
        <w:t>2,0 %</w:t>
      </w:r>
      <w:r w:rsidR="007603E9">
        <w:rPr>
          <w:lang w:val="en-US"/>
        </w:rPr>
        <w:t>)</w:t>
      </w:r>
      <w:r w:rsidR="007603E9">
        <w:t xml:space="preserve"> по-малко в сравнение с предходната година. През 2015 г. приходите от концесии по бюджетите на общините са в размер на 38,7 млн. лв., което е 98,2 % от  разчет</w:t>
      </w:r>
      <w:r w:rsidR="004F47AE">
        <w:t>а</w:t>
      </w:r>
      <w:r w:rsidR="007603E9">
        <w:t xml:space="preserve"> за годината и с 8,2 % повече спрямо изпълнението през 2014 г</w:t>
      </w:r>
      <w:r w:rsidR="004F47AE">
        <w:t>одина</w:t>
      </w:r>
      <w:r w:rsidR="007603E9">
        <w:t xml:space="preserve">. Приходите от глоби, санкции и наказателни лихви </w:t>
      </w:r>
      <w:r w:rsidR="004F47AE">
        <w:t xml:space="preserve">по общинските бюджети </w:t>
      </w:r>
      <w:r w:rsidR="007603E9">
        <w:t>са 58,3 млн. лв. или 96,3 % от годишния разчет и с 2,4 % повече спрямо изпълнението през 2014 г.</w:t>
      </w:r>
    </w:p>
    <w:p w:rsidR="007603E9" w:rsidRPr="007603E9" w:rsidRDefault="007603E9" w:rsidP="00066B39">
      <w:pPr>
        <w:widowControl w:val="0"/>
        <w:spacing w:after="120"/>
        <w:ind w:firstLine="720"/>
        <w:jc w:val="both"/>
      </w:pPr>
      <w:r>
        <w:t xml:space="preserve">През 2015 г. по общинските бюджети са постъпили 18,0 млн. лв. приходи от </w:t>
      </w:r>
      <w:r w:rsidRPr="00F34DBB">
        <w:rPr>
          <w:i/>
        </w:rPr>
        <w:t>помощи и дарения</w:t>
      </w:r>
      <w:r>
        <w:t>, което представлява 87,7 % от разчетените за годината 20,5 млн. лева.</w:t>
      </w:r>
    </w:p>
    <w:p w:rsidR="00066B39" w:rsidRDefault="00066B39" w:rsidP="00066B39">
      <w:pPr>
        <w:widowControl w:val="0"/>
        <w:spacing w:before="120" w:after="120"/>
        <w:ind w:firstLine="720"/>
        <w:jc w:val="both"/>
        <w:rPr>
          <w:lang w:val="en-US"/>
        </w:rPr>
      </w:pPr>
      <w:r>
        <w:t xml:space="preserve">Извършените </w:t>
      </w:r>
      <w:r w:rsidRPr="00EC33FC">
        <w:rPr>
          <w:b/>
        </w:rPr>
        <w:t>разходи</w:t>
      </w:r>
      <w:r>
        <w:t xml:space="preserve"> по общинските бюджети през 201</w:t>
      </w:r>
      <w:r>
        <w:rPr>
          <w:lang w:val="en-US"/>
        </w:rPr>
        <w:t>5</w:t>
      </w:r>
      <w:r>
        <w:t xml:space="preserve"> г. са в размер на 4 </w:t>
      </w:r>
      <w:r>
        <w:rPr>
          <w:lang w:val="en-US"/>
        </w:rPr>
        <w:t>6</w:t>
      </w:r>
      <w:r w:rsidR="00EC0738">
        <w:t>14</w:t>
      </w:r>
      <w:r>
        <w:t>,</w:t>
      </w:r>
      <w:r>
        <w:rPr>
          <w:lang w:val="en-US"/>
        </w:rPr>
        <w:t>4</w:t>
      </w:r>
      <w:r>
        <w:t xml:space="preserve"> млн. лв., което представлява </w:t>
      </w:r>
      <w:r>
        <w:rPr>
          <w:lang w:val="en-US"/>
        </w:rPr>
        <w:t>9</w:t>
      </w:r>
      <w:r w:rsidR="00EC0738">
        <w:t>8</w:t>
      </w:r>
      <w:r>
        <w:t>,</w:t>
      </w:r>
      <w:r w:rsidR="00EC0738">
        <w:t>8</w:t>
      </w:r>
      <w:r>
        <w:rPr>
          <w:lang w:val="en-US"/>
        </w:rPr>
        <w:t xml:space="preserve"> </w:t>
      </w:r>
      <w:r>
        <w:t>% от разчетените за годината 4</w:t>
      </w:r>
      <w:r>
        <w:rPr>
          <w:lang w:val="ru-RU"/>
        </w:rPr>
        <w:t> </w:t>
      </w:r>
      <w:r>
        <w:rPr>
          <w:lang w:val="en-US"/>
        </w:rPr>
        <w:t>671</w:t>
      </w:r>
      <w:r>
        <w:t>,</w:t>
      </w:r>
      <w:r>
        <w:rPr>
          <w:lang w:val="en-US"/>
        </w:rPr>
        <w:t>5</w:t>
      </w:r>
      <w:r>
        <w:t xml:space="preserve"> млн. лева. В сравнение с 201</w:t>
      </w:r>
      <w:r>
        <w:rPr>
          <w:lang w:val="en-US"/>
        </w:rPr>
        <w:t>4</w:t>
      </w:r>
      <w:r>
        <w:t xml:space="preserve"> г. разходите намаляват с 2</w:t>
      </w:r>
      <w:r w:rsidR="00EC0738">
        <w:t>85</w:t>
      </w:r>
      <w:r>
        <w:t xml:space="preserve">,4 млн. лв. </w:t>
      </w:r>
      <w:r>
        <w:rPr>
          <w:lang w:val="en-US"/>
        </w:rPr>
        <w:t>(5</w:t>
      </w:r>
      <w:r>
        <w:t>,</w:t>
      </w:r>
      <w:r w:rsidR="00EC0738">
        <w:t>8</w:t>
      </w:r>
      <w:r>
        <w:rPr>
          <w:lang w:val="en-US"/>
        </w:rPr>
        <w:t xml:space="preserve"> %)</w:t>
      </w:r>
      <w:r>
        <w:t>.</w:t>
      </w:r>
      <w:r>
        <w:rPr>
          <w:lang w:val="en-US"/>
        </w:rPr>
        <w:t xml:space="preserve"> </w:t>
      </w:r>
    </w:p>
    <w:p w:rsidR="00066B39" w:rsidRDefault="00066B39" w:rsidP="00066B39">
      <w:pPr>
        <w:widowControl w:val="0"/>
        <w:spacing w:before="120" w:after="120"/>
        <w:ind w:firstLine="720"/>
        <w:jc w:val="both"/>
      </w:pPr>
      <w:r>
        <w:rPr>
          <w:i/>
        </w:rPr>
        <w:lastRenderedPageBreak/>
        <w:t>Текущите разходи</w:t>
      </w:r>
      <w:r>
        <w:t xml:space="preserve"> са в размер на </w:t>
      </w:r>
      <w:r>
        <w:rPr>
          <w:lang w:val="en-US"/>
        </w:rPr>
        <w:t>3 85</w:t>
      </w:r>
      <w:r w:rsidR="002F0232">
        <w:t>0</w:t>
      </w:r>
      <w:r>
        <w:t>,</w:t>
      </w:r>
      <w:r w:rsidR="002F0232">
        <w:t>6</w:t>
      </w:r>
      <w:r>
        <w:t xml:space="preserve"> млн. лв. (</w:t>
      </w:r>
      <w:r>
        <w:rPr>
          <w:lang w:val="en-US"/>
        </w:rPr>
        <w:t>99</w:t>
      </w:r>
      <w:r>
        <w:t>,</w:t>
      </w:r>
      <w:r w:rsidR="002F0232">
        <w:t>3</w:t>
      </w:r>
      <w:r>
        <w:rPr>
          <w:lang w:val="en-US"/>
        </w:rPr>
        <w:t xml:space="preserve"> </w:t>
      </w:r>
      <w:r>
        <w:t xml:space="preserve">% от годишния разчет). </w:t>
      </w:r>
      <w:r w:rsidRPr="00133615">
        <w:t>От общия обем на текущите разходи отчетените суми за държавни дейности са в размер на 2 342,</w:t>
      </w:r>
      <w:r w:rsidR="00133615" w:rsidRPr="00133615">
        <w:t>2</w:t>
      </w:r>
      <w:r w:rsidRPr="00133615">
        <w:t xml:space="preserve"> млн. лв., за местни дейности – 1 38</w:t>
      </w:r>
      <w:r w:rsidR="00133615" w:rsidRPr="00133615">
        <w:t>0</w:t>
      </w:r>
      <w:r w:rsidRPr="00133615">
        <w:t>,</w:t>
      </w:r>
      <w:r w:rsidR="00133615" w:rsidRPr="00133615">
        <w:t>3</w:t>
      </w:r>
      <w:r w:rsidRPr="00133615">
        <w:t xml:space="preserve"> млн. лв. и 128,</w:t>
      </w:r>
      <w:r w:rsidR="00C506A7" w:rsidRPr="00133615">
        <w:t>1</w:t>
      </w:r>
      <w:r w:rsidRPr="00133615">
        <w:t xml:space="preserve"> млн. лв. са за дофинансиране на разходите в делегираните от държавата дейности с местни приходи.</w:t>
      </w:r>
      <w:r>
        <w:t xml:space="preserve"> Съпоставени с предходната година, текущите разходи намаляват със 1</w:t>
      </w:r>
      <w:r w:rsidR="002F0232">
        <w:t>63</w:t>
      </w:r>
      <w:r>
        <w:t>,</w:t>
      </w:r>
      <w:r w:rsidR="002F0232">
        <w:t>1</w:t>
      </w:r>
      <w:r>
        <w:t xml:space="preserve"> млн. лв. </w:t>
      </w:r>
      <w:r>
        <w:rPr>
          <w:lang w:val="en-US"/>
        </w:rPr>
        <w:t>(</w:t>
      </w:r>
      <w:r w:rsidR="002F0232">
        <w:t>4</w:t>
      </w:r>
      <w:r w:rsidR="00C506A7">
        <w:t>,</w:t>
      </w:r>
      <w:r w:rsidR="002F0232">
        <w:t>1</w:t>
      </w:r>
      <w:r>
        <w:rPr>
          <w:lang w:val="en-US"/>
        </w:rPr>
        <w:t xml:space="preserve"> </w:t>
      </w:r>
      <w:r>
        <w:t>%</w:t>
      </w:r>
      <w:r>
        <w:rPr>
          <w:lang w:val="en-US"/>
        </w:rPr>
        <w:t>)</w:t>
      </w:r>
      <w:r>
        <w:t xml:space="preserve">, а спрямо разчетените </w:t>
      </w:r>
      <w:r w:rsidR="004F47AE">
        <w:t>към ЗДБРБ за 2015 г.</w:t>
      </w:r>
      <w:r>
        <w:t xml:space="preserve"> средства - с 2</w:t>
      </w:r>
      <w:r w:rsidR="002F0232">
        <w:t>8</w:t>
      </w:r>
      <w:r>
        <w:t>,</w:t>
      </w:r>
      <w:r w:rsidR="002F0232">
        <w:t>5</w:t>
      </w:r>
      <w:r>
        <w:t xml:space="preserve"> млн. лв. </w:t>
      </w:r>
      <w:r>
        <w:rPr>
          <w:lang w:val="en-US"/>
        </w:rPr>
        <w:t>(</w:t>
      </w:r>
      <w:r>
        <w:t>0,</w:t>
      </w:r>
      <w:r w:rsidR="002F0232">
        <w:t>7</w:t>
      </w:r>
      <w:r>
        <w:t xml:space="preserve"> %</w:t>
      </w:r>
      <w:r>
        <w:rPr>
          <w:lang w:val="en-US"/>
        </w:rPr>
        <w:t>)</w:t>
      </w:r>
      <w:r>
        <w:t>. Намалението се дължи на по-високия размер на възстановения данъчен кредит на ДДС на общините през 2015 г. във връзка с ускореното усвояване на средства по европейски проекти. В структурата на отчетените за 2015 г. текущи разходи с най-голям относителен дял са разходите за персонал – 57,</w:t>
      </w:r>
      <w:r w:rsidR="002F0232">
        <w:t>8</w:t>
      </w:r>
      <w:r>
        <w:t xml:space="preserve"> % (2 226,</w:t>
      </w:r>
      <w:r w:rsidR="002F0232">
        <w:t>6</w:t>
      </w:r>
      <w:r>
        <w:t xml:space="preserve"> млн. лв.), следвани от тези за издръжка – 41,</w:t>
      </w:r>
      <w:r w:rsidR="002F0232">
        <w:t>2</w:t>
      </w:r>
      <w:r>
        <w:t xml:space="preserve"> % (1 584,</w:t>
      </w:r>
      <w:r w:rsidR="002F0232">
        <w:t>6</w:t>
      </w:r>
      <w:r>
        <w:t xml:space="preserve"> млн. лв.), текущите трансфери, обезщетения и помощи за домакинствата – 4,1 % (157,7 млн. лв.) и разходи за субсидии – 3,9</w:t>
      </w:r>
      <w:r w:rsidR="00D64D1A">
        <w:t xml:space="preserve"> </w:t>
      </w:r>
      <w:r>
        <w:t>% (1</w:t>
      </w:r>
      <w:r w:rsidR="00D64D1A">
        <w:t>50,0</w:t>
      </w:r>
      <w:r>
        <w:t xml:space="preserve"> млн. лв.). В структурата на текущите разходи с най-висок процент на изпълнение спрямо разчетените с КФП за 2015 г. са разходите за субсидии. Висок</w:t>
      </w:r>
      <w:r w:rsidR="0095566C">
        <w:t>ото</w:t>
      </w:r>
      <w:r>
        <w:t xml:space="preserve">  изпълнение се дължи на предоставените допълнителни средства на общините от централния бюджет за вътрешноградски и междуселищни превози.</w:t>
      </w:r>
    </w:p>
    <w:p w:rsidR="00066B39" w:rsidRDefault="00066B39" w:rsidP="00066B39">
      <w:pPr>
        <w:widowControl w:val="0"/>
        <w:spacing w:before="120" w:after="120"/>
        <w:ind w:firstLine="720"/>
        <w:jc w:val="both"/>
      </w:pPr>
      <w:r>
        <w:t xml:space="preserve">В разходите за издръжка с най-висок относителен дял са отчетените средства за външни услуги – </w:t>
      </w:r>
      <w:r>
        <w:rPr>
          <w:lang w:val="en-US"/>
        </w:rPr>
        <w:t>724</w:t>
      </w:r>
      <w:r>
        <w:t>,</w:t>
      </w:r>
      <w:r>
        <w:rPr>
          <w:lang w:val="en-US"/>
        </w:rPr>
        <w:t>4</w:t>
      </w:r>
      <w:r>
        <w:t xml:space="preserve"> млн. лв. (4</w:t>
      </w:r>
      <w:r>
        <w:rPr>
          <w:lang w:val="en-US"/>
        </w:rPr>
        <w:t>5</w:t>
      </w:r>
      <w:r>
        <w:t>,</w:t>
      </w:r>
      <w:r>
        <w:rPr>
          <w:lang w:val="en-US"/>
        </w:rPr>
        <w:t xml:space="preserve">7 </w:t>
      </w:r>
      <w:r>
        <w:t xml:space="preserve">%), следват средствата за </w:t>
      </w:r>
      <w:r w:rsidR="00ED7C4F">
        <w:t>материали</w:t>
      </w:r>
      <w:r>
        <w:t xml:space="preserve">, горива и енергия – </w:t>
      </w:r>
      <w:r w:rsidR="00ED7C4F">
        <w:t>441,</w:t>
      </w:r>
      <w:r w:rsidR="00793E71">
        <w:t>7</w:t>
      </w:r>
      <w:r>
        <w:t xml:space="preserve"> млн. лв. (</w:t>
      </w:r>
      <w:r w:rsidR="00ED7C4F">
        <w:t>27,9</w:t>
      </w:r>
      <w:r>
        <w:rPr>
          <w:lang w:val="en-US"/>
        </w:rPr>
        <w:t xml:space="preserve"> </w:t>
      </w:r>
      <w:r>
        <w:t>%), за текущ ремонт – 1</w:t>
      </w:r>
      <w:r>
        <w:rPr>
          <w:lang w:val="en-US"/>
        </w:rPr>
        <w:t>66</w:t>
      </w:r>
      <w:r>
        <w:t>,</w:t>
      </w:r>
      <w:r>
        <w:rPr>
          <w:lang w:val="en-US"/>
        </w:rPr>
        <w:t>8</w:t>
      </w:r>
      <w:r>
        <w:t xml:space="preserve"> млн. лв. (10,</w:t>
      </w:r>
      <w:r>
        <w:rPr>
          <w:lang w:val="en-US"/>
        </w:rPr>
        <w:t xml:space="preserve">5 </w:t>
      </w:r>
      <w:r>
        <w:t xml:space="preserve">%), </w:t>
      </w:r>
      <w:r w:rsidR="00ED7C4F">
        <w:t xml:space="preserve">за </w:t>
      </w:r>
      <w:r>
        <w:t>храна – 1</w:t>
      </w:r>
      <w:r>
        <w:rPr>
          <w:lang w:val="en-US"/>
        </w:rPr>
        <w:t>53</w:t>
      </w:r>
      <w:r>
        <w:t>,</w:t>
      </w:r>
      <w:r w:rsidR="00793E71">
        <w:t>3</w:t>
      </w:r>
      <w:r>
        <w:t xml:space="preserve"> млн. лв. (9,</w:t>
      </w:r>
      <w:r>
        <w:rPr>
          <w:lang w:val="en-US"/>
        </w:rPr>
        <w:t xml:space="preserve">7 </w:t>
      </w:r>
      <w:r>
        <w:t>%) и др.</w:t>
      </w:r>
    </w:p>
    <w:p w:rsidR="00066B39" w:rsidRPr="00ED7C4F" w:rsidRDefault="00066B39" w:rsidP="00066B39">
      <w:pPr>
        <w:widowControl w:val="0"/>
        <w:spacing w:after="120"/>
        <w:ind w:firstLine="720"/>
        <w:jc w:val="both"/>
      </w:pPr>
      <w:r>
        <w:t>Разходите за лихви възлизат на 43,0 млн. лв., в т.ч. 1</w:t>
      </w:r>
      <w:r w:rsidR="00850CE0">
        <w:t>7</w:t>
      </w:r>
      <w:r>
        <w:t>,6 млн. лв. лихви по външни заеми и 25,4 млн. лв. - лихви по вътрешни заеми</w:t>
      </w:r>
      <w:r w:rsidR="00ED7C4F">
        <w:t>.</w:t>
      </w:r>
    </w:p>
    <w:p w:rsidR="00066B39" w:rsidRDefault="00066B39" w:rsidP="00066B39">
      <w:pPr>
        <w:widowControl w:val="0"/>
        <w:spacing w:after="120"/>
        <w:ind w:firstLine="720"/>
        <w:jc w:val="both"/>
      </w:pPr>
      <w:r>
        <w:t>Отчетените за 201</w:t>
      </w:r>
      <w:r>
        <w:rPr>
          <w:lang w:val="en-US"/>
        </w:rPr>
        <w:t>5</w:t>
      </w:r>
      <w:r>
        <w:t xml:space="preserve"> г. </w:t>
      </w:r>
      <w:r>
        <w:rPr>
          <w:i/>
        </w:rPr>
        <w:t>капиталови разходи</w:t>
      </w:r>
      <w:r>
        <w:t xml:space="preserve"> по бюджетите </w:t>
      </w:r>
      <w:r w:rsidR="00850CE0">
        <w:t xml:space="preserve">на общините </w:t>
      </w:r>
      <w:r>
        <w:t xml:space="preserve">са в размер на </w:t>
      </w:r>
      <w:r>
        <w:rPr>
          <w:lang w:val="en-US"/>
        </w:rPr>
        <w:t>76</w:t>
      </w:r>
      <w:r w:rsidR="00793E71">
        <w:t>3</w:t>
      </w:r>
      <w:r>
        <w:t>,</w:t>
      </w:r>
      <w:r w:rsidR="00793E71">
        <w:t>8</w:t>
      </w:r>
      <w:r>
        <w:t xml:space="preserve"> млн. лв., което представлява </w:t>
      </w:r>
      <w:r>
        <w:rPr>
          <w:lang w:val="en-US"/>
        </w:rPr>
        <w:t>96</w:t>
      </w:r>
      <w:r>
        <w:t>,</w:t>
      </w:r>
      <w:r w:rsidR="00793E71">
        <w:t>4</w:t>
      </w:r>
      <w:r>
        <w:rPr>
          <w:lang w:val="en-US"/>
        </w:rPr>
        <w:t xml:space="preserve"> </w:t>
      </w:r>
      <w:r>
        <w:t>% от годишния разчет за 201</w:t>
      </w:r>
      <w:r>
        <w:rPr>
          <w:lang w:val="en-US"/>
        </w:rPr>
        <w:t>5</w:t>
      </w:r>
      <w:r>
        <w:t xml:space="preserve"> г. и </w:t>
      </w:r>
      <w:r>
        <w:rPr>
          <w:lang w:val="en-US"/>
        </w:rPr>
        <w:t>86</w:t>
      </w:r>
      <w:r>
        <w:t>,</w:t>
      </w:r>
      <w:r w:rsidR="00793E71">
        <w:t>2</w:t>
      </w:r>
      <w:r>
        <w:rPr>
          <w:lang w:val="en-US"/>
        </w:rPr>
        <w:t xml:space="preserve"> </w:t>
      </w:r>
      <w:r>
        <w:t>% спрямо отчетените през 201</w:t>
      </w:r>
      <w:r>
        <w:rPr>
          <w:lang w:val="en-US"/>
        </w:rPr>
        <w:t>4</w:t>
      </w:r>
      <w:r>
        <w:t xml:space="preserve"> г. По-ниския</w:t>
      </w:r>
      <w:r w:rsidR="00850CE0">
        <w:t>т</w:t>
      </w:r>
      <w:r>
        <w:t xml:space="preserve"> размер на отчетените капиталови разходи през 2015 г. спрямо отчетените за 2014 г., се дължи на предоставените на общините през 2014 г. допълнителни средства с ПМС № 19/2014 г. (изм. и доп. с ПМС № 333 и ПМС № 435) за целите на Публичната инвестиционна програма „Растеж и устойчиво развитие на регионите“.</w:t>
      </w:r>
    </w:p>
    <w:p w:rsidR="00066B39" w:rsidRDefault="00066B39" w:rsidP="00066B39">
      <w:pPr>
        <w:widowControl w:val="0"/>
        <w:spacing w:after="120"/>
        <w:ind w:firstLine="720"/>
        <w:jc w:val="both"/>
      </w:pPr>
      <w:r>
        <w:t>С най-голям относителен дял от отчетените капиталовите разходи – 49,</w:t>
      </w:r>
      <w:r w:rsidR="00FC7C28">
        <w:t>9</w:t>
      </w:r>
      <w:r>
        <w:t xml:space="preserve"> % са разходите за придобиване на дълготрайни материални активи, следвани от разходите за основен ремонт – 46,</w:t>
      </w:r>
      <w:r w:rsidR="00FC7C28">
        <w:t>4</w:t>
      </w:r>
      <w:r>
        <w:t xml:space="preserve"> %. </w:t>
      </w:r>
      <w:r w:rsidRPr="00133615">
        <w:t>От отчетените през 2015 г. от общините капиталови разходи 6</w:t>
      </w:r>
      <w:r w:rsidR="00133615" w:rsidRPr="00133615">
        <w:t>59,6</w:t>
      </w:r>
      <w:r w:rsidRPr="00133615">
        <w:t xml:space="preserve"> млн. лв. или 86,</w:t>
      </w:r>
      <w:r w:rsidR="00133615">
        <w:t>3</w:t>
      </w:r>
      <w:r w:rsidRPr="00133615">
        <w:t xml:space="preserve"> % са за местни дейности. За делегираните от държавата дейности са отчетени 80,7 млн. лв. или 10,</w:t>
      </w:r>
      <w:r w:rsidR="00133615">
        <w:t>6</w:t>
      </w:r>
      <w:r w:rsidRPr="00133615">
        <w:t xml:space="preserve"> %, а за дофинансиране със собствени приходи са отчетени 23,5 млн. лв. или 3,1 %.</w:t>
      </w:r>
    </w:p>
    <w:p w:rsidR="00066B39" w:rsidRDefault="00066B39" w:rsidP="00066B39">
      <w:pPr>
        <w:widowControl w:val="0"/>
        <w:spacing w:after="120"/>
        <w:ind w:firstLine="720"/>
        <w:jc w:val="both"/>
      </w:pPr>
      <w:r>
        <w:t xml:space="preserve">В изпълнение на ПМС № 19/2014 г., изм. и доп. с ПМС № 435/2014 г. през 2014 г. е предоставена целева субсидия в размер на 13,5 млн. лв. за довършване и разплащане през 2015 г. на 40 проекта на общините по Публичната инвестиционна програма „Растеж и устойчиво развитие на регионите“. Отчетените от общините през 2015 г. разходи за тези проекти са общо в размер на 12,5 млн. лв., като неусвоените средства </w:t>
      </w:r>
      <w:r w:rsidR="00850CE0">
        <w:t>с</w:t>
      </w:r>
      <w:r>
        <w:t>а възстановени на централния бюджет. Усвоените средства са за довършване на обекти съответно: за развитие на културата и спорта (реконструкции и изграждане на спортни зали, стадиони, изложбени зали) 5,5 млн. лв. или 44,0 % от усвоените през 2015 г. средства; за изграждане и реконструкции на детски градини и училища – 4,6 млн. лв. или 36,7 % от усвоените средства; за благоустрояване и довършване на обекти за ремонт и реконструкция на водоснабдителна и канализационна инфраструктура 2,0 млн. лв. или 16,0 % от усвоените средства; за основен ремонт на общински сгради 0,2 млн. лв. или 1,9 % и за ремонт на пътища и доизграждане на общински пазар 0,17 млн. лв. или 1,4 %.</w:t>
      </w:r>
    </w:p>
    <w:p w:rsidR="00B8289A" w:rsidRPr="00B8289A" w:rsidRDefault="00B8289A" w:rsidP="00B8289A">
      <w:pPr>
        <w:ind w:firstLine="567"/>
        <w:jc w:val="both"/>
      </w:pPr>
      <w:r w:rsidRPr="00EC33FC">
        <w:rPr>
          <w:b/>
        </w:rPr>
        <w:lastRenderedPageBreak/>
        <w:t xml:space="preserve"> Нетните трансфери/субсидии</w:t>
      </w:r>
      <w:r w:rsidRPr="00EC33FC">
        <w:t xml:space="preserve"> получени от общините през 2015 г.,</w:t>
      </w:r>
      <w:r w:rsidRPr="00EC33FC">
        <w:rPr>
          <w:b/>
        </w:rPr>
        <w:t xml:space="preserve"> </w:t>
      </w:r>
      <w:r w:rsidRPr="00B8289A">
        <w:t xml:space="preserve">са в размер на </w:t>
      </w:r>
      <w:r>
        <w:t>2 4</w:t>
      </w:r>
      <w:r w:rsidR="00FC7C28">
        <w:t>82</w:t>
      </w:r>
      <w:r>
        <w:t>,</w:t>
      </w:r>
      <w:r w:rsidR="00FC7C28">
        <w:t>3</w:t>
      </w:r>
      <w:r w:rsidRPr="00B8289A">
        <w:t xml:space="preserve"> млн. лева. </w:t>
      </w:r>
    </w:p>
    <w:p w:rsidR="00B8289A" w:rsidRDefault="00B8289A" w:rsidP="00066B39">
      <w:pPr>
        <w:widowControl w:val="0"/>
        <w:spacing w:after="120"/>
        <w:ind w:firstLine="720"/>
        <w:jc w:val="both"/>
      </w:pPr>
    </w:p>
    <w:p w:rsidR="00066B39" w:rsidRDefault="00066B39" w:rsidP="00066B39">
      <w:pPr>
        <w:widowControl w:val="0"/>
        <w:spacing w:after="120"/>
        <w:ind w:firstLine="720"/>
        <w:jc w:val="both"/>
      </w:pPr>
      <w:r>
        <w:t>Бюджетните взаимоотношения на общините с централния бюджет за 2015 г. възлизат на 2 862,1 млн. лв., в т. ч.:</w:t>
      </w:r>
    </w:p>
    <w:p w:rsidR="00066B39" w:rsidRDefault="00066B39" w:rsidP="00EC33FC">
      <w:pPr>
        <w:widowControl w:val="0"/>
        <w:tabs>
          <w:tab w:val="left" w:pos="993"/>
        </w:tabs>
        <w:ind w:firstLine="720"/>
        <w:jc w:val="both"/>
      </w:pPr>
      <w:r>
        <w:t>•</w:t>
      </w:r>
      <w:r>
        <w:tab/>
        <w:t>обща субсидия за делегирани от държавата дейности – 2 180,0 млн. лв.;</w:t>
      </w:r>
    </w:p>
    <w:p w:rsidR="00066B39" w:rsidRDefault="00066B39" w:rsidP="00EC33FC">
      <w:pPr>
        <w:widowControl w:val="0"/>
        <w:tabs>
          <w:tab w:val="left" w:pos="993"/>
        </w:tabs>
        <w:ind w:firstLine="720"/>
        <w:jc w:val="both"/>
      </w:pPr>
      <w:r>
        <w:t>•</w:t>
      </w:r>
      <w:r>
        <w:tab/>
        <w:t>общо трансфери за местни дейности – 287,0 млн. лв.;</w:t>
      </w:r>
    </w:p>
    <w:p w:rsidR="00066B39" w:rsidRDefault="00066B39" w:rsidP="00EC33FC">
      <w:pPr>
        <w:widowControl w:val="0"/>
        <w:tabs>
          <w:tab w:val="left" w:pos="993"/>
        </w:tabs>
        <w:ind w:firstLine="720"/>
        <w:jc w:val="both"/>
      </w:pPr>
      <w:r>
        <w:t>•</w:t>
      </w:r>
      <w:r>
        <w:tab/>
        <w:t xml:space="preserve">целева субсидия за капиталови разходи – 221,4 млн. лв.; </w:t>
      </w:r>
    </w:p>
    <w:p w:rsidR="00066B39" w:rsidRDefault="00066B39" w:rsidP="00EC33FC">
      <w:pPr>
        <w:widowControl w:val="0"/>
        <w:tabs>
          <w:tab w:val="left" w:pos="993"/>
        </w:tabs>
        <w:ind w:firstLine="720"/>
        <w:jc w:val="both"/>
      </w:pPr>
      <w:r>
        <w:t>•</w:t>
      </w:r>
      <w:r>
        <w:tab/>
        <w:t>други целеви трансфери от ЦБ – 177,</w:t>
      </w:r>
      <w:r w:rsidR="00850CE0">
        <w:t>6</w:t>
      </w:r>
      <w:r>
        <w:t xml:space="preserve"> млн. лв.;</w:t>
      </w:r>
    </w:p>
    <w:p w:rsidR="00066B39" w:rsidRDefault="00066B39" w:rsidP="00EC33FC">
      <w:pPr>
        <w:widowControl w:val="0"/>
        <w:tabs>
          <w:tab w:val="left" w:pos="993"/>
        </w:tabs>
        <w:ind w:firstLine="720"/>
        <w:jc w:val="both"/>
      </w:pPr>
      <w:r>
        <w:t>•</w:t>
      </w:r>
      <w:r>
        <w:tab/>
        <w:t>възстановени трансфери (субсидии) в ЦБ – (-4</w:t>
      </w:r>
      <w:r w:rsidR="008318BD">
        <w:t>,0</w:t>
      </w:r>
      <w:r>
        <w:t>) млн. лева.</w:t>
      </w:r>
    </w:p>
    <w:p w:rsidR="00066B39" w:rsidRDefault="00066B39" w:rsidP="00EC33FC">
      <w:pPr>
        <w:widowControl w:val="0"/>
        <w:spacing w:before="120" w:after="120"/>
        <w:ind w:firstLine="720"/>
        <w:jc w:val="both"/>
      </w:pPr>
      <w:r>
        <w:t>Спрямо утвърдените в ЗДБРБ за 201</w:t>
      </w:r>
      <w:r>
        <w:rPr>
          <w:lang w:val="en-US"/>
        </w:rPr>
        <w:t>5</w:t>
      </w:r>
      <w:r>
        <w:t xml:space="preserve"> г. бюджетни взаимоотношения на общините с ЦБ – 2</w:t>
      </w:r>
      <w:r>
        <w:rPr>
          <w:lang w:val="en-US"/>
        </w:rPr>
        <w:t> 485</w:t>
      </w:r>
      <w:r>
        <w:t>,</w:t>
      </w:r>
      <w:r>
        <w:rPr>
          <w:lang w:val="en-US"/>
        </w:rPr>
        <w:t>6</w:t>
      </w:r>
      <w:r>
        <w:t xml:space="preserve"> млн. лв., отчетът показва увеличение от </w:t>
      </w:r>
      <w:r>
        <w:rPr>
          <w:lang w:val="en-US"/>
        </w:rPr>
        <w:t>376</w:t>
      </w:r>
      <w:r>
        <w:t xml:space="preserve">,4 млн. лв. или с </w:t>
      </w:r>
      <w:r>
        <w:rPr>
          <w:lang w:val="ru-RU"/>
        </w:rPr>
        <w:t>15,</w:t>
      </w:r>
      <w:r>
        <w:t xml:space="preserve">1 %, което произтича от увеличение на общата субсидия за делегирани от държавата дейности със 113,2 млн. лв., на целевата субсидия за капиталови разходи с 89,6 млн. лв., предоставените целеви трансфери от ЦБ </w:t>
      </w:r>
      <w:r w:rsidR="008318BD">
        <w:t>177,6</w:t>
      </w:r>
      <w:r>
        <w:t xml:space="preserve"> млн. лв. и възстановените в ЦБ трансфери в размер на 4</w:t>
      </w:r>
      <w:r w:rsidR="00A468AA">
        <w:t>,</w:t>
      </w:r>
      <w:r>
        <w:t xml:space="preserve">0 млн. лева. Увеличенията се дължат основно на направените </w:t>
      </w:r>
      <w:r w:rsidR="00A80FF6" w:rsidRPr="00A80FF6">
        <w:t>промени</w:t>
      </w:r>
      <w:r>
        <w:t xml:space="preserve"> на бюджетните взаимоотношения на общините с ЦБ през 2015 г., с които са им предоставени допълнително средства над предвидените по чл. 50 от ЗДБРБ за 2015 г. </w:t>
      </w:r>
    </w:p>
    <w:p w:rsidR="00066B39" w:rsidRDefault="00066B39" w:rsidP="00066B39">
      <w:pPr>
        <w:widowControl w:val="0"/>
        <w:spacing w:after="120"/>
        <w:ind w:firstLine="720"/>
        <w:jc w:val="both"/>
      </w:pPr>
      <w:r>
        <w:t>Общият компенсиран размер на допълнителните средства през 2015 г. е 380,</w:t>
      </w:r>
      <w:r w:rsidR="00AD4162">
        <w:t>4</w:t>
      </w:r>
      <w:r>
        <w:t xml:space="preserve"> млн. лв., предоставени както следва:</w:t>
      </w:r>
    </w:p>
    <w:p w:rsidR="00066B39" w:rsidRDefault="00066B39" w:rsidP="00066B39">
      <w:pPr>
        <w:widowControl w:val="0"/>
        <w:spacing w:after="120"/>
        <w:ind w:firstLine="720"/>
        <w:jc w:val="both"/>
      </w:pPr>
      <w:r>
        <w:t>1. Като обща субсидия за делегирани от държавата дейности – 113,2 млн. лв. Средствата са предоставени в изпълнение на разпоредбите на Закона за публичните финанси и на Постановление №</w:t>
      </w:r>
      <w:r w:rsidR="008575D6">
        <w:t xml:space="preserve"> </w:t>
      </w:r>
      <w:r>
        <w:t xml:space="preserve">8 на Министерския </w:t>
      </w:r>
      <w:r w:rsidRPr="008575D6">
        <w:t xml:space="preserve">съвет </w:t>
      </w:r>
      <w:r w:rsidR="008575D6" w:rsidRPr="008575D6">
        <w:t xml:space="preserve">от 2015 г. </w:t>
      </w:r>
      <w:r w:rsidRPr="008575D6">
        <w:t>за</w:t>
      </w:r>
      <w:r>
        <w:t xml:space="preserve"> изпълнението на държавния бюджет на Република България за 2015 г., както и в изпълнение на Закона за народната просвета, Закона за закрила на детето, Закона за закрила и развитие на културата, Закона за физическото възпитание и спорта, Закона за социално подпомагане, както и подзаконовата уредба, приета на основание на тези закони. Основните направления на разпределение на средствата са за промяна в броя на децата в детските градини и детските ясли, промяна в броя на учениците в училищата, промяна на местата в институциите за социална грижа и подкрепа, за целодневна организация на учебния ден за ученици, за учебници на учениците от 1</w:t>
      </w:r>
      <w:r>
        <w:rPr>
          <w:vertAlign w:val="superscript"/>
        </w:rPr>
        <w:t>-ви</w:t>
      </w:r>
      <w:r>
        <w:t xml:space="preserve"> до 7</w:t>
      </w:r>
      <w:r>
        <w:rPr>
          <w:vertAlign w:val="superscript"/>
        </w:rPr>
        <w:t>-ми</w:t>
      </w:r>
      <w:r>
        <w:t xml:space="preserve"> клас, за пътуване на педагогическия персонал, за постигнати резултати от труда на директорите на училища и детски градини, за увеличаване на стандартите в образованието (ПМС294/30.10.2015 г.), за национални програми в областта на средното образование, за изплащане на стипендии на деца с изявени дарби, за национални прояви и чествания на събития, за физическо възпитание и спорт, за общинска администрация на новосъздадената община Сърница.</w:t>
      </w:r>
    </w:p>
    <w:p w:rsidR="00066B39" w:rsidRDefault="00066B39" w:rsidP="00066B39">
      <w:pPr>
        <w:widowControl w:val="0"/>
        <w:spacing w:after="120"/>
        <w:ind w:firstLine="720"/>
        <w:jc w:val="both"/>
      </w:pPr>
      <w:r>
        <w:t>2. Като целева субсидия за капиталови разходи – 89,</w:t>
      </w:r>
      <w:r w:rsidR="008318BD">
        <w:t>6</w:t>
      </w:r>
      <w:r>
        <w:t xml:space="preserve"> млн. лева. Тези средства са отпуснати в изпълнение на разпоредбите на Закона за публичните финанси и на редица постановления на Министерския съвет за предоставяне на допълнителни средства по бюджетите на общини за финансиране на инфраструктурни обекти (ПМС №41, ПМС№56, ПМС №81, ПМС №113, ПМС №117, ПМС №134, ПМС №145, ПМС №154, ПМС №187, ПМС №203, ПМС №232, ПМС №251, ПМС №350, ПМС №369 и ПМС №377).</w:t>
      </w:r>
    </w:p>
    <w:p w:rsidR="00066B39" w:rsidRDefault="00066B39" w:rsidP="00066B39">
      <w:pPr>
        <w:widowControl w:val="0"/>
        <w:spacing w:after="120"/>
        <w:ind w:firstLine="720"/>
        <w:jc w:val="both"/>
      </w:pPr>
      <w:r>
        <w:t>3. Като получени от общините целеви трансфери от ЦБ – 177,</w:t>
      </w:r>
      <w:r w:rsidR="008318BD">
        <w:t>6</w:t>
      </w:r>
      <w:r>
        <w:t xml:space="preserve"> млн. лева. Средствата са преведени в изпълнение на Закона за публичните финанси, в изпълнение на постановления на Министерския съвет за предоставяне на допълнителни средства по бюджетите на някои общини (ПМС №154, ПМС №187, ПМС №350 и ПМС №369), както и в изпълнение на решения на Междуведомствената комисия за възстановяване и подпомагане към Министерския съвет в случаите на стихийни бедствия и аварии. </w:t>
      </w:r>
      <w:r>
        <w:lastRenderedPageBreak/>
        <w:t>Предоставени са средства и за вътрешноградски и междуселищни превози, компенсации на безплатния превоз на учениците до 16-годишна възраст, компенсации на безплатните и по намалени цени пътувания и други.</w:t>
      </w:r>
    </w:p>
    <w:p w:rsidR="00066B39" w:rsidRDefault="00066B39" w:rsidP="00066B39">
      <w:pPr>
        <w:widowControl w:val="0"/>
        <w:spacing w:after="120"/>
        <w:ind w:firstLine="720"/>
        <w:jc w:val="both"/>
      </w:pPr>
      <w:r>
        <w:t>В края на 2015 г. общините отчитат отрицателен нетен размер на временните безлихвени заеми (– 50,</w:t>
      </w:r>
      <w:r w:rsidR="00E526F6">
        <w:t>4</w:t>
      </w:r>
      <w:r>
        <w:t>) млн. лв., от които:</w:t>
      </w:r>
    </w:p>
    <w:p w:rsidR="00066B39" w:rsidRDefault="00066B39" w:rsidP="00781B85">
      <w:pPr>
        <w:widowControl w:val="0"/>
        <w:numPr>
          <w:ilvl w:val="0"/>
          <w:numId w:val="55"/>
        </w:numPr>
        <w:tabs>
          <w:tab w:val="left" w:pos="993"/>
        </w:tabs>
        <w:spacing w:after="120"/>
        <w:jc w:val="both"/>
      </w:pPr>
      <w:r>
        <w:t>„</w:t>
      </w:r>
      <w:r>
        <w:rPr>
          <w:i/>
        </w:rPr>
        <w:t xml:space="preserve">Получени/предоставени временни безлихвени заеми от/за ЦБ. </w:t>
      </w:r>
      <w:r>
        <w:t xml:space="preserve">Нетният размер на тези заеми в края на годината е </w:t>
      </w:r>
      <w:r w:rsidRPr="00EC33FC">
        <w:t>23,0</w:t>
      </w:r>
      <w:r>
        <w:t xml:space="preserve"> млн. лева. Тук са отчетени получените от общините 23,4 млн. лв. безлихвени заеми от ЦБ за </w:t>
      </w:r>
      <w:r>
        <w:rPr>
          <w:i/>
        </w:rPr>
        <w:t>временни касови разриви</w:t>
      </w:r>
      <w:r>
        <w:t xml:space="preserve"> (чл.103. ал.1 по ЗПФ) и нетния размер (</w:t>
      </w:r>
      <w:r>
        <w:rPr>
          <w:lang w:val="en-US"/>
        </w:rPr>
        <w:t>-</w:t>
      </w:r>
      <w:r>
        <w:t>0,4) млн. лв. на получените (601,5 млн. лв.) и погасени (-601</w:t>
      </w:r>
      <w:r w:rsidR="00B8289A">
        <w:t>,</w:t>
      </w:r>
      <w:r>
        <w:t>9 млн. лв.) безлихвени заеми от ЦБ за</w:t>
      </w:r>
      <w:r>
        <w:rPr>
          <w:i/>
        </w:rPr>
        <w:t xml:space="preserve"> финансиране на разходи до възстановяването им по одобрени проекти по програми, съфинансирани от ЕС</w:t>
      </w:r>
      <w:r>
        <w:t xml:space="preserve"> (Програмата за развитие на селските райони, Програма за развитие на сектор „Рибарство“ и САПАРД); </w:t>
      </w:r>
    </w:p>
    <w:p w:rsidR="00066B39" w:rsidRDefault="00066B39" w:rsidP="00781B85">
      <w:pPr>
        <w:widowControl w:val="0"/>
        <w:numPr>
          <w:ilvl w:val="0"/>
          <w:numId w:val="55"/>
        </w:numPr>
        <w:tabs>
          <w:tab w:val="left" w:pos="993"/>
        </w:tabs>
        <w:spacing w:after="120"/>
        <w:jc w:val="both"/>
      </w:pPr>
      <w:r>
        <w:rPr>
          <w:i/>
        </w:rPr>
        <w:t xml:space="preserve">„Временни безлихвени заеми между бюджети и сметки за средствата от ЕС. </w:t>
      </w:r>
      <w:r>
        <w:t xml:space="preserve">Тук са отчитани операциите по заемообразното прехвърляне от общините на бюджетните им средства в сметките за европейски средства, с цел авансово финансиране на проекти по ЕС. Нетният размер за 2015 г. на тези операции е отрицателен </w:t>
      </w:r>
      <w:r w:rsidRPr="00D86C7F">
        <w:t>(</w:t>
      </w:r>
      <w:r w:rsidRPr="00EC33FC">
        <w:t>-73,</w:t>
      </w:r>
      <w:r w:rsidR="00E526F6">
        <w:t>7</w:t>
      </w:r>
      <w:r>
        <w:t xml:space="preserve"> млн. лв.). </w:t>
      </w:r>
    </w:p>
    <w:p w:rsidR="00066B39" w:rsidRDefault="00066B39" w:rsidP="00781B85">
      <w:pPr>
        <w:widowControl w:val="0"/>
        <w:numPr>
          <w:ilvl w:val="0"/>
          <w:numId w:val="55"/>
        </w:numPr>
        <w:tabs>
          <w:tab w:val="left" w:pos="993"/>
        </w:tabs>
        <w:spacing w:after="120"/>
        <w:jc w:val="both"/>
      </w:pPr>
      <w:r>
        <w:t>„</w:t>
      </w:r>
      <w:r>
        <w:rPr>
          <w:i/>
        </w:rPr>
        <w:t>Временни безлихвени заеми от/за държавни предприятия и други сметки, включени в консолидираната фискална програма</w:t>
      </w:r>
      <w:r>
        <w:t>. Тук е отчетен нетния</w:t>
      </w:r>
      <w:r w:rsidR="00D86C7F">
        <w:t>т</w:t>
      </w:r>
      <w:r>
        <w:t xml:space="preserve"> размер (</w:t>
      </w:r>
      <w:r>
        <w:rPr>
          <w:b/>
        </w:rPr>
        <w:t>-</w:t>
      </w:r>
      <w:r w:rsidRPr="00EC33FC">
        <w:t>1,9</w:t>
      </w:r>
      <w:r>
        <w:rPr>
          <w:b/>
        </w:rPr>
        <w:t xml:space="preserve"> </w:t>
      </w:r>
      <w:r>
        <w:t xml:space="preserve">млн. лв.) на получените и възстановените заемни средства от ПУДООС, както и нетния размер на получените в бюджета безлихвени заеми от сметки за чужди средства в размер на </w:t>
      </w:r>
      <w:r w:rsidRPr="00EC33FC">
        <w:t>2,2</w:t>
      </w:r>
      <w:r>
        <w:t xml:space="preserve"> млн. лева.</w:t>
      </w:r>
    </w:p>
    <w:p w:rsidR="00066B39" w:rsidRDefault="00066B39" w:rsidP="00066B39">
      <w:pPr>
        <w:widowControl w:val="0"/>
        <w:spacing w:after="120"/>
        <w:ind w:firstLine="720"/>
        <w:jc w:val="both"/>
      </w:pPr>
      <w:r>
        <w:rPr>
          <w:u w:val="single"/>
        </w:rPr>
        <w:t>Външното финансиране</w:t>
      </w:r>
      <w:r>
        <w:t xml:space="preserve"> по бюджетите на общините включва усвоявания и погашения по външни заеми. То включва постъпления и погашения по договори за общински заеми с чуждестранни кредитори, като нетния му размер е 29,2 млн. лв. През 2015 г. получените външни заеми са 44,4 млн. лв., като средствата са за изпълнение на големи инвестиционни проекти в три общини: София (проект „Рехабилитация на общинските улици“; проект „Изпълнение на дейности за подобряване на качеството на атмосферния въздух чрез закупуване и доставка на автобуси“ и проект „Изграждане на интегрирана система от съоръжения за третиране на битовите отпадъци на Столична община“); община Варна (проект „Интегриран градски транспорт“) и община Бургас (проект „Интегриран градски транспорт“). Изплатените главници по външни заеми за годината са в размер на 15,2 млн. лв., като те са извършени от четири общини по сключени от тях през предходни години договори за заеми – Столична община – 11,1 млн. лв., Сливен – 2,3 млн. лв., Бургас – 1,5 млн. лв. и Ловеч – 0,3 млн. лв. Погашенията на Столична община са по заеми за метрото, за инженерна инфраструктура и за изграждане на жилища на ромски семейства в община София. </w:t>
      </w:r>
    </w:p>
    <w:p w:rsidR="00066B39" w:rsidRDefault="00066B39" w:rsidP="00066B39">
      <w:pPr>
        <w:widowControl w:val="0"/>
        <w:spacing w:after="120"/>
        <w:ind w:firstLine="720"/>
        <w:jc w:val="both"/>
      </w:pPr>
      <w:r>
        <w:t xml:space="preserve">В края на 2015 г. </w:t>
      </w:r>
      <w:r w:rsidRPr="00EC33FC">
        <w:rPr>
          <w:u w:val="single"/>
        </w:rPr>
        <w:t>вътрешното финансиране</w:t>
      </w:r>
      <w:r>
        <w:t xml:space="preserve"> по бюджетите на общините е в размер на </w:t>
      </w:r>
      <w:r w:rsidR="00D47DC0">
        <w:rPr>
          <w:lang w:val="en-US"/>
        </w:rPr>
        <w:t>206</w:t>
      </w:r>
      <w:r w:rsidR="00D47DC0">
        <w:t>,</w:t>
      </w:r>
      <w:r w:rsidR="00D47DC0">
        <w:rPr>
          <w:lang w:val="en-US"/>
        </w:rPr>
        <w:t>4</w:t>
      </w:r>
      <w:r>
        <w:t xml:space="preserve"> млн. лв. и включва нетния размер на операциите по заеми от банки и други лица в страната; операции с общински ценни книжа; покупко-продажба на държавни (общински) ценни книжа; събрани средства и извършени плащания за сметка на други бюджети, сметки и фондове; нетно изменение на депозитите и средства по сметки; предоставени кредити и временна финансова помощ; придобиване на дялове, акции и съучастия и друго финансиране.</w:t>
      </w:r>
    </w:p>
    <w:p w:rsidR="00066B39" w:rsidRDefault="00066B39" w:rsidP="00066B39">
      <w:pPr>
        <w:widowControl w:val="0"/>
        <w:spacing w:after="120"/>
        <w:ind w:firstLine="720"/>
        <w:jc w:val="both"/>
      </w:pPr>
      <w:r>
        <w:t xml:space="preserve">Получените по бюджетите на общините през 2015 г. заеми от банки в страната са в размер на 83,5 млн. лв., а погашенията към същите са за 74,7 млн. лв. или нетната сума е положителна и е в размер на 8,8 млн. лв. В сравнение с предходната година, размерът на получените средства по заеми от банки през 2015 г. е нараснал (с около 30 млн. лв.), при относително същия размер на направените погашения. Заемите са поемани за финансиране </w:t>
      </w:r>
      <w:r>
        <w:lastRenderedPageBreak/>
        <w:t>на инвестиционни обекти (вкл.</w:t>
      </w:r>
      <w:r w:rsidR="00E92148">
        <w:t xml:space="preserve"> </w:t>
      </w:r>
      <w:r>
        <w:t>за финансиране на проекти по ЕС), както и за финансиране на временен недостиг на средства по бюджетите на общините.</w:t>
      </w:r>
    </w:p>
    <w:p w:rsidR="00066B39" w:rsidRDefault="00066B39" w:rsidP="00066B39">
      <w:pPr>
        <w:widowControl w:val="0"/>
        <w:spacing w:after="120"/>
        <w:ind w:firstLine="720"/>
        <w:jc w:val="both"/>
      </w:pPr>
      <w:r>
        <w:t>От други лица в страната общините са получили заеми в размер на 27</w:t>
      </w:r>
      <w:r w:rsidR="0097157F">
        <w:t>6</w:t>
      </w:r>
      <w:r>
        <w:t>,3 млн. лв., а направените погашения са 15</w:t>
      </w:r>
      <w:r w:rsidR="0097157F">
        <w:t>9,0</w:t>
      </w:r>
      <w:r>
        <w:t xml:space="preserve"> млн. лв. Най-голяма част в тази група кредитори има „ФЛАГ“ ЕАД, като получените заеми от общините през 2015 г. от фонд</w:t>
      </w:r>
      <w:r w:rsidR="0097157F">
        <w:t>а</w:t>
      </w:r>
      <w:r>
        <w:t xml:space="preserve"> са 255,9 млн. лв., а погасените заеми към него – 15</w:t>
      </w:r>
      <w:r w:rsidR="0097157F">
        <w:t>5,8</w:t>
      </w:r>
      <w:r>
        <w:t xml:space="preserve"> млн. лв. В сравнение с 2014 г. получените през 2015 г. заеми от ФЛАГ са с 97,8 млн.</w:t>
      </w:r>
      <w:r w:rsidR="00E92148">
        <w:t xml:space="preserve"> </w:t>
      </w:r>
      <w:r>
        <w:t xml:space="preserve">лв. повече, което е свързано с приключване на стария програмен период и необходимостта от финализиране на разплащанията на общините по проектите, финансирани по оперативните програми. Със заемите от фонда е финансирано изпълнението на европейски проекти, като една част от тях са ползвани за финансиране на допустимите разходи, които след това се възстановяваха от управляващите органи, а другата част на заемите от ФЛАГ са свързани с финансиране на собственото участие на общините в проектите. Друг кредитор от тази група е Фонд „Енергийна ефективност“, с който общините сключват договори за заеми с цел финансиране на проекти за саниране на сгради, общинска собственост и въвеждане на мерки за енергийна ефективност. </w:t>
      </w:r>
    </w:p>
    <w:p w:rsidR="00066B39" w:rsidRDefault="00066B39" w:rsidP="00066B39">
      <w:pPr>
        <w:widowControl w:val="0"/>
        <w:spacing w:after="120"/>
        <w:ind w:firstLine="720"/>
        <w:jc w:val="both"/>
      </w:pPr>
      <w:r>
        <w:t xml:space="preserve">През 2015 г. община Варна е емитирала дълг (ценни книжа) в размер на 25,0 млн. лв., като средствата са предназначени за финансиране на собствено участие в проекти на ЕС, както и на други инвестиционни обекти. Погашения по емитирани през предходни години общински ценни книжа са извършени от 10 общини и са в размер на 15,0 млн. лв. Размерът на операциите по покупко-продажбата на държавни/общински/ ценни книжа за 2015 г. е положителен и е 0,05 млн. лв. </w:t>
      </w:r>
    </w:p>
    <w:p w:rsidR="00066B39" w:rsidRDefault="00066B39" w:rsidP="00066B39">
      <w:pPr>
        <w:widowControl w:val="0"/>
        <w:spacing w:after="120"/>
        <w:ind w:firstLine="720"/>
        <w:jc w:val="both"/>
      </w:pPr>
      <w:r>
        <w:t xml:space="preserve">Нетният размер на предоставената/възстановена временна финансова помощ от/на общините през 2015 г. е 0,8 млн. лв. Тук се отчетени операциите по предоставянето и възстановяването на средства под формата на временни безлихвени заеми на небюджетни организации – читалища и местни инициативни групи. През годината общините са изразходвали 0,3 млн. лв. за придобиване на дялове и акции, а постъпленията от продажбите на дялове, акции, съучастия и ликвидационни дялове са 0,2 млн. лв. </w:t>
      </w:r>
    </w:p>
    <w:p w:rsidR="00066B39" w:rsidRDefault="00066B39" w:rsidP="00066B39">
      <w:pPr>
        <w:widowControl w:val="0"/>
        <w:spacing w:after="120"/>
        <w:ind w:firstLine="720"/>
        <w:jc w:val="both"/>
      </w:pPr>
      <w:r>
        <w:t>Нетният размер на събраните средства и извършени плащания от общините за сметка на други бюджети, сметки и фондове са в размер на (-7,</w:t>
      </w:r>
      <w:r w:rsidR="00FD3C80">
        <w:t>7</w:t>
      </w:r>
      <w:r>
        <w:t xml:space="preserve">) млн. лв. </w:t>
      </w:r>
    </w:p>
    <w:p w:rsidR="00066B39" w:rsidRDefault="00066B39" w:rsidP="00066B39">
      <w:pPr>
        <w:widowControl w:val="0"/>
        <w:spacing w:after="120"/>
        <w:ind w:firstLine="720"/>
        <w:jc w:val="both"/>
      </w:pPr>
      <w:r>
        <w:t>Другото финансиране /нето/ по общинските бюджети към 31.12.2015 г. е отрицателно и е в размер на 17,</w:t>
      </w:r>
      <w:r w:rsidR="0097157F">
        <w:t>4</w:t>
      </w:r>
      <w:r>
        <w:t xml:space="preserve"> млн. лв., като съществена част от него представлява отчетеното превеждане /резервиране/ на суми по реда на чл.</w:t>
      </w:r>
      <w:r w:rsidR="0097157F">
        <w:t xml:space="preserve"> </w:t>
      </w:r>
      <w:r>
        <w:t>60 и чл.</w:t>
      </w:r>
      <w:r w:rsidR="0097157F">
        <w:t xml:space="preserve"> </w:t>
      </w:r>
      <w:r>
        <w:t xml:space="preserve">64 от Закона за управление на отпадъците по сметката за чужди средства на съответната РИОСВ. Нетният размер за 2015 г. на задълженията и погашенията по финансов лизинг и търговски кредити, като форми на дълг, е в размер на (-0,2) млн. лв. </w:t>
      </w:r>
    </w:p>
    <w:p w:rsidR="00066B39" w:rsidRDefault="00066B39" w:rsidP="00066B39">
      <w:pPr>
        <w:widowControl w:val="0"/>
        <w:spacing w:after="120"/>
        <w:ind w:firstLine="720"/>
        <w:jc w:val="both"/>
      </w:pPr>
      <w:r>
        <w:t>Общини приключиха 2015 г. с бюджетни наличности (банкова и касова) в размер на 502,</w:t>
      </w:r>
      <w:r w:rsidR="00EA3142">
        <w:t>1</w:t>
      </w:r>
      <w:r>
        <w:t xml:space="preserve"> млн. лв. За сравнение, в края на 2014 г., те са 597,1 млн. лв. или нетния размер на изменението на депозитите и средства по сметки на общините е 95,</w:t>
      </w:r>
      <w:r w:rsidR="00EA3142">
        <w:t>0</w:t>
      </w:r>
      <w:r>
        <w:t xml:space="preserve"> млн. лв. </w:t>
      </w:r>
      <w:r w:rsidRPr="00133615">
        <w:t>От общия размер на наличностите 334,2 млн. лв. са в местните дейности. Останалите 167,</w:t>
      </w:r>
      <w:r w:rsidR="00EA3142" w:rsidRPr="00133615">
        <w:t>9</w:t>
      </w:r>
      <w:r w:rsidRPr="00133615">
        <w:t xml:space="preserve"> млн. лв. са в делегираните от държавата дейности, които остават като преходен остатък по бюджета на общината и ще се използват за финансиране на същите дейности през 2016 г., включително за инвестиционни разходи.</w:t>
      </w:r>
      <w:r>
        <w:t xml:space="preserve"> </w:t>
      </w:r>
    </w:p>
    <w:p w:rsidR="00790C4A" w:rsidRDefault="00790C4A" w:rsidP="00790C4A">
      <w:pPr>
        <w:widowControl w:val="0"/>
        <w:spacing w:after="120"/>
        <w:ind w:firstLine="720"/>
        <w:jc w:val="both"/>
      </w:pPr>
      <w:r>
        <w:t xml:space="preserve">Постъпленията от </w:t>
      </w:r>
      <w:r w:rsidRPr="005E69AC">
        <w:rPr>
          <w:u w:val="single"/>
        </w:rPr>
        <w:t>приватизация</w:t>
      </w:r>
      <w:r>
        <w:t xml:space="preserve"> в общинските бюджети през 2015 г. са в размер на  1,9 млн.лв.</w:t>
      </w:r>
    </w:p>
    <w:p w:rsidR="00066B39" w:rsidRDefault="00066B39" w:rsidP="00066B39">
      <w:pPr>
        <w:widowControl w:val="0"/>
        <w:spacing w:after="120"/>
        <w:ind w:firstLine="720"/>
        <w:jc w:val="both"/>
      </w:pPr>
      <w:r>
        <w:t xml:space="preserve">По отчетни данни към 31.12.2015 г. просрочените задължения </w:t>
      </w:r>
      <w:r w:rsidR="00152AE1">
        <w:t xml:space="preserve">по бюджетите </w:t>
      </w:r>
      <w:r>
        <w:t>на общините са в размер на 18</w:t>
      </w:r>
      <w:r w:rsidR="00152AE1">
        <w:t>4,8</w:t>
      </w:r>
      <w:r>
        <w:t xml:space="preserve"> млн. лв. и са формирани от 149 общини (56,0 % от общия брой). Спрямо края на 2014 г. се отчита увеличение с </w:t>
      </w:r>
      <w:r w:rsidR="00152AE1">
        <w:t>25</w:t>
      </w:r>
      <w:r>
        <w:t xml:space="preserve">,5 млн. лв. </w:t>
      </w:r>
    </w:p>
    <w:p w:rsidR="00066B39" w:rsidRDefault="00066B39" w:rsidP="00066B39">
      <w:pPr>
        <w:widowControl w:val="0"/>
        <w:spacing w:after="120"/>
        <w:ind w:firstLine="720"/>
        <w:jc w:val="both"/>
      </w:pPr>
      <w:r>
        <w:lastRenderedPageBreak/>
        <w:t xml:space="preserve">В делегираните от държавата дейности просрочените задължения са 3,8 млн. лв. и са отчетени от 53 общини, като спрямо края на 2014 г. са намалели с 0,3 млн. лв. </w:t>
      </w:r>
    </w:p>
    <w:p w:rsidR="00066B39" w:rsidRDefault="00066B39" w:rsidP="00066B39">
      <w:pPr>
        <w:widowControl w:val="0"/>
        <w:spacing w:after="120"/>
        <w:ind w:firstLine="720"/>
        <w:jc w:val="both"/>
      </w:pPr>
      <w:r>
        <w:t xml:space="preserve">В местните дейности просрочените задължения към края на 2015 г. са в размер на 181,0 млн. лв. и са отчетени от 141 общини. В сравнение с края на 2014 г., просрочените задължения в тези дейности са се увеличили с 25,8 млн. лв. </w:t>
      </w:r>
    </w:p>
    <w:p w:rsidR="00066B39" w:rsidRDefault="00066B39" w:rsidP="00066B39">
      <w:pPr>
        <w:widowControl w:val="0"/>
        <w:spacing w:after="120"/>
        <w:ind w:firstLine="720"/>
        <w:jc w:val="both"/>
      </w:pPr>
      <w:r>
        <w:t xml:space="preserve">Основните причини за отчетените просрочени задължения по общинските бюджети са: ниския размер на изпълняваните собствени приходи, както и на ниския приходен капацитет в някои общини; наличие и обслужване на просрочени задължения от предходни години, които утежняват изпълнението на бюджета през текущата година; възникнали разходи в резултат на изпълнение на дейности по различни оперативни програми и проекти, които не са признати; извършени големи, понякога и непланирани, но неотложни разходи по поддържане и ремонт на остарялата материално-техническа база, пътна, техническа и ВиК инфраструктура. </w:t>
      </w:r>
    </w:p>
    <w:p w:rsidR="00066B39" w:rsidRDefault="00066B39" w:rsidP="00066B39">
      <w:pPr>
        <w:widowControl w:val="0"/>
        <w:spacing w:after="120"/>
        <w:ind w:firstLine="720"/>
        <w:jc w:val="both"/>
      </w:pPr>
      <w:r>
        <w:t>Просрочените вземания на общините към 31.12.2015 г. са в размер на 233,6 млн. лв. и са отчетени от 254 общини. В сравнение с края на 2014 г. просрочените вземания са нараснали със 7,2 млн. л</w:t>
      </w:r>
      <w:r w:rsidR="00CE41FE">
        <w:t>е</w:t>
      </w:r>
      <w:r>
        <w:t>в</w:t>
      </w:r>
      <w:r w:rsidR="00CE41FE">
        <w:t>а</w:t>
      </w:r>
      <w:r>
        <w:t>. С най-голям относителен дял са просрочените публични общински вземания – 140,1 млн. лв. или 60 на сто от общия размер на просрочените вземания. В много общини са предприети мерки за събиране на дължимите вземания – разпратени са предупредителни писма и покани за доброволно плащане, сключени са допълнителни споразумения за разсрочени плащания и други.</w:t>
      </w:r>
    </w:p>
    <w:p w:rsidR="00621B56" w:rsidRPr="00563983" w:rsidRDefault="006506F4" w:rsidP="00781B85">
      <w:pPr>
        <w:pStyle w:val="Heading2"/>
        <w:numPr>
          <w:ilvl w:val="1"/>
          <w:numId w:val="7"/>
        </w:numPr>
        <w:rPr>
          <w:rFonts w:ascii="Times New Roman" w:hAnsi="Times New Roman" w:cs="Times New Roman"/>
          <w:i w:val="0"/>
          <w:iCs w:val="0"/>
          <w:sz w:val="24"/>
        </w:rPr>
      </w:pPr>
      <w:bookmarkStart w:id="315" w:name="_Toc261276603"/>
      <w:bookmarkStart w:id="316" w:name="_Toc324863440"/>
      <w:bookmarkStart w:id="317" w:name="_Toc393728091"/>
      <w:bookmarkStart w:id="318" w:name="_Toc462146141"/>
      <w:r w:rsidRPr="00563983">
        <w:rPr>
          <w:rFonts w:ascii="Times New Roman" w:hAnsi="Times New Roman" w:cs="Times New Roman"/>
          <w:i w:val="0"/>
          <w:iCs w:val="0"/>
          <w:sz w:val="24"/>
        </w:rPr>
        <w:t xml:space="preserve">Бюджети на социалноосигурителните </w:t>
      </w:r>
      <w:r w:rsidR="00621B56" w:rsidRPr="00563983">
        <w:rPr>
          <w:rFonts w:ascii="Times New Roman" w:hAnsi="Times New Roman" w:cs="Times New Roman"/>
          <w:i w:val="0"/>
          <w:iCs w:val="0"/>
          <w:sz w:val="24"/>
        </w:rPr>
        <w:t>фондове</w:t>
      </w:r>
      <w:bookmarkEnd w:id="307"/>
      <w:bookmarkEnd w:id="308"/>
      <w:bookmarkEnd w:id="315"/>
      <w:bookmarkEnd w:id="316"/>
      <w:bookmarkEnd w:id="317"/>
      <w:bookmarkEnd w:id="318"/>
    </w:p>
    <w:p w:rsidR="00621B56" w:rsidRPr="00563983" w:rsidRDefault="006506F4" w:rsidP="00C333E7">
      <w:pPr>
        <w:pStyle w:val="Heading3"/>
        <w:numPr>
          <w:ilvl w:val="1"/>
          <w:numId w:val="59"/>
        </w:numPr>
        <w:spacing w:after="120"/>
        <w:rPr>
          <w:rFonts w:ascii="Times New Roman" w:hAnsi="Times New Roman"/>
          <w:sz w:val="24"/>
          <w:lang w:val="bg-BG"/>
        </w:rPr>
      </w:pPr>
      <w:bookmarkStart w:id="319" w:name="_Toc136597759"/>
      <w:bookmarkStart w:id="320" w:name="_Toc136601662"/>
      <w:bookmarkStart w:id="321" w:name="_Toc261276604"/>
      <w:bookmarkStart w:id="322" w:name="_Toc324863441"/>
      <w:bookmarkStart w:id="323" w:name="_Toc393728092"/>
      <w:bookmarkStart w:id="324" w:name="_Toc462146142"/>
      <w:r w:rsidRPr="00563983">
        <w:rPr>
          <w:rFonts w:ascii="Times New Roman" w:hAnsi="Times New Roman"/>
          <w:sz w:val="24"/>
          <w:lang w:val="bg-BG"/>
        </w:rPr>
        <w:t>Бюджет на</w:t>
      </w:r>
      <w:r w:rsidRPr="00C333E7">
        <w:rPr>
          <w:rFonts w:ascii="Times New Roman" w:hAnsi="Times New Roman"/>
          <w:sz w:val="24"/>
          <w:lang w:val="bg-BG"/>
        </w:rPr>
        <w:t xml:space="preserve"> </w:t>
      </w:r>
      <w:r w:rsidR="00E600B9" w:rsidRPr="00563983">
        <w:rPr>
          <w:rFonts w:ascii="Times New Roman" w:hAnsi="Times New Roman"/>
          <w:sz w:val="24"/>
          <w:lang w:val="bg-BG"/>
        </w:rPr>
        <w:t xml:space="preserve">Държавното </w:t>
      </w:r>
      <w:r w:rsidR="00621B56" w:rsidRPr="00563983">
        <w:rPr>
          <w:rFonts w:ascii="Times New Roman" w:hAnsi="Times New Roman"/>
          <w:sz w:val="24"/>
          <w:lang w:val="bg-BG"/>
        </w:rPr>
        <w:t>обществено осигуряване</w:t>
      </w:r>
      <w:bookmarkEnd w:id="319"/>
      <w:bookmarkEnd w:id="320"/>
      <w:bookmarkEnd w:id="321"/>
      <w:bookmarkEnd w:id="322"/>
      <w:bookmarkEnd w:id="323"/>
      <w:bookmarkEnd w:id="324"/>
    </w:p>
    <w:p w:rsidR="00621B56" w:rsidRPr="001F6421" w:rsidRDefault="00621B56" w:rsidP="00621B56">
      <w:pPr>
        <w:rPr>
          <w:color w:val="0070C0"/>
          <w:sz w:val="8"/>
          <w:szCs w:val="8"/>
        </w:rPr>
      </w:pPr>
    </w:p>
    <w:p w:rsidR="00563983" w:rsidRDefault="00563983" w:rsidP="00563983">
      <w:pPr>
        <w:spacing w:after="120"/>
        <w:ind w:firstLine="709"/>
        <w:jc w:val="both"/>
        <w:rPr>
          <w:b/>
          <w:bCs/>
          <w:color w:val="0070C0"/>
          <w:lang w:eastAsia="en-US"/>
        </w:rPr>
      </w:pPr>
      <w:bookmarkStart w:id="325" w:name="_Toc324863445"/>
      <w:bookmarkStart w:id="326" w:name="_Toc136597769"/>
      <w:bookmarkStart w:id="327" w:name="_Toc136601672"/>
      <w:bookmarkEnd w:id="309"/>
      <w:bookmarkEnd w:id="310"/>
      <w:r>
        <w:rPr>
          <w:lang w:eastAsia="en-US"/>
        </w:rPr>
        <w:t xml:space="preserve">Общата сума на </w:t>
      </w:r>
      <w:r>
        <w:rPr>
          <w:b/>
          <w:lang w:eastAsia="en-US"/>
        </w:rPr>
        <w:t>приходите и помощите</w:t>
      </w:r>
      <w:r>
        <w:rPr>
          <w:lang w:eastAsia="en-US"/>
        </w:rPr>
        <w:t xml:space="preserve"> по бюджета на държавното обществено осигуряване (ДОО) за 2015 г. възлиза на 4 850,0 млн. лв., което представлява 105,9 % спрямо заложените в Закона за бюджета на държавното обществено осигуряване за 2015 г. (ЗБДОО) 4 580,6 млн. лева. Най-голям е делът на приходите от осигурителни вноски, които за отчетния период са в размер на 4 798,1 млн. лв. (98,9 % от общите приходи). Съпоставени с предходната година са постъпили с 346,8 млн. лв. (7,7 %) повече приходи . Върху състоянието на приходите през 2015 г. влияние оказват следните основни фактори:</w:t>
      </w:r>
    </w:p>
    <w:p w:rsidR="00563983" w:rsidRDefault="00563983" w:rsidP="0070688C">
      <w:pPr>
        <w:numPr>
          <w:ilvl w:val="0"/>
          <w:numId w:val="56"/>
        </w:numPr>
        <w:tabs>
          <w:tab w:val="num" w:pos="1080"/>
          <w:tab w:val="num" w:pos="1499"/>
          <w:tab w:val="num" w:pos="2148"/>
        </w:tabs>
        <w:spacing w:after="120"/>
        <w:ind w:firstLine="567"/>
        <w:jc w:val="both"/>
        <w:rPr>
          <w:color w:val="0070C0"/>
          <w:lang w:eastAsia="en-US"/>
        </w:rPr>
      </w:pPr>
      <w:r>
        <w:rPr>
          <w:lang w:eastAsia="en-US"/>
        </w:rPr>
        <w:t xml:space="preserve">Увеличението на минималните осигурителни прагове по основните икономически дейности и групи професии от 1 януари 2015 г. </w:t>
      </w:r>
      <w:r>
        <w:t>средно с 4,4 %  в сравнение с 2014 г. За 2015 г. са договорени минималните осигурителни прагове за 42 икономически дейности със средно увеличение спрямо 2014 г. от 4,0 %. За останалите икономически дейности, където не бяха постигнати споразумения</w:t>
      </w:r>
      <w:r w:rsidR="00A146AB">
        <w:t>,</w:t>
      </w:r>
      <w:r>
        <w:t xml:space="preserve"> се прилага средния процент на нарастване на минималните осигурителни прагове в договорените икономически дейности. Най-ниският минимален осигурителен доход е 360 лв. и е равен на размера на минималната работна заплата от началото на 2015 г.</w:t>
      </w:r>
      <w:r>
        <w:rPr>
          <w:color w:val="0070C0"/>
          <w:lang w:eastAsia="en-US"/>
        </w:rPr>
        <w:t>;</w:t>
      </w:r>
    </w:p>
    <w:p w:rsidR="00563983" w:rsidRDefault="00563983" w:rsidP="0070688C">
      <w:pPr>
        <w:numPr>
          <w:ilvl w:val="0"/>
          <w:numId w:val="56"/>
        </w:numPr>
        <w:tabs>
          <w:tab w:val="num" w:pos="1080"/>
          <w:tab w:val="num" w:pos="1499"/>
          <w:tab w:val="num" w:pos="2148"/>
        </w:tabs>
        <w:spacing w:after="120"/>
        <w:ind w:firstLine="567"/>
        <w:jc w:val="both"/>
        <w:rPr>
          <w:lang w:eastAsia="en-US"/>
        </w:rPr>
      </w:pPr>
      <w:r>
        <w:rPr>
          <w:lang w:eastAsia="en-US"/>
        </w:rPr>
        <w:t>Увеличението на максималния месечен размер на осигурителния доход за 2014 г. от 2 400 лв. на 2 600 лева;</w:t>
      </w:r>
    </w:p>
    <w:p w:rsidR="00563983" w:rsidRDefault="00563983" w:rsidP="0070688C">
      <w:pPr>
        <w:numPr>
          <w:ilvl w:val="0"/>
          <w:numId w:val="56"/>
        </w:numPr>
        <w:tabs>
          <w:tab w:val="num" w:pos="1080"/>
          <w:tab w:val="num" w:pos="1499"/>
          <w:tab w:val="num" w:pos="2148"/>
        </w:tabs>
        <w:spacing w:after="120"/>
        <w:ind w:firstLine="567"/>
        <w:jc w:val="both"/>
        <w:rPr>
          <w:lang w:eastAsia="en-US"/>
        </w:rPr>
      </w:pPr>
      <w:r>
        <w:t xml:space="preserve">Увеличението на минималния осигурителен доход за земеделските </w:t>
      </w:r>
      <w:r w:rsidR="009E5803" w:rsidRPr="009E5803">
        <w:t xml:space="preserve">стопани </w:t>
      </w:r>
      <w:r>
        <w:t>и тютюнопроизводители от 240 лв. на 300 лв. от 1 януари 2015 г.;</w:t>
      </w:r>
    </w:p>
    <w:p w:rsidR="00563983" w:rsidRDefault="00563983" w:rsidP="0070688C">
      <w:pPr>
        <w:numPr>
          <w:ilvl w:val="0"/>
          <w:numId w:val="56"/>
        </w:numPr>
        <w:tabs>
          <w:tab w:val="num" w:pos="1080"/>
          <w:tab w:val="num" w:pos="1499"/>
          <w:tab w:val="num" w:pos="2148"/>
        </w:tabs>
        <w:spacing w:after="120"/>
        <w:ind w:firstLine="567"/>
        <w:jc w:val="both"/>
        <w:rPr>
          <w:lang w:eastAsia="en-US"/>
        </w:rPr>
      </w:pPr>
      <w:r>
        <w:t>Постъпили средства от професионалните пенсионни фондове.</w:t>
      </w:r>
    </w:p>
    <w:p w:rsidR="00563983" w:rsidRDefault="00563983" w:rsidP="00563983">
      <w:pPr>
        <w:spacing w:after="120"/>
        <w:ind w:firstLine="709"/>
        <w:jc w:val="both"/>
        <w:rPr>
          <w:bCs/>
          <w:lang w:eastAsia="en-US"/>
        </w:rPr>
      </w:pPr>
      <w:r>
        <w:rPr>
          <w:bCs/>
          <w:lang w:eastAsia="en-US"/>
        </w:rPr>
        <w:t>Отчетените неданъчни приходи възлизат на 51,9 млн. лв. при планирани в ЗБДОО за 2015 г. 1</w:t>
      </w:r>
      <w:r w:rsidR="00A146AB">
        <w:rPr>
          <w:bCs/>
          <w:lang w:eastAsia="en-US"/>
        </w:rPr>
        <w:t>0</w:t>
      </w:r>
      <w:r>
        <w:rPr>
          <w:bCs/>
          <w:lang w:eastAsia="en-US"/>
        </w:rPr>
        <w:t>,</w:t>
      </w:r>
      <w:r w:rsidR="00A146AB">
        <w:rPr>
          <w:bCs/>
          <w:lang w:eastAsia="en-US"/>
        </w:rPr>
        <w:t>9</w:t>
      </w:r>
      <w:r>
        <w:rPr>
          <w:bCs/>
          <w:lang w:eastAsia="en-US"/>
        </w:rPr>
        <w:t xml:space="preserve"> млн. лв., в т.ч. </w:t>
      </w:r>
      <w:r>
        <w:rPr>
          <w:bCs/>
        </w:rPr>
        <w:t xml:space="preserve">постъпили средства от </w:t>
      </w:r>
      <w:r w:rsidR="00A146AB">
        <w:rPr>
          <w:bCs/>
        </w:rPr>
        <w:t>у</w:t>
      </w:r>
      <w:r>
        <w:rPr>
          <w:bCs/>
        </w:rPr>
        <w:t xml:space="preserve">ниверсалните пенсионни фондове по </w:t>
      </w:r>
      <w:r>
        <w:rPr>
          <w:bCs/>
        </w:rPr>
        <w:lastRenderedPageBreak/>
        <w:t>реда на параграф 51 от ПЗР на КСО</w:t>
      </w:r>
      <w:r w:rsidR="00A146AB">
        <w:rPr>
          <w:bCs/>
        </w:rPr>
        <w:t>, които</w:t>
      </w:r>
      <w:r>
        <w:rPr>
          <w:bCs/>
        </w:rPr>
        <w:t xml:space="preserve"> са в размер на 27,6 млн.лв. и приходи от глоби, санкции и наказателни лихви в размер на 18,1 млн.лв.</w:t>
      </w:r>
      <w:r>
        <w:rPr>
          <w:bCs/>
          <w:lang w:eastAsia="en-US"/>
        </w:rPr>
        <w:t xml:space="preserve">. </w:t>
      </w:r>
    </w:p>
    <w:p w:rsidR="00563983" w:rsidRDefault="00563983" w:rsidP="00563983">
      <w:pPr>
        <w:tabs>
          <w:tab w:val="num" w:pos="1080"/>
        </w:tabs>
        <w:ind w:firstLine="709"/>
        <w:jc w:val="both"/>
        <w:rPr>
          <w:bCs/>
          <w:sz w:val="4"/>
          <w:szCs w:val="4"/>
        </w:rPr>
      </w:pPr>
    </w:p>
    <w:p w:rsidR="00563983" w:rsidRDefault="00563983" w:rsidP="00563983">
      <w:pPr>
        <w:ind w:firstLine="709"/>
        <w:jc w:val="both"/>
        <w:rPr>
          <w:bCs/>
          <w:lang w:eastAsia="en-US"/>
        </w:rPr>
      </w:pPr>
      <w:r>
        <w:rPr>
          <w:bCs/>
          <w:lang w:eastAsia="en-US"/>
        </w:rPr>
        <w:t xml:space="preserve">Размерът на извършените </w:t>
      </w:r>
      <w:r>
        <w:rPr>
          <w:b/>
          <w:bCs/>
          <w:lang w:eastAsia="en-US"/>
        </w:rPr>
        <w:t>разходи</w:t>
      </w:r>
      <w:r>
        <w:rPr>
          <w:bCs/>
          <w:lang w:eastAsia="en-US"/>
        </w:rPr>
        <w:t xml:space="preserve"> за 2015 г. по бюджета на ДОО е 9 761,9 млн. лв., което представлява 101,5 % спрямо предвидените в ЗБДОО за 2015 г. средства. От структурна гледна точка с най-голям относителен дял в общите разходи са разходите за пенсии и обезщетенията и помощите, изплащани на основание Кодекса за социално осигуряване – общо 9 659,0 млн. лв. или 98,9 % от общия размер на разходите за годината. Спрямо миналата година, общо разходите по бюджета на ДОО са с 381,2 млн. лв. (4,1 %) повече. </w:t>
      </w:r>
    </w:p>
    <w:p w:rsidR="00563983" w:rsidRDefault="00563983" w:rsidP="00563983">
      <w:pPr>
        <w:ind w:firstLine="709"/>
        <w:jc w:val="both"/>
        <w:rPr>
          <w:bCs/>
          <w:lang w:eastAsia="en-US"/>
        </w:rPr>
      </w:pPr>
      <w:r>
        <w:rPr>
          <w:bCs/>
          <w:lang w:eastAsia="en-US"/>
        </w:rPr>
        <w:t>Отчетените разходи за пенсии по бюджета на ДОО за 2015 г. възлизат на 8 408,9 млн. лв. или с 292,4 млн. лв. повече спрямо 2014 година. Нарастването на разходите се дължи основно на: целогодишното отражение върху разходите на увеличението на пенсиите през 2014 г., в т.ч. на осъвременяването от 1 юли 2014 г. с 2,7 на сто</w:t>
      </w:r>
      <w:r w:rsidR="00A146AB">
        <w:rPr>
          <w:bCs/>
          <w:lang w:eastAsia="en-US"/>
        </w:rPr>
        <w:t>;</w:t>
      </w:r>
      <w:r>
        <w:rPr>
          <w:bCs/>
          <w:lang w:eastAsia="en-US"/>
        </w:rPr>
        <w:t xml:space="preserve"> на увеличението на максималния размер от 770 на 840 лв. от 1 юли 2014 г.</w:t>
      </w:r>
      <w:r w:rsidR="00A146AB">
        <w:rPr>
          <w:bCs/>
          <w:lang w:eastAsia="en-US"/>
        </w:rPr>
        <w:t>;</w:t>
      </w:r>
      <w:r>
        <w:rPr>
          <w:bCs/>
          <w:lang w:eastAsia="en-US"/>
        </w:rPr>
        <w:t xml:space="preserve"> на осъвременяването на пенсиите от 1 юли 2015 г. с 1,9 на сто</w:t>
      </w:r>
      <w:r w:rsidR="00A146AB">
        <w:rPr>
          <w:bCs/>
          <w:lang w:eastAsia="en-US"/>
        </w:rPr>
        <w:t>;</w:t>
      </w:r>
      <w:r>
        <w:rPr>
          <w:bCs/>
          <w:lang w:eastAsia="en-US"/>
        </w:rPr>
        <w:t xml:space="preserve"> на увеличението на максималния размер от 840  на 910 лв. от 1 юли</w:t>
      </w:r>
      <w:r w:rsidR="00A146AB">
        <w:rPr>
          <w:bCs/>
          <w:lang w:eastAsia="en-US"/>
        </w:rPr>
        <w:t>;</w:t>
      </w:r>
      <w:r>
        <w:rPr>
          <w:bCs/>
          <w:lang w:eastAsia="en-US"/>
        </w:rPr>
        <w:t xml:space="preserve"> на увеличението в резултат на по-високите размери на новоотпуснатите спрямо прекратените пенсии.</w:t>
      </w:r>
    </w:p>
    <w:p w:rsidR="00563983" w:rsidRDefault="00563983" w:rsidP="00781B85">
      <w:pPr>
        <w:numPr>
          <w:ilvl w:val="0"/>
          <w:numId w:val="56"/>
        </w:numPr>
        <w:tabs>
          <w:tab w:val="clear" w:pos="898"/>
          <w:tab w:val="num" w:pos="1080"/>
          <w:tab w:val="left" w:pos="1276"/>
          <w:tab w:val="num" w:pos="1499"/>
          <w:tab w:val="num" w:pos="2148"/>
          <w:tab w:val="num" w:pos="4224"/>
        </w:tabs>
        <w:ind w:firstLine="993"/>
        <w:jc w:val="both"/>
        <w:rPr>
          <w:lang w:eastAsia="en-US"/>
        </w:rPr>
      </w:pPr>
      <w:r>
        <w:rPr>
          <w:lang w:eastAsia="en-US"/>
        </w:rPr>
        <w:t>Средномесечният брой на пенсионерите за 2015 г. е 2 177 716, което е с 4 180 по-малко (0,2 на сто намаление) в сравнение с 2014 г.;</w:t>
      </w:r>
    </w:p>
    <w:p w:rsidR="00563983" w:rsidRDefault="00563983" w:rsidP="00781B85">
      <w:pPr>
        <w:numPr>
          <w:ilvl w:val="0"/>
          <w:numId w:val="56"/>
        </w:numPr>
        <w:tabs>
          <w:tab w:val="clear" w:pos="898"/>
          <w:tab w:val="num" w:pos="1080"/>
          <w:tab w:val="left" w:pos="1276"/>
          <w:tab w:val="num" w:pos="1499"/>
          <w:tab w:val="num" w:pos="2148"/>
          <w:tab w:val="num" w:pos="4224"/>
        </w:tabs>
        <w:ind w:firstLine="993"/>
        <w:jc w:val="both"/>
        <w:rPr>
          <w:lang w:eastAsia="en-US"/>
        </w:rPr>
      </w:pPr>
      <w:r>
        <w:rPr>
          <w:lang w:eastAsia="en-US"/>
        </w:rPr>
        <w:t>Средномесечният брой на пенсиите за 2015 г. е 2 658 46</w:t>
      </w:r>
      <w:r w:rsidR="00704FD2">
        <w:rPr>
          <w:lang w:eastAsia="en-US"/>
        </w:rPr>
        <w:t>1</w:t>
      </w:r>
      <w:r>
        <w:rPr>
          <w:lang w:eastAsia="en-US"/>
        </w:rPr>
        <w:t>, което е с 10 598  пенсии по-малко (0,4 на сто намаление) спрямо 2014 г.;</w:t>
      </w:r>
    </w:p>
    <w:p w:rsidR="00563983" w:rsidRDefault="00563983" w:rsidP="00781B85">
      <w:pPr>
        <w:numPr>
          <w:ilvl w:val="0"/>
          <w:numId w:val="56"/>
        </w:numPr>
        <w:tabs>
          <w:tab w:val="clear" w:pos="898"/>
          <w:tab w:val="num" w:pos="1080"/>
          <w:tab w:val="left" w:pos="1276"/>
          <w:tab w:val="num" w:pos="1499"/>
          <w:tab w:val="num" w:pos="2148"/>
          <w:tab w:val="num" w:pos="4224"/>
        </w:tabs>
        <w:ind w:firstLine="993"/>
        <w:jc w:val="both"/>
        <w:rPr>
          <w:lang w:eastAsia="en-US"/>
        </w:rPr>
      </w:pPr>
      <w:r>
        <w:rPr>
          <w:lang w:eastAsia="en-US"/>
        </w:rPr>
        <w:t xml:space="preserve">Средният месечен размер на пенсията на един пенсионер за 2015 г. е 321,78 лв. (вкл. великденска и коледна добавка за 2015 г.), като номиналното нарастване спрямо 2014 г. е 3,8 на сто, а реалното нарастване е 5,0 на сто,  при средногодишна хармонизирана инфлация (-1,1) на сто за 2015 г. Средният месечен размер на пенсията на един пенсионер  за 2015 г. без изплатените през годината великденска и коледна добавка е </w:t>
      </w:r>
      <w:r w:rsidR="00FD531B">
        <w:rPr>
          <w:lang w:eastAsia="en-US"/>
        </w:rPr>
        <w:t>317,96</w:t>
      </w:r>
      <w:r>
        <w:rPr>
          <w:lang w:eastAsia="en-US"/>
        </w:rPr>
        <w:t xml:space="preserve"> лева.</w:t>
      </w:r>
    </w:p>
    <w:p w:rsidR="00563983" w:rsidRDefault="00563983" w:rsidP="00563983">
      <w:pPr>
        <w:spacing w:after="120"/>
        <w:ind w:firstLine="709"/>
        <w:jc w:val="both"/>
        <w:rPr>
          <w:lang w:eastAsia="en-US"/>
        </w:rPr>
      </w:pPr>
      <w:r>
        <w:rPr>
          <w:lang w:eastAsia="en-US"/>
        </w:rPr>
        <w:t>Отчетените разходи за социални помощи и обезщетения по КСО за 2015 г. са в размер на 1 250,1 млн. лева. Спрямо 2014 година изплатените обезщетения по КСО са с 92,2 млн. лв. (8,0 %) повече.</w:t>
      </w:r>
    </w:p>
    <w:p w:rsidR="00563983" w:rsidRDefault="00563983" w:rsidP="00C333E7">
      <w:pPr>
        <w:pStyle w:val="Heading3"/>
        <w:numPr>
          <w:ilvl w:val="1"/>
          <w:numId w:val="59"/>
        </w:numPr>
        <w:spacing w:after="120"/>
        <w:ind w:left="709" w:hanging="357"/>
        <w:rPr>
          <w:rFonts w:ascii="Times New Roman" w:hAnsi="Times New Roman"/>
          <w:sz w:val="24"/>
          <w:lang w:val="bg-BG"/>
        </w:rPr>
      </w:pPr>
      <w:bookmarkStart w:id="328" w:name="_Toc393728093"/>
      <w:bookmarkStart w:id="329" w:name="_Toc357527119"/>
      <w:bookmarkStart w:id="330" w:name="_Toc326315934"/>
      <w:bookmarkStart w:id="331" w:name="_Toc324863442"/>
      <w:bookmarkStart w:id="332" w:name="_Toc262637642"/>
      <w:bookmarkStart w:id="333" w:name="_Toc261276605"/>
      <w:bookmarkStart w:id="334" w:name="_Toc136601663"/>
      <w:bookmarkStart w:id="335" w:name="_Toc136597760"/>
      <w:bookmarkStart w:id="336" w:name="_Toc462146143"/>
      <w:r>
        <w:rPr>
          <w:rFonts w:ascii="Times New Roman" w:hAnsi="Times New Roman"/>
          <w:sz w:val="24"/>
          <w:lang w:val="bg-BG"/>
        </w:rPr>
        <w:t>Бюджет на Учителски пенсионен фонд</w:t>
      </w:r>
      <w:bookmarkEnd w:id="328"/>
      <w:bookmarkEnd w:id="329"/>
      <w:bookmarkEnd w:id="330"/>
      <w:bookmarkEnd w:id="331"/>
      <w:bookmarkEnd w:id="332"/>
      <w:bookmarkEnd w:id="333"/>
      <w:bookmarkEnd w:id="334"/>
      <w:bookmarkEnd w:id="335"/>
      <w:bookmarkEnd w:id="336"/>
    </w:p>
    <w:p w:rsidR="00563983" w:rsidRDefault="00563983" w:rsidP="00563983">
      <w:pPr>
        <w:ind w:right="574"/>
        <w:rPr>
          <w:b/>
          <w:color w:val="0070C0"/>
          <w:sz w:val="10"/>
          <w:szCs w:val="10"/>
        </w:rPr>
      </w:pPr>
    </w:p>
    <w:p w:rsidR="00563983" w:rsidRDefault="00563983" w:rsidP="00563983">
      <w:pPr>
        <w:ind w:firstLine="709"/>
        <w:jc w:val="both"/>
      </w:pPr>
      <w:r>
        <w:t>Отчетените приходи по бюджета на Учителския пенсионен фонд (УПФ) за 2015 г. са в размер на 53,8 млн. лв. или 102,4 % спрямо предвидените за 2015 г. Постъпленията от осигурителни вноски в края на 2015 г. са в размер на 38,4 млн. лв. или 102,0 % спрямо отчетените през 2014 г.</w:t>
      </w:r>
    </w:p>
    <w:p w:rsidR="00563983" w:rsidRDefault="00563983" w:rsidP="00563983">
      <w:pPr>
        <w:ind w:firstLine="709"/>
        <w:jc w:val="both"/>
        <w:rPr>
          <w:bCs/>
          <w:color w:val="0070C0"/>
        </w:rPr>
      </w:pPr>
      <w:r>
        <w:t>Общите разходи по бюджета на УПФ за 2015 г. са в размер на 23,8 млн. лв. или 107,5 % спрямо планираните. От тях са изплатени пенсии и добавки от УПФ в размер на 23,7 млн. лв. и 0,1 млн. лв. са изразходвани за пощенски такси и ДДС за изплащане на пенсиите и други финансови услуги.</w:t>
      </w:r>
      <w:r>
        <w:rPr>
          <w:color w:val="0070C0"/>
        </w:rPr>
        <w:t xml:space="preserve"> </w:t>
      </w:r>
    </w:p>
    <w:p w:rsidR="00563983" w:rsidRDefault="00563983" w:rsidP="00C333E7">
      <w:pPr>
        <w:pStyle w:val="Heading3"/>
        <w:numPr>
          <w:ilvl w:val="1"/>
          <w:numId w:val="59"/>
        </w:numPr>
        <w:spacing w:after="120"/>
        <w:ind w:left="709" w:hanging="357"/>
        <w:rPr>
          <w:rFonts w:ascii="Times New Roman" w:hAnsi="Times New Roman"/>
          <w:sz w:val="24"/>
          <w:lang w:val="bg-BG"/>
        </w:rPr>
      </w:pPr>
      <w:bookmarkStart w:id="337" w:name="_Toc393728094"/>
      <w:bookmarkStart w:id="338" w:name="_Toc357527120"/>
      <w:bookmarkStart w:id="339" w:name="_Toc326315935"/>
      <w:bookmarkStart w:id="340" w:name="_Toc324863443"/>
      <w:bookmarkStart w:id="341" w:name="_Toc262637643"/>
      <w:bookmarkStart w:id="342" w:name="_Toc261276606"/>
      <w:bookmarkStart w:id="343" w:name="_Toc136601664"/>
      <w:bookmarkStart w:id="344" w:name="_Toc136597761"/>
      <w:bookmarkStart w:id="345" w:name="_Toc462146144"/>
      <w:r>
        <w:rPr>
          <w:rFonts w:ascii="Times New Roman" w:hAnsi="Times New Roman"/>
          <w:sz w:val="24"/>
          <w:lang w:val="bg-BG"/>
        </w:rPr>
        <w:t>Бюджет на фонд „Гарантирани вземания на работниците и служителите”</w:t>
      </w:r>
      <w:bookmarkEnd w:id="337"/>
      <w:bookmarkEnd w:id="338"/>
      <w:bookmarkEnd w:id="339"/>
      <w:bookmarkEnd w:id="340"/>
      <w:bookmarkEnd w:id="341"/>
      <w:bookmarkEnd w:id="342"/>
      <w:bookmarkEnd w:id="343"/>
      <w:bookmarkEnd w:id="344"/>
      <w:bookmarkEnd w:id="345"/>
    </w:p>
    <w:p w:rsidR="00563983" w:rsidRDefault="00563983" w:rsidP="00563983">
      <w:pPr>
        <w:rPr>
          <w:sz w:val="10"/>
          <w:szCs w:val="10"/>
        </w:rPr>
      </w:pPr>
    </w:p>
    <w:p w:rsidR="00563983" w:rsidRDefault="00563983" w:rsidP="00563983">
      <w:pPr>
        <w:spacing w:after="120"/>
        <w:ind w:firstLine="709"/>
        <w:jc w:val="both"/>
      </w:pPr>
      <w:r>
        <w:t xml:space="preserve">Приходите по бюджета на фонд ”Гарантирани вземания на работниците и служителите” (ФГВРС) за 2015 г. са в размер на 9,7 млн. лв., което е 96,8 % от предвидените в бюджета на фонда за 2015 г. Основната част от тях (98,7 %) са приходи от лихви от ДЦК, които са в размер на 9,6 млн. лв. Приходите от вноски са 0,1 млн. лв. и представляват вноски от работодатели за минали периоди. </w:t>
      </w:r>
    </w:p>
    <w:p w:rsidR="00563983" w:rsidRDefault="00563983" w:rsidP="00563983">
      <w:pPr>
        <w:spacing w:after="120"/>
        <w:ind w:firstLine="709"/>
        <w:jc w:val="both"/>
        <w:rPr>
          <w:bCs/>
          <w:color w:val="0070C0"/>
          <w:lang w:val="en-US"/>
        </w:rPr>
      </w:pPr>
      <w:r>
        <w:t xml:space="preserve">Общите разходи по бюджета на ФГВРС за 2015 г. са в размер на 1,2 млн. лв. при предвидени за 2015 г. 1,7 млн. лева. Във връзка с изпълнение на Годишната </w:t>
      </w:r>
      <w:r>
        <w:lastRenderedPageBreak/>
        <w:t>инвестиционна програма на фонд „ГВРС” през 2015 г. не са получени погашения по ДЦК, а разходите за  закупуване на ДЦК с различен матуритет възлизат на 8,5 млн. лева.</w:t>
      </w:r>
    </w:p>
    <w:p w:rsidR="00563983" w:rsidRDefault="00563983" w:rsidP="00781B85">
      <w:pPr>
        <w:pStyle w:val="Heading3"/>
        <w:numPr>
          <w:ilvl w:val="1"/>
          <w:numId w:val="59"/>
        </w:numPr>
        <w:spacing w:after="120"/>
        <w:ind w:left="709" w:hanging="357"/>
        <w:rPr>
          <w:rFonts w:ascii="Times New Roman" w:hAnsi="Times New Roman"/>
          <w:sz w:val="24"/>
          <w:lang w:val="bg-BG"/>
        </w:rPr>
      </w:pPr>
      <w:bookmarkStart w:id="346" w:name="_Toc393728095"/>
      <w:bookmarkStart w:id="347" w:name="_Toc357527121"/>
      <w:bookmarkStart w:id="348" w:name="_Toc326315936"/>
      <w:bookmarkStart w:id="349" w:name="_Toc324863444"/>
      <w:bookmarkStart w:id="350" w:name="_Toc262637644"/>
      <w:bookmarkStart w:id="351" w:name="_Toc261276607"/>
      <w:bookmarkStart w:id="352" w:name="_Toc136601665"/>
      <w:bookmarkStart w:id="353" w:name="_Toc136597762"/>
      <w:bookmarkStart w:id="354" w:name="_Toc462146145"/>
      <w:r>
        <w:rPr>
          <w:rFonts w:ascii="Times New Roman" w:hAnsi="Times New Roman"/>
          <w:sz w:val="24"/>
          <w:lang w:val="bg-BG"/>
        </w:rPr>
        <w:t>Бюджет на Национална</w:t>
      </w:r>
      <w:r w:rsidR="002162C1">
        <w:rPr>
          <w:rFonts w:ascii="Times New Roman" w:hAnsi="Times New Roman"/>
          <w:sz w:val="24"/>
          <w:lang w:val="bg-BG"/>
        </w:rPr>
        <w:t>та</w:t>
      </w:r>
      <w:r>
        <w:rPr>
          <w:rFonts w:ascii="Times New Roman" w:hAnsi="Times New Roman"/>
          <w:sz w:val="24"/>
          <w:lang w:val="bg-BG"/>
        </w:rPr>
        <w:t xml:space="preserve"> здравноосигурителна каса</w:t>
      </w:r>
      <w:bookmarkEnd w:id="346"/>
      <w:bookmarkEnd w:id="347"/>
      <w:bookmarkEnd w:id="348"/>
      <w:bookmarkEnd w:id="349"/>
      <w:bookmarkEnd w:id="350"/>
      <w:bookmarkEnd w:id="351"/>
      <w:bookmarkEnd w:id="352"/>
      <w:bookmarkEnd w:id="353"/>
      <w:bookmarkEnd w:id="354"/>
    </w:p>
    <w:p w:rsidR="00A243D8" w:rsidRPr="003640DC" w:rsidRDefault="00A243D8" w:rsidP="00A243D8">
      <w:pPr>
        <w:keepNext/>
        <w:ind w:firstLine="709"/>
        <w:jc w:val="both"/>
        <w:outlineLvl w:val="4"/>
      </w:pPr>
      <w:bookmarkStart w:id="355" w:name="_Toc326165954"/>
      <w:bookmarkStart w:id="356" w:name="_Toc326166057"/>
      <w:bookmarkStart w:id="357" w:name="_Toc326226656"/>
      <w:bookmarkStart w:id="358" w:name="_Toc326165955"/>
      <w:bookmarkStart w:id="359" w:name="_Toc326166058"/>
      <w:bookmarkStart w:id="360" w:name="_Toc326226657"/>
      <w:bookmarkStart w:id="361" w:name="_Toc324863446"/>
      <w:bookmarkStart w:id="362" w:name="_Toc326315938"/>
      <w:bookmarkStart w:id="363" w:name="_Toc393728097"/>
      <w:bookmarkStart w:id="364" w:name="_Toc324863447"/>
      <w:bookmarkStart w:id="365" w:name="_Toc261276608"/>
      <w:bookmarkEnd w:id="325"/>
      <w:bookmarkEnd w:id="355"/>
      <w:bookmarkEnd w:id="356"/>
      <w:bookmarkEnd w:id="357"/>
      <w:bookmarkEnd w:id="358"/>
      <w:bookmarkEnd w:id="359"/>
      <w:bookmarkEnd w:id="360"/>
      <w:r w:rsidRPr="0034294A">
        <w:t xml:space="preserve">Приходите по бюджета на НЗОК за 2015 г. възлизат на 2 127,8 млн. лв. или 103,5 % спрямо предвидените в Закона за изменение и допълнение на Закона за бюджета на НЗОК (ЗИД на ЗБНЗОК) за 2015 г. 2 055,3 млн. лева. Най-съществен дял (99,2 %) заемат </w:t>
      </w:r>
      <w:r w:rsidRPr="006274B3">
        <w:t xml:space="preserve">постъпленията от здравноосигурителни вноски, които са в размер на 2 110,5 млн. лв. или 103,4 % спрямо планираните в ЗБНЗОК за 2015 г. През 2015 г. отчетените приходи от здравноосигурителни </w:t>
      </w:r>
      <w:r w:rsidRPr="006512B9">
        <w:t>вноски са нараснали с 9,5 % спрямо предходната година. Отчетеното преизпълнение</w:t>
      </w:r>
      <w:r w:rsidR="00A146AB">
        <w:t xml:space="preserve"> спрямо закона</w:t>
      </w:r>
      <w:r w:rsidRPr="006512B9">
        <w:t xml:space="preserve"> възлиза на 69,8 млн. лв., като 50,4 млн. лв. от тях са разпределени за здравноосигурителни плащания, в съответствие с §1 от преходните и заключителни разпоредби </w:t>
      </w:r>
      <w:r w:rsidRPr="003640DC">
        <w:t>на ЗБНЗОК за бюджета на НЗОК за 2015 г.</w:t>
      </w:r>
    </w:p>
    <w:p w:rsidR="00A243D8" w:rsidRPr="003640DC" w:rsidRDefault="00A243D8" w:rsidP="00A243D8">
      <w:pPr>
        <w:ind w:firstLine="709"/>
        <w:jc w:val="both"/>
      </w:pPr>
      <w:r w:rsidRPr="003640DC">
        <w:t xml:space="preserve">През 2015 г. по бюджета на НЗОК са отчетени неданъчни приходи в размер на 17,3 млн. лв., което представлява 119,2 % изпълнение от предвидените със Закона за бюджета на НЗОК за 2015 г. Основната част тези приходи са от глоби, санкции и неустойки във връзка с контрола по събирането на здравноосигурителните вноски и контрола по изпълнението на сключените договори с изпълнители на медицинска помощ. </w:t>
      </w:r>
    </w:p>
    <w:p w:rsidR="00A243D8" w:rsidRPr="00304206" w:rsidRDefault="00A243D8" w:rsidP="00A243D8">
      <w:pPr>
        <w:ind w:firstLine="709"/>
        <w:jc w:val="both"/>
        <w:rPr>
          <w:lang w:eastAsia="en-US"/>
        </w:rPr>
      </w:pPr>
      <w:r w:rsidRPr="003640DC">
        <w:rPr>
          <w:lang w:eastAsia="en-US"/>
        </w:rPr>
        <w:t xml:space="preserve">През 2015 г. НЗОК е получила 978,3 млн. лв. трансфери от централния бюджет за здравно осигуряване на пенсионери, безработни, социално слаби, лица до 18-годишна възраст и след навършване на тази възраст, ако учат редовно и други лица, осигурени по </w:t>
      </w:r>
      <w:r w:rsidRPr="00304206">
        <w:rPr>
          <w:lang w:eastAsia="en-US"/>
        </w:rPr>
        <w:t>чл. 40, ал. 3 от ЗЗО, които се осигуряват за сметка на държавния бюджет.</w:t>
      </w:r>
    </w:p>
    <w:p w:rsidR="00A243D8" w:rsidRPr="001352C6" w:rsidRDefault="00A243D8" w:rsidP="00A243D8">
      <w:pPr>
        <w:spacing w:after="120"/>
        <w:ind w:firstLine="709"/>
        <w:jc w:val="both"/>
        <w:rPr>
          <w:lang w:eastAsia="en-US"/>
        </w:rPr>
      </w:pPr>
      <w:r w:rsidRPr="00304206">
        <w:t xml:space="preserve">Предоставените трансфери от МЗ са </w:t>
      </w:r>
      <w:r w:rsidRPr="002C023B">
        <w:t>общо 27,2 млн.</w:t>
      </w:r>
      <w:r>
        <w:t xml:space="preserve"> </w:t>
      </w:r>
      <w:r w:rsidRPr="002C023B">
        <w:t>лв., от които 23,9 млн.</w:t>
      </w:r>
      <w:r>
        <w:t xml:space="preserve"> </w:t>
      </w:r>
      <w:r w:rsidRPr="002C023B">
        <w:t xml:space="preserve">лв. за финансиране на разходите за лекарствени продукти – ваксини и дейности по прилагането им за здравните дейности по чл. 82, ал. 2, т. 3 от Закона за здравето (ЗЗ); за дейности за здравнонеосигурени лица, включващи: комплексно диспансерно (амбулаторно) наблюдение при пациенти с кожно-венерически и психиатрични заболявания; интензивно лечение; дейности по чл. 82, ал. 1, т. 2 от ЗЗ и за сумите по чл. 37, ал. 6 от Закона за здравното осигуряване за 2015 г. и 3,3 млн. лв., което представлява възстановен разход за ваксини от 2014 </w:t>
      </w:r>
      <w:r w:rsidRPr="001352C6">
        <w:t>година.</w:t>
      </w:r>
    </w:p>
    <w:p w:rsidR="00A243D8" w:rsidRPr="001352C6" w:rsidRDefault="00A243D8" w:rsidP="00A243D8">
      <w:pPr>
        <w:pStyle w:val="BodyText2"/>
        <w:spacing w:before="120" w:line="240" w:lineRule="auto"/>
        <w:ind w:firstLine="720"/>
        <w:jc w:val="both"/>
        <w:rPr>
          <w:lang w:val="en-US"/>
        </w:rPr>
      </w:pPr>
      <w:r w:rsidRPr="001352C6">
        <w:t xml:space="preserve">Общият размер на предвидените по закон разходи и трансфери по бюджета на НЗОК за 2015 г. е 3 075,5 млн. лева. Отчетените към 31.12.2015 г. общо разходи и </w:t>
      </w:r>
      <w:r w:rsidR="00B07293">
        <w:t xml:space="preserve">предоставени </w:t>
      </w:r>
      <w:r w:rsidRPr="001352C6">
        <w:t>трансфери са в размер на 3 126,0 млн. лв. в резултат на одобрени допълнителни разходи за сметка на преизпълнение на приходите от здравноосигурителни вноски.</w:t>
      </w:r>
    </w:p>
    <w:p w:rsidR="00A243D8" w:rsidRDefault="00A243D8" w:rsidP="00A243D8">
      <w:pPr>
        <w:spacing w:after="120"/>
        <w:ind w:firstLine="709"/>
        <w:jc w:val="both"/>
        <w:rPr>
          <w:lang w:eastAsia="en-US"/>
        </w:rPr>
      </w:pPr>
      <w:r w:rsidRPr="001352C6">
        <w:rPr>
          <w:lang w:eastAsia="en-US"/>
        </w:rPr>
        <w:t xml:space="preserve">По бюджета на НЗОК за 2015 година са утвърдени 44,2 млн. лв. за административни разходи на институцията, които включват разходите за персонал и за издръжка. За отчетния период са усвоени 38,8 млн. лв., което представлява </w:t>
      </w:r>
      <w:r w:rsidR="00A146AB">
        <w:rPr>
          <w:lang w:eastAsia="en-US"/>
        </w:rPr>
        <w:t>87</w:t>
      </w:r>
      <w:r w:rsidRPr="001352C6">
        <w:rPr>
          <w:lang w:eastAsia="en-US"/>
        </w:rPr>
        <w:t>,</w:t>
      </w:r>
      <w:r w:rsidR="00A146AB">
        <w:rPr>
          <w:lang w:eastAsia="en-US"/>
        </w:rPr>
        <w:t>8</w:t>
      </w:r>
      <w:r w:rsidRPr="001352C6">
        <w:rPr>
          <w:lang w:eastAsia="en-US"/>
        </w:rPr>
        <w:t xml:space="preserve"> на сто от годишния план. Усвоените средства за административни разходи заемат 1,2 на сто в структурата на общите разходи за </w:t>
      </w:r>
      <w:r w:rsidRPr="00E97E6B">
        <w:rPr>
          <w:lang w:eastAsia="en-US"/>
        </w:rPr>
        <w:t xml:space="preserve">2015 г. Разходите за персонал са в размер на 30,3 млн. лв. (97,6 % изпълнение спрямо годишния план), а разходите за издръжка възлизат на 8,5 млн. лв. (64,4 % от предвидените за 2015 г.). </w:t>
      </w:r>
      <w:bookmarkStart w:id="366" w:name="_Toc24967175"/>
      <w:bookmarkStart w:id="367" w:name="_Toc24970449"/>
      <w:bookmarkStart w:id="368" w:name="_Toc24970628"/>
      <w:bookmarkStart w:id="369" w:name="_Toc25643315"/>
    </w:p>
    <w:p w:rsidR="00A243D8" w:rsidRDefault="00A243D8" w:rsidP="00A243D8">
      <w:pPr>
        <w:spacing w:after="120"/>
        <w:ind w:firstLine="709"/>
        <w:jc w:val="both"/>
        <w:rPr>
          <w:b/>
          <w:i/>
        </w:rPr>
      </w:pPr>
      <w:r w:rsidRPr="00A13A61">
        <w:rPr>
          <w:b/>
          <w:i/>
        </w:rPr>
        <w:t>Здравноосигурителни плащания</w:t>
      </w:r>
      <w:bookmarkEnd w:id="366"/>
      <w:bookmarkEnd w:id="367"/>
      <w:bookmarkEnd w:id="368"/>
      <w:bookmarkEnd w:id="369"/>
    </w:p>
    <w:p w:rsidR="00A243D8" w:rsidRPr="001937FD" w:rsidRDefault="00A243D8" w:rsidP="00A243D8">
      <w:pPr>
        <w:ind w:firstLine="709"/>
        <w:jc w:val="both"/>
      </w:pPr>
      <w:r w:rsidRPr="001937FD">
        <w:t>Съгласно Закона за бюджета на НЗОК за 2015 г</w:t>
      </w:r>
      <w:r>
        <w:t>.</w:t>
      </w:r>
      <w:r w:rsidRPr="001937FD">
        <w:t>, здравноосигурителните плащания са в размер на 2</w:t>
      </w:r>
      <w:r>
        <w:t> </w:t>
      </w:r>
      <w:r w:rsidRPr="001937FD">
        <w:t>695</w:t>
      </w:r>
      <w:r>
        <w:t>,</w:t>
      </w:r>
      <w:r w:rsidRPr="001937FD">
        <w:t>1 млн.</w:t>
      </w:r>
      <w:r>
        <w:t xml:space="preserve"> </w:t>
      </w:r>
      <w:r w:rsidRPr="001937FD">
        <w:t>л</w:t>
      </w:r>
      <w:r>
        <w:t>е</w:t>
      </w:r>
      <w:r w:rsidRPr="001937FD">
        <w:t>в</w:t>
      </w:r>
      <w:r>
        <w:t>а</w:t>
      </w:r>
      <w:r w:rsidRPr="001937FD">
        <w:t>. Здравноосигурителните плащания по уточнен план са увеличени с резерва по бюджета на НЗОК в размер на 301</w:t>
      </w:r>
      <w:r>
        <w:t>,</w:t>
      </w:r>
      <w:r w:rsidRPr="001937FD">
        <w:t>9 млн.</w:t>
      </w:r>
      <w:r>
        <w:t xml:space="preserve"> </w:t>
      </w:r>
      <w:r w:rsidRPr="001937FD">
        <w:t>лв., със средства от  вътрешно компенсирани промени, както и с 50</w:t>
      </w:r>
      <w:r>
        <w:t>,</w:t>
      </w:r>
      <w:r w:rsidRPr="001937FD">
        <w:t>4 млн.</w:t>
      </w:r>
      <w:r>
        <w:t xml:space="preserve"> </w:t>
      </w:r>
      <w:r w:rsidRPr="001937FD">
        <w:t>лв. за сметка на преизпълнение на приходите от здравноосигурителни вноски, в съответствие с §1 от преходните и заключителни разпоредби на ЗБНЗОК.</w:t>
      </w:r>
    </w:p>
    <w:p w:rsidR="00A243D8" w:rsidRPr="001F6421" w:rsidRDefault="00A243D8" w:rsidP="00A243D8">
      <w:pPr>
        <w:keepNext/>
        <w:ind w:firstLine="567"/>
        <w:jc w:val="both"/>
        <w:outlineLvl w:val="4"/>
        <w:rPr>
          <w:color w:val="0070C0"/>
        </w:rPr>
      </w:pPr>
      <w:r w:rsidRPr="001937FD">
        <w:lastRenderedPageBreak/>
        <w:t>През отчетния период  на изпълнителите на медицинска помощ  са изплатени 3</w:t>
      </w:r>
      <w:r>
        <w:t> </w:t>
      </w:r>
      <w:r w:rsidRPr="001937FD">
        <w:t>057</w:t>
      </w:r>
      <w:r>
        <w:t>,</w:t>
      </w:r>
      <w:r w:rsidRPr="001937FD">
        <w:t>7 млн.</w:t>
      </w:r>
      <w:r>
        <w:t xml:space="preserve"> </w:t>
      </w:r>
      <w:r w:rsidRPr="001937FD">
        <w:t>лв. Здравноосигурителните плащания представляват 97</w:t>
      </w:r>
      <w:r>
        <w:t>,</w:t>
      </w:r>
      <w:r w:rsidRPr="001937FD">
        <w:t>9  на сто от общия размер на разходите за периода.</w:t>
      </w:r>
    </w:p>
    <w:p w:rsidR="00A243D8" w:rsidRPr="004C5E94" w:rsidRDefault="00A243D8" w:rsidP="00A243D8">
      <w:pPr>
        <w:keepNext/>
        <w:ind w:firstLine="709"/>
        <w:jc w:val="both"/>
        <w:outlineLvl w:val="4"/>
      </w:pPr>
      <w:r w:rsidRPr="004C5E94">
        <w:t>По видове здравноосигурителни плащания изпълнението за 2015 г. е както следва:</w:t>
      </w:r>
    </w:p>
    <w:p w:rsidR="00A243D8" w:rsidRPr="004C5E94" w:rsidRDefault="00A243D8" w:rsidP="00781B85">
      <w:pPr>
        <w:numPr>
          <w:ilvl w:val="0"/>
          <w:numId w:val="60"/>
        </w:numPr>
        <w:tabs>
          <w:tab w:val="left" w:pos="851"/>
        </w:tabs>
        <w:spacing w:after="120"/>
        <w:ind w:left="567" w:firstLine="709"/>
        <w:rPr>
          <w:b/>
          <w:i/>
        </w:rPr>
      </w:pPr>
      <w:r w:rsidRPr="004C5E94">
        <w:rPr>
          <w:b/>
          <w:u w:val="single"/>
        </w:rPr>
        <w:t xml:space="preserve">Първична извънболнична медицинска помощ </w:t>
      </w:r>
      <w:r w:rsidRPr="004C5E94">
        <w:t>– 185,0 млн. лв.;</w:t>
      </w:r>
    </w:p>
    <w:p w:rsidR="00A243D8" w:rsidRPr="004C5E94" w:rsidRDefault="00A243D8" w:rsidP="00781B85">
      <w:pPr>
        <w:numPr>
          <w:ilvl w:val="0"/>
          <w:numId w:val="60"/>
        </w:numPr>
        <w:tabs>
          <w:tab w:val="left" w:pos="851"/>
        </w:tabs>
        <w:spacing w:after="120"/>
        <w:ind w:left="567" w:firstLine="709"/>
        <w:rPr>
          <w:b/>
          <w:u w:val="single"/>
        </w:rPr>
      </w:pPr>
      <w:r w:rsidRPr="004C5E94">
        <w:rPr>
          <w:b/>
          <w:u w:val="single"/>
        </w:rPr>
        <w:t xml:space="preserve">Специализирана извънболнична медицинска помощ </w:t>
      </w:r>
      <w:r w:rsidRPr="004C5E94">
        <w:t>– 204,2 млн. лв.;</w:t>
      </w:r>
    </w:p>
    <w:p w:rsidR="00A243D8" w:rsidRPr="004C5E94" w:rsidRDefault="00A243D8" w:rsidP="00781B85">
      <w:pPr>
        <w:numPr>
          <w:ilvl w:val="0"/>
          <w:numId w:val="60"/>
        </w:numPr>
        <w:tabs>
          <w:tab w:val="left" w:pos="851"/>
        </w:tabs>
        <w:spacing w:after="120"/>
        <w:ind w:left="567" w:firstLine="709"/>
        <w:rPr>
          <w:b/>
          <w:u w:val="single"/>
        </w:rPr>
      </w:pPr>
      <w:r w:rsidRPr="004C5E94">
        <w:rPr>
          <w:b/>
          <w:u w:val="single"/>
        </w:rPr>
        <w:t xml:space="preserve">Дентална помощ </w:t>
      </w:r>
      <w:r w:rsidRPr="004C5E94">
        <w:t>– 122,1 млн. лв.;</w:t>
      </w:r>
    </w:p>
    <w:p w:rsidR="00A243D8" w:rsidRPr="004C5E94" w:rsidRDefault="00A243D8" w:rsidP="00781B85">
      <w:pPr>
        <w:numPr>
          <w:ilvl w:val="0"/>
          <w:numId w:val="60"/>
        </w:numPr>
        <w:tabs>
          <w:tab w:val="left" w:pos="851"/>
        </w:tabs>
        <w:spacing w:after="120"/>
        <w:ind w:left="567" w:firstLine="709"/>
        <w:rPr>
          <w:b/>
          <w:u w:val="single"/>
        </w:rPr>
      </w:pPr>
      <w:r w:rsidRPr="004C5E94">
        <w:rPr>
          <w:b/>
          <w:u w:val="single"/>
        </w:rPr>
        <w:t>Медико - диагностична дейност</w:t>
      </w:r>
      <w:r w:rsidRPr="004C5E94">
        <w:rPr>
          <w:u w:val="single"/>
        </w:rPr>
        <w:t xml:space="preserve"> </w:t>
      </w:r>
      <w:r w:rsidRPr="004C5E94">
        <w:t>– 72,3 млн. лв.;</w:t>
      </w:r>
    </w:p>
    <w:p w:rsidR="00A243D8" w:rsidRPr="004C5E94" w:rsidRDefault="00A243D8" w:rsidP="00781B85">
      <w:pPr>
        <w:numPr>
          <w:ilvl w:val="0"/>
          <w:numId w:val="60"/>
        </w:numPr>
        <w:tabs>
          <w:tab w:val="left" w:pos="851"/>
        </w:tabs>
        <w:spacing w:after="120"/>
        <w:ind w:left="567" w:firstLine="709"/>
        <w:jc w:val="both"/>
      </w:pPr>
      <w:r w:rsidRPr="004C5E94">
        <w:rPr>
          <w:b/>
          <w:u w:val="single"/>
        </w:rPr>
        <w:t xml:space="preserve">Лекарствени продукти за домашно лечение и диетични храни за специални медицински цели </w:t>
      </w:r>
      <w:r w:rsidRPr="004C5E94">
        <w:t>– 597,8 млн. лв.;</w:t>
      </w:r>
    </w:p>
    <w:p w:rsidR="00A243D8" w:rsidRPr="004C5E94" w:rsidRDefault="00A243D8" w:rsidP="00781B85">
      <w:pPr>
        <w:numPr>
          <w:ilvl w:val="0"/>
          <w:numId w:val="60"/>
        </w:numPr>
        <w:tabs>
          <w:tab w:val="left" w:pos="851"/>
        </w:tabs>
        <w:spacing w:after="120"/>
        <w:ind w:left="567" w:firstLine="709"/>
        <w:jc w:val="both"/>
      </w:pPr>
      <w:r w:rsidRPr="004C5E94">
        <w:rPr>
          <w:b/>
          <w:u w:val="single"/>
        </w:rPr>
        <w:t xml:space="preserve">Лекарствена терапия при злокачествени заболявания </w:t>
      </w:r>
      <w:r w:rsidRPr="004C5E94">
        <w:t>– 245,9 млн. лева.</w:t>
      </w:r>
    </w:p>
    <w:p w:rsidR="00A243D8" w:rsidRPr="004C5E94" w:rsidRDefault="00A243D8" w:rsidP="00781B85">
      <w:pPr>
        <w:numPr>
          <w:ilvl w:val="0"/>
          <w:numId w:val="60"/>
        </w:numPr>
        <w:tabs>
          <w:tab w:val="left" w:pos="851"/>
        </w:tabs>
        <w:spacing w:after="120"/>
        <w:ind w:left="567" w:firstLine="709"/>
        <w:jc w:val="both"/>
        <w:rPr>
          <w:b/>
          <w:u w:val="single"/>
        </w:rPr>
      </w:pPr>
      <w:r w:rsidRPr="004C5E94">
        <w:rPr>
          <w:b/>
          <w:u w:val="single"/>
        </w:rPr>
        <w:t xml:space="preserve">Медицински изделия </w:t>
      </w:r>
      <w:r w:rsidRPr="004C5E94">
        <w:t>– 75,4 млн. лв.;</w:t>
      </w:r>
    </w:p>
    <w:p w:rsidR="00A243D8" w:rsidRPr="001F6421" w:rsidRDefault="00A243D8" w:rsidP="00781B85">
      <w:pPr>
        <w:pStyle w:val="ListParagraph"/>
        <w:numPr>
          <w:ilvl w:val="0"/>
          <w:numId w:val="60"/>
        </w:numPr>
        <w:tabs>
          <w:tab w:val="left" w:pos="851"/>
        </w:tabs>
        <w:spacing w:after="120"/>
        <w:ind w:left="0" w:firstLine="1276"/>
        <w:jc w:val="both"/>
        <w:rPr>
          <w:color w:val="0070C0"/>
        </w:rPr>
      </w:pPr>
      <w:r w:rsidRPr="00C43E99">
        <w:rPr>
          <w:b/>
          <w:u w:val="single"/>
        </w:rPr>
        <w:t>Болнична помощ</w:t>
      </w:r>
      <w:r w:rsidRPr="00C43E99">
        <w:rPr>
          <w:b/>
        </w:rPr>
        <w:t xml:space="preserve"> </w:t>
      </w:r>
      <w:r w:rsidRPr="001F6421">
        <w:rPr>
          <w:color w:val="0070C0"/>
        </w:rPr>
        <w:t xml:space="preserve">– </w:t>
      </w:r>
      <w:r w:rsidRPr="001937FD">
        <w:t xml:space="preserve">изплатени са  общо </w:t>
      </w:r>
      <w:r>
        <w:t>1 </w:t>
      </w:r>
      <w:r w:rsidR="006D12A6">
        <w:t>523,9</w:t>
      </w:r>
      <w:r>
        <w:t xml:space="preserve"> </w:t>
      </w:r>
      <w:r w:rsidRPr="001937FD">
        <w:t>млн.</w:t>
      </w:r>
      <w:r>
        <w:t xml:space="preserve"> </w:t>
      </w:r>
      <w:r w:rsidRPr="001937FD">
        <w:t>лв. за периода 1 януари до 31 декември 2015 г., което обхваща заплащане за извършена дейност от декември 2014 г. до ноември 2015 г. Като здравноосигурителни плащания за болнична помощ са отчетени и  преведените 68</w:t>
      </w:r>
      <w:r>
        <w:t>,</w:t>
      </w:r>
      <w:r w:rsidRPr="001937FD">
        <w:t>8 млн.</w:t>
      </w:r>
      <w:r>
        <w:t xml:space="preserve"> </w:t>
      </w:r>
      <w:r w:rsidRPr="001937FD">
        <w:t>лв. трансфери по договори за извършване на медицински услуги за болнична помощ към бюджетни предприятия, в структурата на които има болници по  чл.</w:t>
      </w:r>
      <w:r>
        <w:t xml:space="preserve"> </w:t>
      </w:r>
      <w:r w:rsidRPr="001937FD">
        <w:t>5 от Закона за лечебните заведения. Болничната помощ за годината заедно с трансферите към лечебни заведения – бюджетни организации представлява 49</w:t>
      </w:r>
      <w:r>
        <w:t>,</w:t>
      </w:r>
      <w:r w:rsidRPr="001937FD">
        <w:t>8 на сто от общия размер на здравноосигурителните плащания.</w:t>
      </w:r>
    </w:p>
    <w:p w:rsidR="00A243D8" w:rsidRPr="00C43E99" w:rsidRDefault="00A243D8" w:rsidP="00781B85">
      <w:pPr>
        <w:pStyle w:val="ListParagraph"/>
        <w:numPr>
          <w:ilvl w:val="0"/>
          <w:numId w:val="60"/>
        </w:numPr>
        <w:tabs>
          <w:tab w:val="left" w:pos="851"/>
        </w:tabs>
        <w:spacing w:after="120"/>
        <w:ind w:left="0" w:firstLine="1276"/>
        <w:jc w:val="both"/>
      </w:pPr>
      <w:r w:rsidRPr="00C43E99">
        <w:rPr>
          <w:b/>
          <w:u w:val="single"/>
        </w:rPr>
        <w:t>Други здравноосигурителни плащания</w:t>
      </w:r>
      <w:r w:rsidRPr="00C43E99">
        <w:t xml:space="preserve"> – отчетени са разходи в размер на 30,9 млн. лева.</w:t>
      </w:r>
    </w:p>
    <w:p w:rsidR="00A243D8" w:rsidRPr="00C43E99" w:rsidRDefault="00A243D8" w:rsidP="00A243D8">
      <w:pPr>
        <w:pStyle w:val="BodyText2"/>
        <w:spacing w:before="120" w:line="240" w:lineRule="auto"/>
        <w:ind w:firstLine="720"/>
        <w:jc w:val="both"/>
      </w:pPr>
      <w:r w:rsidRPr="00C43E99">
        <w:t xml:space="preserve">Общият размер на капиталовите разходи по отчет за 2015 г. възлиза </w:t>
      </w:r>
      <w:r w:rsidRPr="00C43E99">
        <w:rPr>
          <w:szCs w:val="28"/>
        </w:rPr>
        <w:t>на 2,6 млн</w:t>
      </w:r>
      <w:r w:rsidRPr="00C43E99">
        <w:t>. лв., което представлява 36,7 % от планираните за годината 7,0 млн. лева.</w:t>
      </w:r>
    </w:p>
    <w:p w:rsidR="00A243D8" w:rsidRPr="00C43E99" w:rsidRDefault="00A243D8" w:rsidP="00A243D8">
      <w:pPr>
        <w:pStyle w:val="Header"/>
        <w:spacing w:before="120" w:after="120"/>
        <w:ind w:firstLine="709"/>
        <w:jc w:val="both"/>
        <w:rPr>
          <w:b/>
          <w:i/>
        </w:rPr>
      </w:pPr>
      <w:r w:rsidRPr="00C43E99">
        <w:rPr>
          <w:b/>
          <w:i/>
        </w:rPr>
        <w:t>Предоставени трансфери</w:t>
      </w:r>
    </w:p>
    <w:p w:rsidR="00A243D8" w:rsidRPr="00C247F3" w:rsidRDefault="00A243D8" w:rsidP="00A243D8">
      <w:pPr>
        <w:pStyle w:val="BodyText2"/>
        <w:spacing w:before="120" w:line="240" w:lineRule="auto"/>
        <w:ind w:firstLine="720"/>
        <w:jc w:val="both"/>
      </w:pPr>
      <w:r w:rsidRPr="00C247F3">
        <w:t>През 2015 г. НЗОК е предоставила трансфери на:</w:t>
      </w:r>
    </w:p>
    <w:p w:rsidR="00A243D8" w:rsidRPr="00C247F3" w:rsidRDefault="00A243D8" w:rsidP="00781B85">
      <w:pPr>
        <w:pStyle w:val="BodyText2"/>
        <w:numPr>
          <w:ilvl w:val="0"/>
          <w:numId w:val="61"/>
        </w:numPr>
        <w:spacing w:before="120" w:line="240" w:lineRule="auto"/>
        <w:jc w:val="both"/>
      </w:pPr>
      <w:r w:rsidRPr="00C247F3">
        <w:t>НАП по чл. 24, т. 6 от Закона за здравното осигуряване – такса за обслужване събирането на здравноосигурителни вноски в размер на 3,4 млн. лева;</w:t>
      </w:r>
    </w:p>
    <w:p w:rsidR="00A243D8" w:rsidRPr="00052A0E" w:rsidRDefault="00A243D8" w:rsidP="00781B85">
      <w:pPr>
        <w:pStyle w:val="BodyText2"/>
        <w:numPr>
          <w:ilvl w:val="0"/>
          <w:numId w:val="61"/>
        </w:numPr>
        <w:spacing w:before="120" w:line="240" w:lineRule="auto"/>
        <w:jc w:val="both"/>
      </w:pPr>
      <w:r w:rsidRPr="00C247F3">
        <w:t xml:space="preserve">бюджетни предприятия, сключили договори за извършване на медицински услуги с НЗОК за болнична помощ, в структурата на които има болници по </w:t>
      </w:r>
      <w:r w:rsidRPr="00052A0E">
        <w:t>чл.5 от Закона за лечебните заведения в размер на 68,8 млн. лева.</w:t>
      </w:r>
    </w:p>
    <w:p w:rsidR="00A243D8" w:rsidRPr="00052A0E" w:rsidRDefault="00A243D8" w:rsidP="00A243D8">
      <w:pPr>
        <w:pStyle w:val="BodyText2"/>
        <w:spacing w:before="120" w:line="240" w:lineRule="auto"/>
        <w:ind w:firstLine="709"/>
        <w:jc w:val="both"/>
        <w:rPr>
          <w:lang w:val="en-US"/>
        </w:rPr>
      </w:pPr>
      <w:r w:rsidRPr="00052A0E">
        <w:t xml:space="preserve">За 2015 г. изплатените средства за акушерска помощ по чл. 82, ал. 1, т. 2 от Закона за здравето, за ваксини по национални програми за профилактика на рак на маточната шийка по чл. 82, ал.2, т.3 от Закона за здравето, както и за заплащане на разликата в потребителската такса за пенсионерите за сметка на трансфери от МЗ се отчитат като </w:t>
      </w:r>
      <w:r w:rsidRPr="00DC7A48">
        <w:t>текущи трансфери и са в размер на 23,5 млн. лева.</w:t>
      </w:r>
    </w:p>
    <w:p w:rsidR="00EC1776" w:rsidRPr="00BB5788" w:rsidRDefault="00EC1776" w:rsidP="00781B85">
      <w:pPr>
        <w:pStyle w:val="Heading2"/>
        <w:numPr>
          <w:ilvl w:val="1"/>
          <w:numId w:val="7"/>
        </w:numPr>
        <w:rPr>
          <w:rFonts w:ascii="Times New Roman" w:hAnsi="Times New Roman" w:cs="Times New Roman"/>
          <w:i w:val="0"/>
          <w:iCs w:val="0"/>
          <w:sz w:val="24"/>
        </w:rPr>
      </w:pPr>
      <w:bookmarkStart w:id="370" w:name="_Toc462146146"/>
      <w:r w:rsidRPr="00BB5788">
        <w:rPr>
          <w:rFonts w:ascii="Times New Roman" w:hAnsi="Times New Roman" w:cs="Times New Roman"/>
          <w:i w:val="0"/>
          <w:iCs w:val="0"/>
          <w:sz w:val="24"/>
        </w:rPr>
        <w:t>Бюджети по чл. 13, ал. 3 на Закона за публичните финанси</w:t>
      </w:r>
      <w:bookmarkEnd w:id="370"/>
    </w:p>
    <w:p w:rsidR="00BB5788" w:rsidRPr="00BB5788" w:rsidRDefault="00BB5788" w:rsidP="00BB5788">
      <w:pPr>
        <w:pStyle w:val="Heading3"/>
        <w:numPr>
          <w:ilvl w:val="1"/>
          <w:numId w:val="20"/>
        </w:numPr>
        <w:rPr>
          <w:rFonts w:ascii="Times New Roman" w:hAnsi="Times New Roman"/>
          <w:sz w:val="24"/>
          <w:lang w:val="bg-BG"/>
        </w:rPr>
      </w:pPr>
      <w:bookmarkStart w:id="371" w:name="_Toc326165959"/>
      <w:bookmarkStart w:id="372" w:name="_Toc326166062"/>
      <w:bookmarkStart w:id="373" w:name="_Toc326226661"/>
      <w:bookmarkStart w:id="374" w:name="_Toc430165310"/>
      <w:bookmarkStart w:id="375" w:name="_Toc462146147"/>
      <w:bookmarkStart w:id="376" w:name="_Toc324863451"/>
      <w:bookmarkStart w:id="377" w:name="_Toc393728103"/>
      <w:bookmarkEnd w:id="326"/>
      <w:bookmarkEnd w:id="327"/>
      <w:bookmarkEnd w:id="361"/>
      <w:bookmarkEnd w:id="362"/>
      <w:bookmarkEnd w:id="363"/>
      <w:bookmarkEnd w:id="364"/>
      <w:bookmarkEnd w:id="365"/>
      <w:bookmarkEnd w:id="371"/>
      <w:bookmarkEnd w:id="372"/>
      <w:bookmarkEnd w:id="373"/>
      <w:r w:rsidRPr="00BB5788">
        <w:rPr>
          <w:rFonts w:ascii="Times New Roman" w:hAnsi="Times New Roman"/>
          <w:sz w:val="24"/>
          <w:lang w:val="bg-BG"/>
        </w:rPr>
        <w:t>Държавни висши училища</w:t>
      </w:r>
      <w:bookmarkEnd w:id="374"/>
      <w:bookmarkEnd w:id="375"/>
    </w:p>
    <w:p w:rsidR="00BB5788" w:rsidRPr="00BB5788" w:rsidRDefault="00BB5788" w:rsidP="00BB5788">
      <w:pPr>
        <w:ind w:firstLine="720"/>
        <w:jc w:val="both"/>
      </w:pPr>
      <w:r w:rsidRPr="00BB5788">
        <w:rPr>
          <w:b/>
          <w:i/>
        </w:rPr>
        <w:t>Приходите</w:t>
      </w:r>
      <w:r w:rsidRPr="00BB5788">
        <w:t xml:space="preserve"> и помощите на ДВУ за 201</w:t>
      </w:r>
      <w:r w:rsidRPr="00BB5788">
        <w:rPr>
          <w:lang w:val="en-US"/>
        </w:rPr>
        <w:t>5</w:t>
      </w:r>
      <w:r w:rsidRPr="00BB5788">
        <w:t xml:space="preserve"> г. възлизат на </w:t>
      </w:r>
      <w:r w:rsidRPr="00BB5788">
        <w:rPr>
          <w:lang w:val="en-US"/>
        </w:rPr>
        <w:t>301</w:t>
      </w:r>
      <w:r w:rsidRPr="00BB5788">
        <w:t>,</w:t>
      </w:r>
      <w:r w:rsidRPr="00BB5788">
        <w:rPr>
          <w:lang w:val="en-US"/>
        </w:rPr>
        <w:t>7</w:t>
      </w:r>
      <w:r w:rsidRPr="00BB5788">
        <w:t xml:space="preserve"> млн. лв., което е повече с 5,3 млн. лв. </w:t>
      </w:r>
      <w:r w:rsidRPr="00BB5788">
        <w:rPr>
          <w:lang w:val="en-US"/>
        </w:rPr>
        <w:t>(</w:t>
      </w:r>
      <w:r w:rsidRPr="00BB5788">
        <w:t>1,8 %</w:t>
      </w:r>
      <w:r w:rsidRPr="00BB5788">
        <w:rPr>
          <w:lang w:val="en-US"/>
        </w:rPr>
        <w:t>)</w:t>
      </w:r>
      <w:r w:rsidRPr="00BB5788">
        <w:t xml:space="preserve"> спрямо отчетените през 2014 г. Спрямо разчетите към ЗДБРБ за 2015 г. изпълнението е 103,5 %. Основна част от тях – 294,8 млн. лв. са неданъчните приходи, а 6,9 млн. лв. са получени помощи. </w:t>
      </w:r>
    </w:p>
    <w:p w:rsidR="00BB5788" w:rsidRPr="00BB5788" w:rsidRDefault="00BB5788" w:rsidP="00BB5788">
      <w:pPr>
        <w:ind w:firstLine="720"/>
        <w:jc w:val="both"/>
      </w:pPr>
      <w:r w:rsidRPr="00BB5788">
        <w:lastRenderedPageBreak/>
        <w:t>Неданъчните приходи нарастват спрямо 2014 г. с 6,9 млн. лв. или 2,4 %.</w:t>
      </w:r>
      <w:r w:rsidRPr="00BB5788">
        <w:rPr>
          <w:color w:val="0070C0"/>
        </w:rPr>
        <w:t xml:space="preserve"> </w:t>
      </w:r>
      <w:r w:rsidRPr="00BB5788">
        <w:t xml:space="preserve">Преобладаващата част от тях (270,6 млн. лв.) представляват нетни приходи от продажба на услуги, стоки и продукция и се формират от семестриални такси за обучение на студентите, докторантите и специализантите, както и от приходите по договори за научно–изследователска дейност, проекти на държавните висши училища и др. Тези постъпления представляват 89,7 % спрямо реализираните общо приходи към 31.12.2015 година. </w:t>
      </w:r>
    </w:p>
    <w:p w:rsidR="00BB5788" w:rsidRPr="00BB5788" w:rsidRDefault="00BB5788" w:rsidP="00BB5788">
      <w:pPr>
        <w:ind w:firstLine="720"/>
        <w:jc w:val="both"/>
      </w:pPr>
      <w:r w:rsidRPr="00BB5788">
        <w:t>Приходите от наеми на имущество, реализирани от ДВУ, възлизат на 27,0</w:t>
      </w:r>
      <w:r w:rsidRPr="00BB5788">
        <w:rPr>
          <w:lang w:val="ru-RU"/>
        </w:rPr>
        <w:t xml:space="preserve"> </w:t>
      </w:r>
      <w:r w:rsidRPr="00BB5788">
        <w:t xml:space="preserve">млн. лв. и представляват </w:t>
      </w:r>
      <w:r w:rsidR="002B40B9">
        <w:t>8</w:t>
      </w:r>
      <w:r w:rsidRPr="00BB5788">
        <w:rPr>
          <w:lang w:val="ru-RU"/>
        </w:rPr>
        <w:t>,</w:t>
      </w:r>
      <w:r w:rsidR="002B40B9">
        <w:rPr>
          <w:lang w:val="ru-RU"/>
        </w:rPr>
        <w:t>9</w:t>
      </w:r>
      <w:r w:rsidRPr="00BB5788">
        <w:t xml:space="preserve"> % от реализираните общи приходи за 2015 година. </w:t>
      </w:r>
    </w:p>
    <w:p w:rsidR="00BB5788" w:rsidRPr="00BB5788" w:rsidRDefault="00BB5788" w:rsidP="00BB5788">
      <w:pPr>
        <w:ind w:firstLine="720"/>
        <w:jc w:val="both"/>
      </w:pPr>
      <w:r w:rsidRPr="00BB5788">
        <w:t>Сред помощите, получени от ДВУ – 6,9 млн. лв., преобладават тези с източник чужбина (5,3 млн. лв.).</w:t>
      </w:r>
    </w:p>
    <w:p w:rsidR="00BB5788" w:rsidRPr="00BB5788" w:rsidRDefault="00BB5788" w:rsidP="00BB5788">
      <w:pPr>
        <w:ind w:firstLine="720"/>
        <w:jc w:val="both"/>
      </w:pPr>
      <w:r w:rsidRPr="00BB5788">
        <w:rPr>
          <w:b/>
          <w:i/>
        </w:rPr>
        <w:t>Разходите</w:t>
      </w:r>
      <w:r w:rsidRPr="00BB5788">
        <w:t xml:space="preserve"> по бюджетите на ДВУ за 2015 г. възлизат на </w:t>
      </w:r>
      <w:r w:rsidRPr="00BB5788">
        <w:rPr>
          <w:lang w:val="ru-RU"/>
        </w:rPr>
        <w:t>716,</w:t>
      </w:r>
      <w:r w:rsidR="00A65178">
        <w:rPr>
          <w:lang w:val="ru-RU"/>
        </w:rPr>
        <w:t>6</w:t>
      </w:r>
      <w:r w:rsidRPr="00BB5788">
        <w:t xml:space="preserve"> млн. лв., което представлява 98,</w:t>
      </w:r>
      <w:r w:rsidR="007F4E8E">
        <w:t>8</w:t>
      </w:r>
      <w:r w:rsidRPr="00BB5788">
        <w:t xml:space="preserve"> % спрямо предвидените в разчетите към ЗДБРБ за 2015 г. Сравнени с 2014 г., разходите на ДВУ са близки по размер </w:t>
      </w:r>
      <w:r w:rsidRPr="00BB5788">
        <w:rPr>
          <w:lang w:val="en-US"/>
        </w:rPr>
        <w:t>(</w:t>
      </w:r>
      <w:r w:rsidRPr="00BB5788">
        <w:t xml:space="preserve">намаление с </w:t>
      </w:r>
      <w:r w:rsidRPr="00BB5788">
        <w:rPr>
          <w:lang w:val="en-US"/>
        </w:rPr>
        <w:t>0</w:t>
      </w:r>
      <w:r w:rsidRPr="00BB5788">
        <w:t>,</w:t>
      </w:r>
      <w:r w:rsidRPr="00BB5788">
        <w:rPr>
          <w:lang w:val="en-US"/>
        </w:rPr>
        <w:t>2 %)</w:t>
      </w:r>
      <w:r w:rsidRPr="00BB5788">
        <w:t>. От общата сума на разходите 490,</w:t>
      </w:r>
      <w:r w:rsidR="007F4E8E">
        <w:t>4</w:t>
      </w:r>
      <w:r w:rsidRPr="00BB5788">
        <w:t xml:space="preserve"> млн. лв. (68,4 %) са изразходвани за заплати, осигуровки и други възнаграждения на персонала, като спрямо 2014 г. са нараснали с 3,6 %. Втори по големина дял при текущите разходи заемат разходите за издръжка – 13</w:t>
      </w:r>
      <w:r w:rsidR="005208A1">
        <w:t>5</w:t>
      </w:r>
      <w:r w:rsidRPr="00BB5788">
        <w:t>,</w:t>
      </w:r>
      <w:r w:rsidR="005208A1">
        <w:t>8</w:t>
      </w:r>
      <w:r w:rsidRPr="00BB5788">
        <w:t xml:space="preserve"> млн. лв. (1</w:t>
      </w:r>
      <w:r w:rsidR="005208A1">
        <w:t>8</w:t>
      </w:r>
      <w:r w:rsidRPr="00BB5788">
        <w:t>,</w:t>
      </w:r>
      <w:r w:rsidR="005208A1">
        <w:t>9</w:t>
      </w:r>
      <w:r w:rsidR="003857C3">
        <w:t> </w:t>
      </w:r>
      <w:r w:rsidRPr="00BB5788">
        <w:t>%), следвани от разходите за стипендии – 33,4 млн. лв. (4,7 % от всички разходи).</w:t>
      </w:r>
      <w:r w:rsidRPr="00BB5788">
        <w:rPr>
          <w:color w:val="0070C0"/>
        </w:rPr>
        <w:t xml:space="preserve"> </w:t>
      </w:r>
      <w:r w:rsidRPr="00BB5788">
        <w:t xml:space="preserve">Капиталовите разходи намаляват с 8,2 % спрямо 2014 г. и към 31.12.2015 г. са в размер на </w:t>
      </w:r>
      <w:r w:rsidRPr="00BB5788">
        <w:rPr>
          <w:lang w:val="ru-RU"/>
        </w:rPr>
        <w:t>56,</w:t>
      </w:r>
      <w:r w:rsidR="007F4E8E">
        <w:rPr>
          <w:lang w:val="ru-RU"/>
        </w:rPr>
        <w:t>7</w:t>
      </w:r>
      <w:r w:rsidRPr="00BB5788">
        <w:t xml:space="preserve"> млн. лева.</w:t>
      </w:r>
    </w:p>
    <w:p w:rsidR="00BB5788" w:rsidRPr="00BB5788" w:rsidRDefault="00BB5788" w:rsidP="00BB5788">
      <w:pPr>
        <w:pStyle w:val="Heading3"/>
        <w:numPr>
          <w:ilvl w:val="1"/>
          <w:numId w:val="20"/>
        </w:numPr>
        <w:rPr>
          <w:rFonts w:ascii="Times New Roman" w:hAnsi="Times New Roman"/>
          <w:sz w:val="24"/>
          <w:lang w:val="bg-BG"/>
        </w:rPr>
      </w:pPr>
      <w:bookmarkStart w:id="378" w:name="_Toc430165311"/>
      <w:bookmarkStart w:id="379" w:name="_Toc462146148"/>
      <w:r w:rsidRPr="00BB5788">
        <w:rPr>
          <w:rFonts w:ascii="Times New Roman" w:hAnsi="Times New Roman"/>
          <w:sz w:val="24"/>
          <w:lang w:val="bg-BG"/>
        </w:rPr>
        <w:t>Българска академия на науките</w:t>
      </w:r>
      <w:bookmarkEnd w:id="378"/>
      <w:bookmarkEnd w:id="379"/>
    </w:p>
    <w:p w:rsidR="00BB5788" w:rsidRPr="00BB5788" w:rsidRDefault="00BB5788" w:rsidP="00BB5788">
      <w:pPr>
        <w:spacing w:before="120" w:after="120"/>
        <w:ind w:firstLine="720"/>
        <w:jc w:val="both"/>
      </w:pPr>
      <w:r w:rsidRPr="00BB5788">
        <w:t xml:space="preserve">Отчетените </w:t>
      </w:r>
      <w:r w:rsidRPr="00BB5788">
        <w:rPr>
          <w:b/>
          <w:i/>
        </w:rPr>
        <w:t>приходи и помощи</w:t>
      </w:r>
      <w:r w:rsidRPr="00BB5788">
        <w:t xml:space="preserve"> в системата на БАН към 31.12.2015 г. са в размер на 28,6 млн. лв. или 86,7 % от заложените разчети в ЗДБРБ за 2015 г. 33,0 млн. лв. Сравнени с предходната година, приходите на БАН са близки по размер </w:t>
      </w:r>
      <w:r w:rsidRPr="00BB5788">
        <w:rPr>
          <w:lang w:val="en-US"/>
        </w:rPr>
        <w:t>(</w:t>
      </w:r>
      <w:r w:rsidRPr="00BB5788">
        <w:t>намаление с 1,4 %</w:t>
      </w:r>
      <w:r w:rsidRPr="00BB5788">
        <w:rPr>
          <w:lang w:val="en-US"/>
        </w:rPr>
        <w:t>)</w:t>
      </w:r>
      <w:r w:rsidRPr="00BB5788">
        <w:t>.</w:t>
      </w:r>
      <w:r w:rsidRPr="00BB5788">
        <w:rPr>
          <w:color w:val="0070C0"/>
        </w:rPr>
        <w:t xml:space="preserve"> </w:t>
      </w:r>
      <w:r w:rsidRPr="00BB5788">
        <w:t>Основен дял от реализираните приходи са от продажба на услуги, стоки и продукция (88,7</w:t>
      </w:r>
      <w:r w:rsidR="003857C3">
        <w:t> </w:t>
      </w:r>
      <w:r w:rsidRPr="00BB5788">
        <w:t>%), и постъпват по линия на международни програми, проекти и по договори за научни разработки.</w:t>
      </w:r>
      <w:r w:rsidRPr="00BB5788">
        <w:rPr>
          <w:color w:val="0070C0"/>
        </w:rPr>
        <w:t xml:space="preserve"> </w:t>
      </w:r>
      <w:r w:rsidRPr="00BB5788">
        <w:rPr>
          <w:lang w:eastAsia="en-US"/>
        </w:rPr>
        <w:t xml:space="preserve">Основна част от реализираните собствени приходи на поделенията в системата на БАН са в резултат от участието в международни проекти за научни разработки. </w:t>
      </w:r>
      <w:r w:rsidRPr="00BB5788">
        <w:t>Голяма част от тези приходи са свързани с конкретни договорни задължения и не могат да се използват за общоакадемични нужди.</w:t>
      </w:r>
    </w:p>
    <w:p w:rsidR="00BB5788" w:rsidRPr="00BB5788" w:rsidRDefault="00BB5788" w:rsidP="00BB5788">
      <w:pPr>
        <w:ind w:firstLine="720"/>
        <w:jc w:val="both"/>
      </w:pPr>
      <w:r w:rsidRPr="00BB5788">
        <w:t xml:space="preserve">Извършените </w:t>
      </w:r>
      <w:r w:rsidRPr="00BB5788">
        <w:rPr>
          <w:b/>
          <w:i/>
        </w:rPr>
        <w:t>разходи</w:t>
      </w:r>
      <w:r w:rsidRPr="00BB5788">
        <w:t xml:space="preserve"> по бюджета на БАН за 2015 г. са в размер на 111,2 млн. лв. и представляват 94,4 % от предвидените в разчетите към ЗДБРБ за 2015 г. Най-голям дял заемат разходите за персонал (68,5 %), следвани от средствата за издръжка – 25,1 % и за капиталови разходи – 5,1 на сто. </w:t>
      </w:r>
    </w:p>
    <w:p w:rsidR="00BB5788" w:rsidRPr="00BB5788" w:rsidRDefault="00BB5788" w:rsidP="00BB5788">
      <w:pPr>
        <w:pStyle w:val="Heading3"/>
        <w:numPr>
          <w:ilvl w:val="1"/>
          <w:numId w:val="20"/>
        </w:numPr>
        <w:rPr>
          <w:rFonts w:ascii="Times New Roman" w:hAnsi="Times New Roman"/>
          <w:sz w:val="24"/>
          <w:lang w:val="bg-BG"/>
        </w:rPr>
      </w:pPr>
      <w:bookmarkStart w:id="380" w:name="_Toc430165312"/>
      <w:bookmarkStart w:id="381" w:name="_Toc462146149"/>
      <w:r w:rsidRPr="00BB5788">
        <w:rPr>
          <w:rFonts w:ascii="Times New Roman" w:hAnsi="Times New Roman"/>
          <w:sz w:val="24"/>
          <w:lang w:val="bg-BG"/>
        </w:rPr>
        <w:t>Българско национално радио</w:t>
      </w:r>
      <w:bookmarkEnd w:id="380"/>
      <w:bookmarkEnd w:id="381"/>
    </w:p>
    <w:p w:rsidR="00BB5788" w:rsidRPr="00BB5788" w:rsidRDefault="00BB5788" w:rsidP="00BB5788">
      <w:pPr>
        <w:widowControl w:val="0"/>
        <w:spacing w:after="120"/>
        <w:ind w:firstLine="720"/>
        <w:jc w:val="both"/>
      </w:pPr>
      <w:r w:rsidRPr="00BB5788">
        <w:t xml:space="preserve">По бюджета на Българското национално радио (БНР) за 2015 г. са отчетени </w:t>
      </w:r>
      <w:r w:rsidRPr="00BB5788">
        <w:rPr>
          <w:b/>
          <w:i/>
        </w:rPr>
        <w:t>приходи</w:t>
      </w:r>
      <w:r w:rsidRPr="00BB5788">
        <w:t xml:space="preserve"> общо в размер на 2,9 млн. лв., което представлява 139,4 % изпълнение спрямо разчетите към ЗДБРБ за 2014 г. </w:t>
      </w:r>
    </w:p>
    <w:p w:rsidR="00BB5788" w:rsidRPr="00BB5788" w:rsidRDefault="00BB5788" w:rsidP="00BB5788">
      <w:pPr>
        <w:widowControl w:val="0"/>
        <w:spacing w:after="120"/>
        <w:ind w:firstLine="720"/>
        <w:jc w:val="both"/>
      </w:pPr>
      <w:r w:rsidRPr="00BB5788">
        <w:t>Съгласно разпоредбите на Закона за радиото и телевизията в приходите на бюджета на БНР постъпват собствени приходи от реклама, спонсорство, дарения, лихви и други приходи, свързани с дейността на националното радио.</w:t>
      </w:r>
    </w:p>
    <w:p w:rsidR="00BB5788" w:rsidRPr="00BB5788" w:rsidRDefault="00BB5788" w:rsidP="00BB5788">
      <w:pPr>
        <w:widowControl w:val="0"/>
        <w:spacing w:after="120"/>
        <w:ind w:firstLine="720"/>
        <w:jc w:val="both"/>
      </w:pPr>
      <w:r w:rsidRPr="00BB5788">
        <w:t>Изпълнението на неданъчните приходи е в размер на 2,9 млн. лв. и възлиза на 139,4 % от планираните им стойности за годината – 2,1 млн. лв. Спрямо 2014 г. неданъчните приходи са с 0,3 млн. лв. повече или ръст от 13,</w:t>
      </w:r>
      <w:r w:rsidR="002B40B9">
        <w:t>3</w:t>
      </w:r>
      <w:r w:rsidRPr="00BB5788">
        <w:t xml:space="preserve"> % в резултат от отчетени по-високи постъпления от реклама, технически и др. услуги, които формират основния дял приходи по бюджета на националното радио. </w:t>
      </w:r>
    </w:p>
    <w:p w:rsidR="00BB5788" w:rsidRPr="00BB5788" w:rsidRDefault="00BB5788" w:rsidP="00BB5788">
      <w:pPr>
        <w:widowControl w:val="0"/>
        <w:spacing w:after="120"/>
        <w:ind w:firstLine="720"/>
        <w:jc w:val="both"/>
      </w:pPr>
      <w:r w:rsidRPr="00BB5788">
        <w:t>Отчетените приходи и доходи от собственост са в размер на 3,2 млн. лв., в т.ч.:</w:t>
      </w:r>
    </w:p>
    <w:p w:rsidR="00BB5788" w:rsidRPr="00BB5788" w:rsidRDefault="00BB5788" w:rsidP="00BB5788">
      <w:pPr>
        <w:widowControl w:val="0"/>
        <w:tabs>
          <w:tab w:val="left" w:pos="1276"/>
        </w:tabs>
        <w:spacing w:after="120"/>
        <w:ind w:firstLine="1134"/>
        <w:jc w:val="both"/>
      </w:pPr>
      <w:r w:rsidRPr="00BB5788">
        <w:lastRenderedPageBreak/>
        <w:t>•</w:t>
      </w:r>
      <w:r w:rsidRPr="00BB5788">
        <w:tab/>
        <w:t>3,2 млн. лв. постъпления от продажби на услуги, стоки и продукция /реклама, съвместни проекти, спонсорски съобщения, технически услуги,  приходи от концертна дейност, издателска и лицензионна дейност местни избори и референдум и др./;</w:t>
      </w:r>
    </w:p>
    <w:p w:rsidR="00BB5788" w:rsidRPr="00BB5788" w:rsidRDefault="00BB5788" w:rsidP="00BB5788">
      <w:pPr>
        <w:widowControl w:val="0"/>
        <w:tabs>
          <w:tab w:val="left" w:pos="1276"/>
        </w:tabs>
        <w:spacing w:after="120"/>
        <w:ind w:firstLine="1134"/>
        <w:jc w:val="both"/>
      </w:pPr>
      <w:r w:rsidRPr="00BB5788">
        <w:t>•</w:t>
      </w:r>
      <w:r w:rsidRPr="00BB5788">
        <w:tab/>
        <w:t xml:space="preserve">0,1 млн. лв. от наеми на имущество. </w:t>
      </w:r>
    </w:p>
    <w:p w:rsidR="00BB5788" w:rsidRPr="00BB5788" w:rsidRDefault="00BB5788" w:rsidP="00BB5788">
      <w:pPr>
        <w:ind w:firstLine="709"/>
        <w:jc w:val="both"/>
        <w:rPr>
          <w:color w:val="0070C0"/>
        </w:rPr>
      </w:pPr>
      <w:r w:rsidRPr="00BB5788">
        <w:t xml:space="preserve">С чл. 48, </w:t>
      </w:r>
      <w:r w:rsidR="009342E9">
        <w:t xml:space="preserve">ал. 1, </w:t>
      </w:r>
      <w:r w:rsidRPr="00BB5788">
        <w:t xml:space="preserve">т. 1 от ЗДБРБ за 2015 г. са определени </w:t>
      </w:r>
      <w:r w:rsidRPr="00BB5788">
        <w:rPr>
          <w:b/>
          <w:i/>
        </w:rPr>
        <w:t>бюджетните взаимоотношения на БНР с централния бюджет</w:t>
      </w:r>
      <w:r w:rsidRPr="00BB5788">
        <w:t xml:space="preserve"> в размер на 42,1 млн. лв., в т.ч.: 3,9 млн. лв. по чл. 70, ал. 4, т. 2 от Закона за радиото и телевизията – за придобиване и основен ремонт на дълготрайни активи. За 2015 г. за бюджета на БНР е одобрен допълнителен трансфер в размер на 0,2 млн. лв. за разходи, свързани с подготовката и произвеждането на изборите за общински съветници и за кметове и на национален референдум на 25.10.2015 г., съгласно ПМС № 230 от 2015 г.</w:t>
      </w:r>
      <w:r w:rsidRPr="00BB5788">
        <w:rPr>
          <w:color w:val="0070C0"/>
        </w:rPr>
        <w:t xml:space="preserve"> </w:t>
      </w:r>
    </w:p>
    <w:p w:rsidR="00BB5788" w:rsidRPr="00BB5788" w:rsidRDefault="00BB5788" w:rsidP="00BB5788">
      <w:pPr>
        <w:ind w:firstLine="709"/>
        <w:jc w:val="both"/>
      </w:pPr>
      <w:r w:rsidRPr="00BB5788">
        <w:t xml:space="preserve">За отчетния период трансферите от централния бюджет за БНР в размер на 42,3 млн. лв. са предоставени и отчетени на 100 % спрямо уточнения годишен размер. </w:t>
      </w:r>
    </w:p>
    <w:p w:rsidR="00BB5788" w:rsidRPr="00BB5788" w:rsidRDefault="00BB5788" w:rsidP="00BB5788">
      <w:pPr>
        <w:ind w:firstLine="720"/>
        <w:jc w:val="both"/>
      </w:pPr>
      <w:r w:rsidRPr="00BB5788">
        <w:t>Българското национално радио съставя, изпълнява, приключва и отчита бюджет, съгласно чл. 70, ал. 1 от Закона за радиото и телевизията. В разпределението на разходите по бюджета на БНР за 2015 г. е включен преходния остатък за 2014 г. /съгл. чл. 70, ал. 6 от ЗРТ/ в размер на 1,7 млн. лв.</w:t>
      </w:r>
    </w:p>
    <w:p w:rsidR="00BB5788" w:rsidRPr="00BB5788" w:rsidRDefault="00BB5788" w:rsidP="00BB5788">
      <w:pPr>
        <w:ind w:firstLine="709"/>
        <w:jc w:val="both"/>
      </w:pPr>
      <w:r w:rsidRPr="00BB5788">
        <w:t xml:space="preserve">За 2015 г. отчетените по бюджета на БНР </w:t>
      </w:r>
      <w:r w:rsidRPr="00BB5788">
        <w:rPr>
          <w:b/>
          <w:i/>
        </w:rPr>
        <w:t>разходи</w:t>
      </w:r>
      <w:r w:rsidRPr="00BB5788">
        <w:t xml:space="preserve"> са в размер на 44,0 млн. лв., което представлява 99,5 % спрямо разчетите към ЗДБРБ за 2015 г. Средствата са усвоени за</w:t>
      </w:r>
      <w:r w:rsidRPr="00BB5788">
        <w:rPr>
          <w:color w:val="0070C0"/>
        </w:rPr>
        <w:t xml:space="preserve"> </w:t>
      </w:r>
      <w:r w:rsidRPr="00BB5788">
        <w:t xml:space="preserve">реализирането на основните цели и дейности на БНР по подготовката, създаването и разпространението на национални и регионални радиопрограми съгласно разпоредбите на Закона за радиото и телевизията. Общият обем на излъчената от БНР програма е 94 065 часа или 101,1 % изпълнение на планирания обем радиопрограма за 2015 г. Обемът   радиопрограма е излъчен по следните програми: </w:t>
      </w:r>
    </w:p>
    <w:p w:rsidR="00BB5788" w:rsidRPr="00BB5788" w:rsidRDefault="00BB5788" w:rsidP="00BB5788">
      <w:pPr>
        <w:numPr>
          <w:ilvl w:val="0"/>
          <w:numId w:val="14"/>
        </w:numPr>
        <w:tabs>
          <w:tab w:val="left" w:pos="1134"/>
        </w:tabs>
        <w:ind w:firstLine="851"/>
        <w:jc w:val="both"/>
      </w:pPr>
      <w:r w:rsidRPr="00BB5788">
        <w:t>национални програми – „Хоризонт” и „Христо Ботев”;</w:t>
      </w:r>
    </w:p>
    <w:p w:rsidR="00BB5788" w:rsidRPr="00BB5788" w:rsidRDefault="00BB5788" w:rsidP="00BB5788">
      <w:pPr>
        <w:numPr>
          <w:ilvl w:val="0"/>
          <w:numId w:val="14"/>
        </w:numPr>
        <w:tabs>
          <w:tab w:val="left" w:pos="1134"/>
        </w:tabs>
        <w:ind w:firstLine="851"/>
        <w:jc w:val="both"/>
      </w:pPr>
      <w:r w:rsidRPr="00BB5788">
        <w:t>регионални програми – 8 регионални радиоцентрове /Варна, Пловдив, Стара Загора, Шумен, Благоевград, Видин и Бургас и програма „Радио София”/;</w:t>
      </w:r>
    </w:p>
    <w:p w:rsidR="00BB5788" w:rsidRPr="00BB5788" w:rsidRDefault="00BB5788" w:rsidP="00BB5788">
      <w:pPr>
        <w:numPr>
          <w:ilvl w:val="0"/>
          <w:numId w:val="14"/>
        </w:numPr>
        <w:tabs>
          <w:tab w:val="left" w:pos="1134"/>
        </w:tabs>
        <w:ind w:firstLine="851"/>
        <w:jc w:val="both"/>
      </w:pPr>
      <w:r w:rsidRPr="00BB5788">
        <w:t>международна програма - „Радио България”;</w:t>
      </w:r>
    </w:p>
    <w:p w:rsidR="00BB5788" w:rsidRPr="00BB5788" w:rsidRDefault="00BB5788" w:rsidP="00BB5788">
      <w:pPr>
        <w:numPr>
          <w:ilvl w:val="0"/>
          <w:numId w:val="14"/>
        </w:numPr>
        <w:tabs>
          <w:tab w:val="left" w:pos="1134"/>
        </w:tabs>
        <w:spacing w:after="120"/>
        <w:ind w:firstLine="851"/>
        <w:jc w:val="both"/>
      </w:pPr>
      <w:r w:rsidRPr="00BB5788">
        <w:t>интернет радио Бин@р.</w:t>
      </w:r>
    </w:p>
    <w:p w:rsidR="00BB5788" w:rsidRPr="00BB5788" w:rsidRDefault="00BB5788" w:rsidP="00BB5788">
      <w:pPr>
        <w:ind w:firstLine="709"/>
        <w:jc w:val="both"/>
      </w:pPr>
      <w:r w:rsidRPr="00BB5788">
        <w:t xml:space="preserve">Текущи разходи – за осъществяването на основната дейност на националното радио за периода са  усвоени средства в размер на 39,2 млн. лв., което представлява 97,3 % изпълнение на разходите спрямо разчета за 2015 г. </w:t>
      </w:r>
    </w:p>
    <w:p w:rsidR="00BB5788" w:rsidRPr="00BB5788" w:rsidRDefault="00BB5788" w:rsidP="00BB5788">
      <w:pPr>
        <w:ind w:firstLine="709"/>
        <w:jc w:val="both"/>
      </w:pPr>
      <w:r w:rsidRPr="00BB5788">
        <w:t xml:space="preserve">За отчетния период разходите за персонал са в размер на 22,5 млн. лв., </w:t>
      </w:r>
      <w:r w:rsidRPr="00BB5788">
        <w:rPr>
          <w:bCs/>
        </w:rPr>
        <w:t xml:space="preserve">т.ч.: 0,2 млн. лв. по извършени промени във връзка с ПМС № 230/2015 г. По отчетни данни е спазено ограничението по чл. 48, ал. 2 от ЗДБРБ за 2015 г. </w:t>
      </w:r>
      <w:r w:rsidRPr="00BB5788">
        <w:t>За издръжка и др. текущи разходи – 16,7 млн. лв. Отчетените разходи за издръжка на БНР са в размер на 16,1 млн.</w:t>
      </w:r>
      <w:r w:rsidR="009342E9">
        <w:t xml:space="preserve"> </w:t>
      </w:r>
      <w:r w:rsidRPr="00BB5788">
        <w:t>лв. или 41,0 % от текущите разходи за отчетния период. С най-голям относителен дял от разходите за издръжка са отчетените разходи за външни услуги – 69,4 %. От разходите за външни услуги най-голям дял имат разходите за такси за разпространение на програмите на БНР в размер на 7,0 млн. лв. или 43,5 % от разходите за издръжка. Голяма част от разходите за издръжка са и отчетените за периода разходи за: възнаграждения за авторски права за излъчване на лицензирани звукозаписи в програмите на БНР – 1,1 млн. лв.; вода, горива и енергия – 1,4 млн. лв.; материали – 1,2 млн. лв.; текущ ремонт – 0,6 млн. лв. и др.</w:t>
      </w:r>
    </w:p>
    <w:p w:rsidR="00BB5788" w:rsidRPr="00BB5788" w:rsidRDefault="00BB5788" w:rsidP="00BB5788">
      <w:pPr>
        <w:ind w:firstLine="709"/>
        <w:jc w:val="both"/>
      </w:pPr>
      <w:r w:rsidRPr="005D0553">
        <w:t xml:space="preserve">Отчетените капиталови разходи са в размер на 4,8 млн. лв. или 92,3 % от разходите по уточнен план </w:t>
      </w:r>
      <w:r w:rsidRPr="005D0553">
        <w:rPr>
          <w:lang w:val="en-US"/>
        </w:rPr>
        <w:t>(</w:t>
      </w:r>
      <w:r w:rsidRPr="005D0553">
        <w:t>5,2</w:t>
      </w:r>
      <w:r w:rsidRPr="005D0553">
        <w:rPr>
          <w:lang w:val="en-US"/>
        </w:rPr>
        <w:t xml:space="preserve"> </w:t>
      </w:r>
      <w:r w:rsidRPr="005D0553">
        <w:t>млн. лв.</w:t>
      </w:r>
      <w:r w:rsidRPr="005D0553">
        <w:rPr>
          <w:lang w:val="en-US"/>
        </w:rPr>
        <w:t>)</w:t>
      </w:r>
      <w:r w:rsidRPr="005D0553">
        <w:t>. Средствата са</w:t>
      </w:r>
      <w:r w:rsidRPr="00BB5788">
        <w:rPr>
          <w:color w:val="0070C0"/>
        </w:rPr>
        <w:t xml:space="preserve"> </w:t>
      </w:r>
      <w:r w:rsidRPr="00BB5788">
        <w:t>усвоени за основен ремонт и придобиване на дълготрайни материални и нематериални активи, с оглед осъществяването на техническо и технологично обновление на производствено-студийната база</w:t>
      </w:r>
      <w:r w:rsidRPr="00BB5788">
        <w:rPr>
          <w:lang w:val="en-US"/>
        </w:rPr>
        <w:t xml:space="preserve"> </w:t>
      </w:r>
      <w:r w:rsidRPr="00BB5788">
        <w:t>за осъществяване на цялостния работен процес на подготовка и излъчване на радиопрограмите, и за подобряване покритието на страната с програмите на Българското национално радио.</w:t>
      </w:r>
    </w:p>
    <w:p w:rsidR="00BB5788" w:rsidRPr="00BB5788" w:rsidRDefault="00BB5788" w:rsidP="00BB5788">
      <w:pPr>
        <w:ind w:firstLine="720"/>
        <w:jc w:val="both"/>
      </w:pPr>
      <w:r w:rsidRPr="00BB5788">
        <w:lastRenderedPageBreak/>
        <w:t>Допустимите максимални размери на задълженията на БНР към доставчици за 201</w:t>
      </w:r>
      <w:r w:rsidRPr="00BB5788">
        <w:rPr>
          <w:lang w:val="en-US"/>
        </w:rPr>
        <w:t>5</w:t>
      </w:r>
      <w:r w:rsidRPr="00BB5788">
        <w:t xml:space="preserve"> г. съгласно чл. 54, ал. 1 от ЗДБРБ за 201</w:t>
      </w:r>
      <w:r w:rsidRPr="00BB5788">
        <w:rPr>
          <w:lang w:val="en-US"/>
        </w:rPr>
        <w:t>5</w:t>
      </w:r>
      <w:r w:rsidRPr="00BB5788">
        <w:t xml:space="preserve"> г. са 2,0 млн. лв. Към 31.12.201</w:t>
      </w:r>
      <w:r w:rsidRPr="00BB5788">
        <w:rPr>
          <w:lang w:val="en-US"/>
        </w:rPr>
        <w:t>5</w:t>
      </w:r>
      <w:r w:rsidRPr="00BB5788">
        <w:t xml:space="preserve"> г. неизплатените задължения на </w:t>
      </w:r>
      <w:r w:rsidR="009C6856" w:rsidRPr="00BB5788">
        <w:t>БН</w:t>
      </w:r>
      <w:r w:rsidR="009C6856">
        <w:t>Р</w:t>
      </w:r>
      <w:r w:rsidR="009C6856" w:rsidRPr="00BB5788">
        <w:t xml:space="preserve"> </w:t>
      </w:r>
      <w:r w:rsidRPr="00BB5788">
        <w:t xml:space="preserve">към доставчици възлизат на </w:t>
      </w:r>
      <w:r w:rsidR="009C6856">
        <w:t>0,1</w:t>
      </w:r>
      <w:r w:rsidRPr="00BB5788">
        <w:t xml:space="preserve"> млн. лв. и представляват задължения за разходи за вода, горива и енергия, външни услуги, придобиване на компютри и др.</w:t>
      </w:r>
    </w:p>
    <w:p w:rsidR="00BB5788" w:rsidRPr="00BB5788" w:rsidRDefault="00BB5788" w:rsidP="00BB5788">
      <w:pPr>
        <w:pStyle w:val="Heading3"/>
        <w:numPr>
          <w:ilvl w:val="1"/>
          <w:numId w:val="20"/>
        </w:numPr>
        <w:rPr>
          <w:rFonts w:ascii="Times New Roman" w:hAnsi="Times New Roman"/>
          <w:sz w:val="24"/>
          <w:lang w:val="bg-BG"/>
        </w:rPr>
      </w:pPr>
      <w:bookmarkStart w:id="382" w:name="_Toc393728098"/>
      <w:bookmarkStart w:id="383" w:name="_Toc430165313"/>
      <w:bookmarkStart w:id="384" w:name="_Toc462146150"/>
      <w:r w:rsidRPr="00BB5788">
        <w:rPr>
          <w:rFonts w:ascii="Times New Roman" w:hAnsi="Times New Roman"/>
          <w:sz w:val="24"/>
          <w:lang w:val="bg-BG"/>
        </w:rPr>
        <w:t>Българска национална телевизия</w:t>
      </w:r>
      <w:bookmarkEnd w:id="382"/>
      <w:bookmarkEnd w:id="383"/>
      <w:bookmarkEnd w:id="384"/>
    </w:p>
    <w:p w:rsidR="00BB5788" w:rsidRPr="00BB5788" w:rsidRDefault="00BB5788" w:rsidP="00BB5788">
      <w:pPr>
        <w:ind w:firstLine="708"/>
        <w:jc w:val="both"/>
      </w:pPr>
      <w:r w:rsidRPr="00BB5788">
        <w:rPr>
          <w:lang w:eastAsia="en-US"/>
        </w:rPr>
        <w:t>По бюджета на БНТ за 201</w:t>
      </w:r>
      <w:r w:rsidRPr="00BB5788">
        <w:rPr>
          <w:lang w:val="en-US" w:eastAsia="en-US"/>
        </w:rPr>
        <w:t>5</w:t>
      </w:r>
      <w:r w:rsidRPr="00BB5788">
        <w:rPr>
          <w:lang w:eastAsia="en-US"/>
        </w:rPr>
        <w:t xml:space="preserve"> г. са отчетени </w:t>
      </w:r>
      <w:r w:rsidRPr="00BB5788">
        <w:rPr>
          <w:b/>
          <w:i/>
          <w:lang w:eastAsia="en-US"/>
        </w:rPr>
        <w:t>приходи</w:t>
      </w:r>
      <w:r w:rsidRPr="00BB5788">
        <w:rPr>
          <w:lang w:eastAsia="en-US"/>
        </w:rPr>
        <w:t xml:space="preserve"> в размер на </w:t>
      </w:r>
      <w:r w:rsidRPr="00BB5788">
        <w:rPr>
          <w:lang w:val="en-US" w:eastAsia="en-US"/>
        </w:rPr>
        <w:t>7</w:t>
      </w:r>
      <w:r w:rsidRPr="00BB5788">
        <w:rPr>
          <w:lang w:eastAsia="en-US"/>
        </w:rPr>
        <w:t>,</w:t>
      </w:r>
      <w:r w:rsidRPr="00BB5788">
        <w:rPr>
          <w:lang w:val="en-US" w:eastAsia="en-US"/>
        </w:rPr>
        <w:t>9</w:t>
      </w:r>
      <w:r w:rsidRPr="00BB5788">
        <w:rPr>
          <w:lang w:eastAsia="en-US"/>
        </w:rPr>
        <w:t xml:space="preserve"> млн. лв., което представлява </w:t>
      </w:r>
      <w:r w:rsidRPr="00BB5788">
        <w:rPr>
          <w:lang w:val="en-US" w:eastAsia="en-US"/>
        </w:rPr>
        <w:t>105</w:t>
      </w:r>
      <w:r w:rsidRPr="00BB5788">
        <w:rPr>
          <w:lang w:eastAsia="en-US"/>
        </w:rPr>
        <w:t>,4 % спрямо разчетите към ЗДБРБ за 201</w:t>
      </w:r>
      <w:r w:rsidRPr="00BB5788">
        <w:rPr>
          <w:lang w:val="en-US" w:eastAsia="en-US"/>
        </w:rPr>
        <w:t>5</w:t>
      </w:r>
      <w:r w:rsidRPr="00BB5788">
        <w:rPr>
          <w:lang w:eastAsia="en-US"/>
        </w:rPr>
        <w:t xml:space="preserve"> г. </w:t>
      </w:r>
      <w:r w:rsidRPr="00BB5788">
        <w:t>Съгласно разпоредбите на Закона за радиото и телевизията в приход на бюджета на БНТ постъпват собствени приходи от реклама, спонсорство, дарения, лихви и др. приходи, свързани с дейността на националната телевизия.</w:t>
      </w:r>
    </w:p>
    <w:p w:rsidR="00BB5788" w:rsidRPr="00BB5788" w:rsidRDefault="00BB5788" w:rsidP="00BB5788">
      <w:pPr>
        <w:ind w:firstLine="708"/>
        <w:jc w:val="both"/>
        <w:rPr>
          <w:lang w:eastAsia="en-US"/>
        </w:rPr>
      </w:pPr>
      <w:r w:rsidRPr="00BB5788">
        <w:t xml:space="preserve">Изпълнението на неданъчните приходи е в размер на 7,7 млн. лв. и възлиза на 102,1 % от разчета за годината – 7,5 млн. лв. Спрямо 2014 г. неданъчните приходи са с 0,4 млн. лв. по-малко или спад от 5,5 % в резултат на отчетени по-ниски постъпления от реклама, спонсорски и технически услуги, които формират основния дял приходи по бюджета на обществената телевизия. </w:t>
      </w:r>
      <w:r w:rsidRPr="00BB5788">
        <w:rPr>
          <w:lang w:eastAsia="en-US"/>
        </w:rPr>
        <w:t xml:space="preserve">Отчетените през 2015 г. приходи и доходи от собственост са в размер на 8,7 млн. лв., в т.ч. 8,6 млн. лв. постъпления от продажба на услуги, стоки и продукция (реклама, спонсорство, технически услуги, почивно дело, продажба на програми); и 0,1 млн. лв. от наеми на имущество. </w:t>
      </w:r>
    </w:p>
    <w:p w:rsidR="00BB5788" w:rsidRPr="00BB5788" w:rsidRDefault="00BB5788" w:rsidP="00BB5788">
      <w:pPr>
        <w:tabs>
          <w:tab w:val="right" w:pos="7938"/>
        </w:tabs>
        <w:ind w:firstLine="720"/>
        <w:jc w:val="both"/>
        <w:rPr>
          <w:lang w:eastAsia="en-US"/>
        </w:rPr>
      </w:pPr>
      <w:r w:rsidRPr="00BB5788">
        <w:t>За 2015 г. по бюджета са отчетени безвъзмездно получени средства от страната и чужбина в размер на 0,25 млн. лв. от Фондация „Америка за България“, САЩ, за производство на документални филми.</w:t>
      </w:r>
    </w:p>
    <w:p w:rsidR="00BB5788" w:rsidRPr="00BB5788" w:rsidRDefault="00BB5788" w:rsidP="00BB5788">
      <w:pPr>
        <w:ind w:firstLine="720"/>
        <w:jc w:val="both"/>
        <w:rPr>
          <w:color w:val="0070C0"/>
        </w:rPr>
      </w:pPr>
      <w:r w:rsidRPr="00BB5788">
        <w:t xml:space="preserve">С чл. 48, </w:t>
      </w:r>
      <w:r w:rsidR="009C6856">
        <w:t xml:space="preserve">ал. 1, </w:t>
      </w:r>
      <w:r w:rsidRPr="00BB5788">
        <w:t xml:space="preserve">т. 2 от ЗДБРБ за 2015 г. са определени </w:t>
      </w:r>
      <w:r w:rsidRPr="00BB5788">
        <w:rPr>
          <w:b/>
          <w:i/>
          <w:lang w:eastAsia="en-US"/>
        </w:rPr>
        <w:t xml:space="preserve">бюджетните взаимоотношения на БНТ с централния бюджет </w:t>
      </w:r>
      <w:r w:rsidRPr="00BB5788">
        <w:t>в размер на 65,1 млн. лв., в т.ч.: 8,1 млн. лв. по чл. 70, ал. 4, т. 2 от Закона за радиото и телевизията – за придобиване и основен ремонт на дълготрайни активи.</w:t>
      </w:r>
      <w:r w:rsidRPr="00BB5788">
        <w:rPr>
          <w:color w:val="0070C0"/>
        </w:rPr>
        <w:t xml:space="preserve"> </w:t>
      </w:r>
      <w:r w:rsidRPr="00BB5788">
        <w:t>За 2015 г. за бюджета на БНТ са одобрени допълнителни трансфери в размер на 3,5 млн. лв., т.ч.: 3,0 млн. лв. за продуцирането и създаването на телевизионна програма за международния песенен конкурс „Детска Евровизия 2015 г.“ съгл. ПМС № 154 от 2015 г. и 0,5 млн. лв. за разходи, свързани с подготовката и произвеждането на изборите за общински съветници и за кметове и на национален референдум на 25.10.2015 г. съгл. ПМС № 230 от 2015 г</w:t>
      </w:r>
      <w:r w:rsidRPr="00BB5788">
        <w:rPr>
          <w:color w:val="0070C0"/>
        </w:rPr>
        <w:t>.</w:t>
      </w:r>
    </w:p>
    <w:p w:rsidR="00BB5788" w:rsidRPr="00BB5788" w:rsidRDefault="00BB5788" w:rsidP="00BB5788">
      <w:pPr>
        <w:ind w:firstLine="720"/>
        <w:jc w:val="both"/>
      </w:pPr>
      <w:r w:rsidRPr="00BB5788">
        <w:t xml:space="preserve">За отчетния период трансферите от централния бюджет за БНТ в размер на 68,6 млн. лв. са предоставени и отчетени на 100 % спрямо уточнения годишен размер. </w:t>
      </w:r>
    </w:p>
    <w:p w:rsidR="00BB5788" w:rsidRPr="00BB5788" w:rsidRDefault="00BB5788" w:rsidP="00BB5788">
      <w:pPr>
        <w:ind w:firstLine="720"/>
        <w:jc w:val="both"/>
      </w:pPr>
      <w:r w:rsidRPr="00BB5788">
        <w:t>Българската национална телевизия съставя, изпълнява, приключва и отчита бюджет, съгласно чл. 70, ал. 1 от Закона за радиото и телевизията.</w:t>
      </w:r>
      <w:r w:rsidRPr="00BB5788">
        <w:rPr>
          <w:color w:val="0070C0"/>
        </w:rPr>
        <w:t xml:space="preserve"> </w:t>
      </w:r>
      <w:r w:rsidRPr="00BB5788">
        <w:t xml:space="preserve">В разпределението на разходите по бюджета на обществената медия е включен преходния остатък за 2014 г. /съгл. чл. 70, ал. 6 от ЗРТ/ в размер на 1,0 млн.лв. </w:t>
      </w:r>
    </w:p>
    <w:p w:rsidR="00BB5788" w:rsidRPr="00BB5788" w:rsidRDefault="00BB5788" w:rsidP="00BB5788">
      <w:pPr>
        <w:ind w:firstLine="720"/>
        <w:jc w:val="both"/>
        <w:rPr>
          <w:color w:val="0070C0"/>
        </w:rPr>
      </w:pPr>
      <w:r w:rsidRPr="00BB5788">
        <w:t xml:space="preserve">Отчетените по бюджета на БНТ </w:t>
      </w:r>
      <w:r w:rsidRPr="00BB5788">
        <w:rPr>
          <w:b/>
          <w:i/>
          <w:lang w:eastAsia="en-US"/>
        </w:rPr>
        <w:t>разходи</w:t>
      </w:r>
      <w:r w:rsidRPr="00BB5788">
        <w:t xml:space="preserve"> са в размер на 83,8 млн. лв., което представлява 115,4 % спрямо предвидените в разчета към ЗДБРБ за 2015 г.</w:t>
      </w:r>
      <w:r w:rsidRPr="00BB5788">
        <w:rPr>
          <w:color w:val="0070C0"/>
        </w:rPr>
        <w:t xml:space="preserve"> </w:t>
      </w:r>
      <w:r w:rsidRPr="00BB5788">
        <w:t>По-високият процент разходи основно се дължи на начислени  задължения по търговски кредит в размер на 10,3 млн. лв. във връзка с подписан договор за цесия с разсрочени плащания на 18 месечни вноски.</w:t>
      </w:r>
      <w:r w:rsidRPr="00BB5788">
        <w:rPr>
          <w:lang w:val="en-US"/>
        </w:rPr>
        <w:t xml:space="preserve"> </w:t>
      </w:r>
      <w:r w:rsidRPr="00BB5788">
        <w:t>Средствата са усвоени за реализирането на основните цели и дейности на БНТ по подготовката, създаването и разпространението на телевизионна програма съгласно разпоредбите на Закона за радиото и телевизията. Общият обем на излъчената от БНТ програма е 35 040 часа или 100,0 % изпълнение на планирания обем телевизионна програма и включва:</w:t>
      </w:r>
    </w:p>
    <w:p w:rsidR="00BB5788" w:rsidRPr="00BB5788" w:rsidRDefault="00BB5788" w:rsidP="00BB5788">
      <w:pPr>
        <w:numPr>
          <w:ilvl w:val="0"/>
          <w:numId w:val="14"/>
        </w:numPr>
        <w:tabs>
          <w:tab w:val="left" w:pos="1560"/>
          <w:tab w:val="left" w:pos="1701"/>
        </w:tabs>
        <w:ind w:firstLine="1418"/>
        <w:jc w:val="both"/>
      </w:pPr>
      <w:r w:rsidRPr="00BB5788">
        <w:t>„БНТ 1“ – 8 760 часа;</w:t>
      </w:r>
    </w:p>
    <w:p w:rsidR="00BB5788" w:rsidRPr="00BB5788" w:rsidRDefault="00BB5788" w:rsidP="00BB5788">
      <w:pPr>
        <w:numPr>
          <w:ilvl w:val="0"/>
          <w:numId w:val="14"/>
        </w:numPr>
        <w:tabs>
          <w:tab w:val="left" w:pos="1560"/>
          <w:tab w:val="left" w:pos="1701"/>
        </w:tabs>
        <w:ind w:firstLine="1418"/>
        <w:jc w:val="both"/>
      </w:pPr>
      <w:r w:rsidRPr="00BB5788">
        <w:t>„БНТ Свят” – 8 760 часа;</w:t>
      </w:r>
    </w:p>
    <w:p w:rsidR="00BB5788" w:rsidRPr="00BB5788" w:rsidRDefault="00BB5788" w:rsidP="00BB5788">
      <w:pPr>
        <w:numPr>
          <w:ilvl w:val="0"/>
          <w:numId w:val="14"/>
        </w:numPr>
        <w:tabs>
          <w:tab w:val="left" w:pos="1560"/>
          <w:tab w:val="left" w:pos="1701"/>
        </w:tabs>
        <w:ind w:firstLine="1418"/>
        <w:jc w:val="both"/>
      </w:pPr>
      <w:r w:rsidRPr="00BB5788">
        <w:t xml:space="preserve">„БНТ 2“ – 8 760 часа;  </w:t>
      </w:r>
    </w:p>
    <w:p w:rsidR="00BB5788" w:rsidRPr="00BB5788" w:rsidRDefault="00BB5788" w:rsidP="00BB5788">
      <w:pPr>
        <w:numPr>
          <w:ilvl w:val="0"/>
          <w:numId w:val="14"/>
        </w:numPr>
        <w:tabs>
          <w:tab w:val="left" w:pos="1560"/>
          <w:tab w:val="left" w:pos="1701"/>
        </w:tabs>
        <w:ind w:firstLine="1418"/>
        <w:jc w:val="both"/>
      </w:pPr>
      <w:r w:rsidRPr="00BB5788">
        <w:t>„БНТ HD“ – 8 760 часа.</w:t>
      </w:r>
    </w:p>
    <w:p w:rsidR="00BB5788" w:rsidRPr="00BB5788" w:rsidRDefault="00BB5788" w:rsidP="00BB5788">
      <w:pPr>
        <w:ind w:firstLine="720"/>
        <w:jc w:val="both"/>
      </w:pPr>
      <w:r w:rsidRPr="00BB5788">
        <w:lastRenderedPageBreak/>
        <w:t xml:space="preserve">Най-голям дял в структурата на общия обем излъчена програма по „БНТ 1” е собствената програма – 47,4 %; повторения – 34,8 %; и чужда програма  – 12,1 %. </w:t>
      </w:r>
    </w:p>
    <w:p w:rsidR="00BB5788" w:rsidRPr="00BB5788" w:rsidRDefault="00BB5788" w:rsidP="00BB5788">
      <w:pPr>
        <w:ind w:firstLine="720"/>
        <w:jc w:val="both"/>
      </w:pPr>
      <w:r w:rsidRPr="00BB5788">
        <w:t xml:space="preserve">Текущите разходи по бюджета на БНТ за осъществяването на основната дейност на обществената медия за 2015 г. са в размер на </w:t>
      </w:r>
      <w:r w:rsidRPr="00D378B5">
        <w:t>70,</w:t>
      </w:r>
      <w:r w:rsidR="00D378B5">
        <w:rPr>
          <w:lang w:val="en-US"/>
        </w:rPr>
        <w:t>6</w:t>
      </w:r>
      <w:r w:rsidR="00D378B5" w:rsidRPr="00D378B5">
        <w:t xml:space="preserve"> </w:t>
      </w:r>
      <w:r w:rsidRPr="00D378B5">
        <w:t>млн</w:t>
      </w:r>
      <w:r w:rsidRPr="00BB5788">
        <w:t xml:space="preserve">. лв., което </w:t>
      </w:r>
      <w:r w:rsidRPr="00D378B5">
        <w:t>представлява 123,</w:t>
      </w:r>
      <w:r w:rsidR="00D378B5" w:rsidRPr="00AA562F">
        <w:rPr>
          <w:lang w:val="en-US"/>
        </w:rPr>
        <w:t>3</w:t>
      </w:r>
      <w:r w:rsidR="00D378B5" w:rsidRPr="00BB5788">
        <w:t xml:space="preserve"> </w:t>
      </w:r>
      <w:r w:rsidRPr="00BB5788">
        <w:t xml:space="preserve">% изпълнение на разходите по разчет и </w:t>
      </w:r>
      <w:r w:rsidRPr="00BB5788">
        <w:rPr>
          <w:bCs/>
        </w:rPr>
        <w:t>96,2 % изпълнение на разходите по уточнен план.</w:t>
      </w:r>
    </w:p>
    <w:p w:rsidR="00BB5788" w:rsidRPr="00BB5788" w:rsidRDefault="00BB5788" w:rsidP="00BB5788">
      <w:pPr>
        <w:ind w:firstLine="720"/>
        <w:jc w:val="both"/>
        <w:rPr>
          <w:color w:val="0070C0"/>
        </w:rPr>
      </w:pPr>
      <w:r w:rsidRPr="00BB5788">
        <w:t xml:space="preserve">За отчетния период разходите за персонал са в размер на 26,6 млн. лв., </w:t>
      </w:r>
      <w:r w:rsidRPr="00BB5788">
        <w:rPr>
          <w:bCs/>
        </w:rPr>
        <w:t>в т.ч.: 2,1 млн. лв. по извършени промени във връзка с ПМС № 154/2015 г. и ПМС № 230/2015 г. По отчетни данни е спазено ограничението по чл. 48, ал. 2 от ЗДБРБ за 2015 г.</w:t>
      </w:r>
      <w:r w:rsidRPr="00BB5788">
        <w:t xml:space="preserve"> Разходите за издръжка и др. текущи разходи възлизат на 44,0</w:t>
      </w:r>
      <w:r w:rsidRPr="00BB5788">
        <w:tab/>
        <w:t xml:space="preserve"> млн. лв. Отчетените разходи за издръжка на БНТ са в размер на 43,2 млн. лв. или 61,3 % от текущите разходи за отчетния период. С най-голям относителен дял от разходите за издръжка са отчетените разходи за външни услуги – 82,2 %.</w:t>
      </w:r>
      <w:r w:rsidRPr="00BB5788">
        <w:rPr>
          <w:color w:val="0070C0"/>
        </w:rPr>
        <w:t xml:space="preserve"> </w:t>
      </w:r>
      <w:r w:rsidRPr="00BB5788">
        <w:rPr>
          <w:bCs/>
        </w:rPr>
        <w:t>Отчетените разходи за такси за разпространение на програмите на БНТ са в размер на 1</w:t>
      </w:r>
      <w:r w:rsidRPr="00BB5788">
        <w:rPr>
          <w:bCs/>
          <w:lang w:val="en-US"/>
        </w:rPr>
        <w:t>6</w:t>
      </w:r>
      <w:r w:rsidRPr="00BB5788">
        <w:rPr>
          <w:bCs/>
        </w:rPr>
        <w:t>,</w:t>
      </w:r>
      <w:r w:rsidRPr="00BB5788">
        <w:rPr>
          <w:bCs/>
          <w:lang w:val="en-US"/>
        </w:rPr>
        <w:t>8</w:t>
      </w:r>
      <w:r w:rsidRPr="00BB5788">
        <w:rPr>
          <w:bCs/>
        </w:rPr>
        <w:t xml:space="preserve"> млн.лв., в т.ч. 10,3 млн. лв. начислени задължения по търговски кредит във връзка с подписан договор за цесия с разсрочени плащания. Голяма част от разходите за издръжка са отчетените за периода разходи за: </w:t>
      </w:r>
      <w:r w:rsidRPr="00BB5788">
        <w:t>възнаграждения за авторски и сродни права на колективни сдружения – 7,4 млн. лв.; услуги и наеми за предавания – 4,7 млн. лв.; международни трасета и унилатерали – 1,7 млн. лв.; външни продукции – 1,5 млн. лв.; телекомуникационни услуги – 1,2 млн. лв.; отстъпени права за закупуване на програми и спортни събития с лицензионен срок до 1 година – 0,6 млн. лв.; информационни услуги – 0,6 млн. лв</w:t>
      </w:r>
      <w:r w:rsidRPr="00BB5788">
        <w:rPr>
          <w:color w:val="0070C0"/>
        </w:rPr>
        <w:t>.</w:t>
      </w:r>
    </w:p>
    <w:p w:rsidR="00BB5788" w:rsidRPr="00BB5788" w:rsidRDefault="00BB5788" w:rsidP="00BB5788">
      <w:pPr>
        <w:ind w:firstLine="720"/>
        <w:jc w:val="both"/>
        <w:rPr>
          <w:lang w:val="en-US"/>
        </w:rPr>
      </w:pPr>
      <w:r w:rsidRPr="0081516D">
        <w:t>Отчетените капиталови разходи са в размер на 13,2 млн. лв. или 100,0 % от разходите по уточнен план.</w:t>
      </w:r>
      <w:r w:rsidRPr="00BB5788">
        <w:rPr>
          <w:color w:val="0070C0"/>
        </w:rPr>
        <w:t xml:space="preserve"> </w:t>
      </w:r>
      <w:r w:rsidRPr="00BB5788">
        <w:t>Средствата са усвоени за основен ремонт и придобиване на дълготрайни материални и нематериални активи. За периода са отчетени разходи за филмопроизводство – 2,2 млн. лв.; за придобиване правата за излъчване на европейски и световни първенства – 6,2 млн. лв. и за закупуване правата за излъчване на чужди и български програми – 2,8 млн. лева.</w:t>
      </w:r>
    </w:p>
    <w:p w:rsidR="00BB5788" w:rsidRPr="00BB5788" w:rsidRDefault="00BB5788" w:rsidP="00BB5788">
      <w:pPr>
        <w:ind w:firstLine="720"/>
        <w:jc w:val="both"/>
        <w:rPr>
          <w:color w:val="0070C0"/>
        </w:rPr>
      </w:pPr>
      <w:r w:rsidRPr="00BB5788">
        <w:t>Допустимите максимални размери на задълженията на БНТ към доставчици за 2015 г. съгласно чл. 54, ал. 1 от ЗДБРБ за 2014 г. са 7,0 млн. лв. Към 31.12.2015 г. задълженията на БНТ към доставчици възлизат на 2,2 млн. лв. и представляват задължения за такси за разпространение на програмите на БНТ, задължения към външни продуценти и за отстъпени права за филми и програми</w:t>
      </w:r>
      <w:r w:rsidRPr="00BB5788">
        <w:rPr>
          <w:color w:val="0070C0"/>
        </w:rPr>
        <w:t>.</w:t>
      </w:r>
    </w:p>
    <w:p w:rsidR="00BB5788" w:rsidRPr="00BB5788" w:rsidRDefault="00BB5788" w:rsidP="00BB5788">
      <w:pPr>
        <w:pStyle w:val="Heading3"/>
        <w:numPr>
          <w:ilvl w:val="1"/>
          <w:numId w:val="20"/>
        </w:numPr>
        <w:rPr>
          <w:rFonts w:ascii="Times New Roman" w:hAnsi="Times New Roman"/>
          <w:sz w:val="24"/>
          <w:lang w:val="bg-BG"/>
        </w:rPr>
      </w:pPr>
      <w:bookmarkStart w:id="385" w:name="_Toc393728099"/>
      <w:bookmarkStart w:id="386" w:name="_Toc430165314"/>
      <w:bookmarkStart w:id="387" w:name="_Toc462146151"/>
      <w:r w:rsidRPr="00BB5788">
        <w:rPr>
          <w:rFonts w:ascii="Times New Roman" w:hAnsi="Times New Roman"/>
          <w:sz w:val="24"/>
          <w:lang w:val="bg-BG"/>
        </w:rPr>
        <w:t>Българска телеграфна агенция</w:t>
      </w:r>
      <w:bookmarkEnd w:id="385"/>
      <w:bookmarkEnd w:id="386"/>
      <w:bookmarkEnd w:id="387"/>
    </w:p>
    <w:p w:rsidR="00BB5788" w:rsidRPr="00BB5788" w:rsidRDefault="00BB5788" w:rsidP="00BB5788">
      <w:pPr>
        <w:tabs>
          <w:tab w:val="right" w:pos="7938"/>
        </w:tabs>
        <w:ind w:firstLine="720"/>
        <w:jc w:val="both"/>
        <w:rPr>
          <w:lang w:eastAsia="en-US"/>
        </w:rPr>
      </w:pPr>
      <w:r w:rsidRPr="00BB5788">
        <w:t xml:space="preserve">Общият размер на </w:t>
      </w:r>
      <w:r w:rsidRPr="00BB5788">
        <w:rPr>
          <w:b/>
          <w:i/>
        </w:rPr>
        <w:t>приходите</w:t>
      </w:r>
      <w:r w:rsidRPr="00BB5788">
        <w:t xml:space="preserve"> към 31.12.2015 г. на Българската телеграфна агенция /БТА/ е 1,7 млн. лв. или 84,6 % от предвидените в ЗДБРБ за 2015 г.</w:t>
      </w:r>
      <w:r w:rsidR="002B40B9">
        <w:t>,</w:t>
      </w:r>
      <w:r w:rsidRPr="00BB5788">
        <w:t xml:space="preserve"> които са реализирани от продажба на информационни продукти и услуги. Основно това са </w:t>
      </w:r>
      <w:r w:rsidRPr="00BB5788">
        <w:rPr>
          <w:lang w:eastAsia="en-US"/>
        </w:rPr>
        <w:t xml:space="preserve">постъпления от осъществени продажби на информационни продукти и услуги, снимки, организиране на пресконференции и реклама. </w:t>
      </w:r>
    </w:p>
    <w:p w:rsidR="00BB5788" w:rsidRPr="00BB5788" w:rsidRDefault="00BB5788" w:rsidP="00BB5788">
      <w:pPr>
        <w:tabs>
          <w:tab w:val="right" w:pos="7938"/>
        </w:tabs>
        <w:ind w:firstLine="720"/>
        <w:jc w:val="both"/>
      </w:pPr>
      <w:r w:rsidRPr="00BB5788">
        <w:t xml:space="preserve">Отчетените общи </w:t>
      </w:r>
      <w:r w:rsidRPr="00BB5788">
        <w:rPr>
          <w:b/>
          <w:i/>
        </w:rPr>
        <w:t>разходи</w:t>
      </w:r>
      <w:r w:rsidRPr="00BB5788">
        <w:t xml:space="preserve"> към 31.12.2015 г. по бюджета на БТА са в размер на 6,0 млн. лв., което представлява 91,3 % от утвърдените разходи с разчетите към ЗДБРБ за 2015</w:t>
      </w:r>
      <w:r w:rsidR="003857C3">
        <w:t> </w:t>
      </w:r>
      <w:r w:rsidRPr="00BB5788">
        <w:t>г. Сравнени с предходната година, разходите са близки по размер. С най-голям относителен дял (71,2 % от общите разходи) са разходите за персонал, от които 3,5 млн. лв. са за заплати и възнаграждения на персонала, 0,7 млн. лв. – осигурителни вноски и 0,</w:t>
      </w:r>
      <w:r w:rsidR="002B40B9">
        <w:t>1</w:t>
      </w:r>
      <w:r w:rsidRPr="00BB5788">
        <w:t xml:space="preserve"> млн. лв. други възнаграждения и плащания на персонала. Разходите за издръжка и други текущи разходи за 2015 г. са в размер на 1,</w:t>
      </w:r>
      <w:r w:rsidR="002B40B9">
        <w:t>7</w:t>
      </w:r>
      <w:r w:rsidRPr="00BB5788">
        <w:t xml:space="preserve"> млн. лв. Капиталовите разходи са в размер на 0,0</w:t>
      </w:r>
      <w:r w:rsidR="002B40B9">
        <w:t>2</w:t>
      </w:r>
      <w:r w:rsidR="00244FA1">
        <w:rPr>
          <w:lang w:val="en-US"/>
        </w:rPr>
        <w:t>7</w:t>
      </w:r>
      <w:r w:rsidRPr="00BB5788">
        <w:t xml:space="preserve"> млн. лева.</w:t>
      </w:r>
    </w:p>
    <w:p w:rsidR="00BB5788" w:rsidRPr="00BB5788" w:rsidRDefault="00BB5788" w:rsidP="00BB5788">
      <w:pPr>
        <w:tabs>
          <w:tab w:val="right" w:pos="7938"/>
        </w:tabs>
        <w:ind w:firstLine="720"/>
        <w:jc w:val="both"/>
      </w:pPr>
      <w:r w:rsidRPr="00BB5788">
        <w:t xml:space="preserve">Предвидената </w:t>
      </w:r>
      <w:r w:rsidRPr="00BB5788">
        <w:rPr>
          <w:b/>
          <w:i/>
        </w:rPr>
        <w:t>субсидия</w:t>
      </w:r>
      <w:r w:rsidRPr="00BB5788">
        <w:t xml:space="preserve"> за БТА за 2015 г. е 4,5 млн. лв., като към 31.12.2015 г. средствата са  усвоени на 100,0 % спрямо уточнения годишен размер.</w:t>
      </w:r>
    </w:p>
    <w:p w:rsidR="009C1EBF" w:rsidRPr="00B66FC2" w:rsidRDefault="009C1EBF" w:rsidP="00781B85">
      <w:pPr>
        <w:pStyle w:val="Heading2"/>
        <w:numPr>
          <w:ilvl w:val="1"/>
          <w:numId w:val="7"/>
        </w:numPr>
        <w:rPr>
          <w:rFonts w:ascii="Times New Roman" w:hAnsi="Times New Roman" w:cs="Times New Roman"/>
          <w:i w:val="0"/>
          <w:iCs w:val="0"/>
          <w:sz w:val="24"/>
        </w:rPr>
      </w:pPr>
      <w:bookmarkStart w:id="388" w:name="_Toc462146152"/>
      <w:r w:rsidRPr="00B66FC2">
        <w:rPr>
          <w:rFonts w:ascii="Times New Roman" w:hAnsi="Times New Roman" w:cs="Times New Roman"/>
          <w:i w:val="0"/>
          <w:iCs w:val="0"/>
          <w:sz w:val="24"/>
        </w:rPr>
        <w:lastRenderedPageBreak/>
        <w:t>Сметки за средствата от Европейския съюз на бюджетни организации</w:t>
      </w:r>
      <w:bookmarkEnd w:id="388"/>
      <w:r w:rsidRPr="00B66FC2">
        <w:rPr>
          <w:rFonts w:ascii="Times New Roman" w:hAnsi="Times New Roman" w:cs="Times New Roman"/>
          <w:i w:val="0"/>
          <w:iCs w:val="0"/>
          <w:sz w:val="24"/>
        </w:rPr>
        <w:t xml:space="preserve"> </w:t>
      </w:r>
    </w:p>
    <w:p w:rsidR="00621B56" w:rsidRPr="00B66FC2" w:rsidRDefault="00301324" w:rsidP="00781B85">
      <w:pPr>
        <w:pStyle w:val="Heading3"/>
        <w:numPr>
          <w:ilvl w:val="1"/>
          <w:numId w:val="21"/>
        </w:numPr>
        <w:rPr>
          <w:rFonts w:ascii="Times New Roman" w:hAnsi="Times New Roman"/>
          <w:sz w:val="24"/>
          <w:lang w:val="bg-BG"/>
        </w:rPr>
      </w:pPr>
      <w:bookmarkStart w:id="389" w:name="_Toc462146153"/>
      <w:r w:rsidRPr="00B66FC2">
        <w:rPr>
          <w:rFonts w:ascii="Times New Roman" w:hAnsi="Times New Roman"/>
          <w:sz w:val="24"/>
          <w:lang w:val="bg-BG"/>
        </w:rPr>
        <w:t>Сметка за средства</w:t>
      </w:r>
      <w:r w:rsidR="00100EF6" w:rsidRPr="00B66FC2">
        <w:rPr>
          <w:rFonts w:ascii="Times New Roman" w:hAnsi="Times New Roman"/>
          <w:sz w:val="24"/>
          <w:lang w:val="bg-BG"/>
        </w:rPr>
        <w:t>та</w:t>
      </w:r>
      <w:r w:rsidRPr="00B66FC2">
        <w:rPr>
          <w:rFonts w:ascii="Times New Roman" w:hAnsi="Times New Roman"/>
          <w:sz w:val="24"/>
          <w:lang w:val="bg-BG"/>
        </w:rPr>
        <w:t xml:space="preserve"> от Европейския съюз на </w:t>
      </w:r>
      <w:r w:rsidR="00621B56" w:rsidRPr="00B66FC2">
        <w:rPr>
          <w:rFonts w:ascii="Times New Roman" w:hAnsi="Times New Roman"/>
          <w:sz w:val="24"/>
          <w:lang w:val="bg-BG"/>
        </w:rPr>
        <w:t>Национален фонд към Министерство на финансите</w:t>
      </w:r>
      <w:bookmarkEnd w:id="376"/>
      <w:bookmarkEnd w:id="377"/>
      <w:bookmarkEnd w:id="389"/>
    </w:p>
    <w:p w:rsidR="00B66FC2" w:rsidRPr="00B66FC2" w:rsidRDefault="00B66FC2" w:rsidP="00B66FC2">
      <w:pPr>
        <w:ind w:right="142" w:firstLine="567"/>
        <w:jc w:val="both"/>
        <w:rPr>
          <w:color w:val="4F81BD"/>
        </w:rPr>
      </w:pPr>
      <w:bookmarkStart w:id="390" w:name="_Toc136597770"/>
      <w:bookmarkStart w:id="391" w:name="_Toc136601673"/>
      <w:bookmarkStart w:id="392" w:name="_Toc261276609"/>
      <w:bookmarkStart w:id="393" w:name="_Toc262637652"/>
      <w:bookmarkStart w:id="394" w:name="_Toc324863452"/>
      <w:bookmarkStart w:id="395" w:name="_Toc393728104"/>
      <w:r w:rsidRPr="00B66FC2">
        <w:t>Дирекция „Национален фонд” е Сертифициращ орган и орган, отговорен за получаване на средствата от Структурните фондове и Кохезионния фонд (СКФ) на Европейския съюз (ЕС) през програмния период 2007–2013 г. съгласно Решение на Министерския съвет № 988/27.12.2005 г., както и по двустранните програми за трансгранично сътрудничество по външните граници на ЕС, финансирани от Инструмента за предприсъединителна помощ (ИПП), съгласно Решение на Министерския съвет № 523 от 31.07.2007 г. Също така, съгласно</w:t>
      </w:r>
      <w:r w:rsidRPr="00B66FC2">
        <w:rPr>
          <w:rFonts w:ascii="Calibri" w:eastAsia="Calibri" w:hAnsi="Calibri"/>
          <w:lang w:eastAsia="en-US"/>
        </w:rPr>
        <w:t xml:space="preserve"> </w:t>
      </w:r>
      <w:r w:rsidRPr="00B66FC2">
        <w:t xml:space="preserve">Решение на Министерския съвет № 792/19.12.2013 г. Национален фонд е определен за Сертифициращ орган и орган, отговорен за получаване на средствата по програмите, финансирани със средствата от Европейския фонд за регионално развитие, Европейския социален фонд, Кохезионния фонд, Инициативата за младежка заетост (ИМЗ) и Фонда за европейско подпомагане на най-нуждаещите се (ФЕПН), както и по двустранните програми за трансгранично сътрудничество по външните граници на ЕС, финансирани от (ИПП </w:t>
      </w:r>
      <w:r w:rsidRPr="00B66FC2">
        <w:rPr>
          <w:lang w:val="en-US"/>
        </w:rPr>
        <w:t>II</w:t>
      </w:r>
      <w:r w:rsidRPr="00B66FC2">
        <w:t>) с Решение на Министерския съвет № 156 от 21.03.2014 г.</w:t>
      </w:r>
    </w:p>
    <w:p w:rsidR="00B66FC2" w:rsidRPr="00B66FC2" w:rsidRDefault="00B66FC2" w:rsidP="00B66FC2">
      <w:pPr>
        <w:ind w:right="142" w:firstLine="567"/>
        <w:jc w:val="both"/>
      </w:pPr>
      <w:r w:rsidRPr="00B66FC2">
        <w:t xml:space="preserve">Дирекцията управлява финансовата помощ, предоставена на Република България от Европейската общност по предприсъединителните програми, като изпълнява функциите на централен съкровищен орган по програма ФАР, Разплащателен орган по КФ (Регламент 1164/94)/ИСПА и на Компетентен орган по програма САПАРД.   </w:t>
      </w:r>
    </w:p>
    <w:p w:rsidR="00B66FC2" w:rsidRPr="00B66FC2" w:rsidRDefault="00B66FC2" w:rsidP="00B66FC2">
      <w:pPr>
        <w:ind w:right="142" w:firstLine="567"/>
        <w:jc w:val="both"/>
      </w:pPr>
      <w:r w:rsidRPr="00B66FC2">
        <w:t>Дирекция „Национален фонд” е определена за централен съкровищен орган за средствата, отпуснати по Преходния финансов инструмент (ПФИ) и за разплащателен орган по Българо-швейцарската програма за сътрудничество за намаляване на икономическите и социалните неравенства в рамките на разширения Европейски съюз. Също така изпълнява функциите на централен съкровищен орган за средствата и сертификацията на разходите по Финансовия инструмент на Европейско икономическо пространство (ЕИП) пред Офиса на Финансовия механизъм, на Норвежкия финансов механизъм 2009-2014 г. и Финансовия механизъм на Европейското икономическо пространство 2009-2014 г.</w:t>
      </w:r>
    </w:p>
    <w:p w:rsidR="00B66FC2" w:rsidRPr="00B66FC2" w:rsidRDefault="00B66FC2" w:rsidP="00B66FC2">
      <w:pPr>
        <w:ind w:right="142" w:firstLine="567"/>
        <w:jc w:val="both"/>
      </w:pPr>
      <w:r w:rsidRPr="00B66FC2">
        <w:t xml:space="preserve">В съответствие с годишните закони за държавния бюджет средствата от помощта и съответното националното съфинансиране по Структурните и Кохезионния фондове на ЕС за програмните периоди 2007–2013 г. и 2014–2020 г., предприсъединителните инструменти, ПФИ, ЕИП, двустранните програми за трансгранично сътрудничество по външните граници на ЕС за периоди 2007–2013 г. и 2014–2020 г., Българо-швейцарската програма, Норвежкия финансов механизъм 2009–2014 г. и Финансов механизъм на ЕИП 2009–2014 г. се осигуряват чрез сметка за средства от ЕС на Национален фонд към министъра на финансите. </w:t>
      </w:r>
    </w:p>
    <w:p w:rsidR="00B66FC2" w:rsidRPr="00B66FC2" w:rsidRDefault="00B66FC2" w:rsidP="00B66FC2">
      <w:pPr>
        <w:ind w:right="142" w:firstLine="567"/>
        <w:jc w:val="both"/>
      </w:pPr>
      <w:r w:rsidRPr="00B66FC2">
        <w:t>Изпълнението на проектите по програмите, съфинансирани със средства от ЕС, се извършва от Изпълнителните агенции/Управляващите органи/Програмните оператори/Междинните органи. За целите на касовата отчетност всички активи, пасиви, съответно приходи и разходи на Изпълнителните агенции/Управляващите органи /Програмни оператори/Междинните органи се консолидират от сметката за средства от ЕС на Националния фонд към министъра на финансите, независимо че организационно и юридически са структури в състава на други министерства и ведомства.</w:t>
      </w:r>
    </w:p>
    <w:p w:rsidR="00B66FC2" w:rsidRPr="00B66FC2" w:rsidRDefault="00B66FC2" w:rsidP="00B66FC2">
      <w:pPr>
        <w:ind w:right="142" w:firstLine="567"/>
        <w:jc w:val="both"/>
      </w:pPr>
      <w:r w:rsidRPr="00B66FC2">
        <w:rPr>
          <w:bCs/>
        </w:rPr>
        <w:t xml:space="preserve">По сметките на Национален фонд (НФ) през 2015 г. са постъпили приходи (нето) по програмите, съфинансирани от Структурните и Кохезионния фондове на ЕС, програмите, финансирани от Европейския фонд за регионално развитие, Европейския социален фонд (включително ИМЗ), Кохезионния фонд и ФЕПН на ЕС за финансовата рамка 2014 – 2020 г., ФМ на ЕИП и НФМ, двустранните програми за трансгранично сътрудничество </w:t>
      </w:r>
      <w:r w:rsidRPr="00B66FC2">
        <w:rPr>
          <w:bCs/>
        </w:rPr>
        <w:lastRenderedPageBreak/>
        <w:t>по външните граници на EС за период 2007 – 2013 г. и за 2014 – 2020 г., Българо-швейцарската програма за сътрудничество и предприсъединителните програми в размер на 2 833,2 млн. лева. В тази сума са включени и отразените (нето) в отчетността на НФ операции по постъпването по банковите бюджетни сметки на Министерство на регионалното развитие и благоустройството (МРРБ) на чуждото финансиране по двустранните програми за трансгранично сътрудничество по външните граници на ЕС и изплатените средства от получения ресурс към бенефициенти извън страната.</w:t>
      </w:r>
    </w:p>
    <w:p w:rsidR="00B66FC2" w:rsidRPr="00B66FC2" w:rsidRDefault="00B66FC2" w:rsidP="00B66FC2">
      <w:pPr>
        <w:ind w:right="142" w:firstLine="567"/>
        <w:jc w:val="both"/>
      </w:pPr>
      <w:r w:rsidRPr="00B66FC2">
        <w:t>Важно е да се обърне внимание, че равномерността на постъпване на средствата от Европейския съюз и другите донори зависи единствено от скоростта и ритмичността на усвояване на средствата от Управляващите органи/Изпълнителните агенции/ Програмните оператори/Междинните органи. Следва да се има предвид и спецификата на възстановяване на разходите от Европейската комисия (ЕК), съгласно която част от разходите, извършени през предходната година се възстановяват през следващата година (т.е.  част от разходите, направени през 2015 г., са/ще бъдат възстановени през 2016 г.).</w:t>
      </w:r>
    </w:p>
    <w:p w:rsidR="00B66FC2" w:rsidRPr="00B66FC2" w:rsidRDefault="00B66FC2" w:rsidP="00B66FC2">
      <w:pPr>
        <w:ind w:right="142" w:firstLine="567"/>
        <w:jc w:val="both"/>
        <w:rPr>
          <w:bCs/>
        </w:rPr>
      </w:pPr>
      <w:r w:rsidRPr="00B66FC2">
        <w:rPr>
          <w:bCs/>
        </w:rPr>
        <w:t xml:space="preserve"> Натрупаните лихви в резултат на управлението на свободните средства в обслужващите търговски банки, които са част от приходите, към 31.12.2015 г. възлизат на 0,3 млн. лева.</w:t>
      </w:r>
    </w:p>
    <w:p w:rsidR="00B66FC2" w:rsidRPr="00B66FC2" w:rsidRDefault="00B66FC2" w:rsidP="00B66FC2">
      <w:pPr>
        <w:ind w:right="142" w:firstLine="567"/>
        <w:jc w:val="both"/>
        <w:rPr>
          <w:bCs/>
        </w:rPr>
      </w:pPr>
      <w:r w:rsidRPr="00B66FC2">
        <w:rPr>
          <w:bCs/>
        </w:rPr>
        <w:t>Извършените разходи (нето) за 2015 г. чрез сметките на Национален фонд възлизат на 636,7 млн. лева. По видове разходи изпълнението е както следва: 6</w:t>
      </w:r>
      <w:r w:rsidR="009E6E1D">
        <w:rPr>
          <w:bCs/>
          <w:lang w:val="en-US"/>
        </w:rPr>
        <w:t>2</w:t>
      </w:r>
      <w:r w:rsidRPr="00B66FC2">
        <w:rPr>
          <w:bCs/>
        </w:rPr>
        <w:t>,</w:t>
      </w:r>
      <w:r w:rsidR="009E6E1D">
        <w:rPr>
          <w:bCs/>
          <w:lang w:val="en-US"/>
        </w:rPr>
        <w:t>66</w:t>
      </w:r>
      <w:r w:rsidRPr="00B66FC2">
        <w:rPr>
          <w:bCs/>
        </w:rPr>
        <w:t xml:space="preserve"> % от общия размер са капиталови трансфери, 3</w:t>
      </w:r>
      <w:r w:rsidR="009E6E1D">
        <w:rPr>
          <w:bCs/>
          <w:lang w:val="en-US"/>
        </w:rPr>
        <w:t>7</w:t>
      </w:r>
      <w:r w:rsidRPr="00B66FC2">
        <w:rPr>
          <w:bCs/>
        </w:rPr>
        <w:t>,</w:t>
      </w:r>
      <w:r w:rsidR="009E6E1D">
        <w:rPr>
          <w:bCs/>
          <w:lang w:val="en-US"/>
        </w:rPr>
        <w:t>25</w:t>
      </w:r>
      <w:r w:rsidRPr="00B66FC2">
        <w:rPr>
          <w:bCs/>
        </w:rPr>
        <w:t xml:space="preserve"> % са субсидии, 0,06 % - издръжка и 0,03 % социални разходи.</w:t>
      </w:r>
    </w:p>
    <w:p w:rsidR="00B66FC2" w:rsidRPr="00B66FC2" w:rsidRDefault="00B66FC2" w:rsidP="00B66FC2">
      <w:pPr>
        <w:ind w:right="142" w:firstLine="567"/>
        <w:jc w:val="both"/>
        <w:rPr>
          <w:bCs/>
          <w:color w:val="4F81BD"/>
        </w:rPr>
      </w:pPr>
      <w:r w:rsidRPr="00B66FC2">
        <w:rPr>
          <w:bCs/>
        </w:rPr>
        <w:t>Трансферите (нето) за същия период са в размер на (-2 604,8) млн. лв. (включват предоставените трансфери към бенефициенти по Оперативните програми на ЕС - програмни периоди 2007 – 2013 г. и 2014 – 2020 г., по двустранните програми за трансгранично сътрудничество по външните граници на EС за периода 2007 – 2013 г., Финансовия механизъм на ЕИП 2009 – 2014 г., Норвежкия финансов механизъм 2009 – 2014 г. и Българо-швейцарската програма за сътрудничество, възстановени суми по приключили проекти, възстановени недопустими разходи и др. от бенефициенти-бюджетни организации, както и предоставеното авансово финансиране по реда на ДДС</w:t>
      </w:r>
      <w:r w:rsidR="00E01B4C">
        <w:rPr>
          <w:bCs/>
        </w:rPr>
        <w:t xml:space="preserve"> № </w:t>
      </w:r>
      <w:r w:rsidRPr="00B66FC2">
        <w:rPr>
          <w:bCs/>
        </w:rPr>
        <w:t>6/2011 г.). В консолидираната отчетност на НФ са отразени и трансфери (нето) към бенефициенти в размер на 0,8 млн. лв., които са за сметка на средства предоставени на МРРБ от държавите-партньори по програмите за трансгранично сътрудничество по външните граници на ЕС.</w:t>
      </w:r>
    </w:p>
    <w:p w:rsidR="00B66FC2" w:rsidRPr="00B66FC2" w:rsidRDefault="00B66FC2" w:rsidP="00B66FC2">
      <w:pPr>
        <w:ind w:right="142" w:firstLine="567"/>
        <w:jc w:val="both"/>
        <w:rPr>
          <w:bCs/>
        </w:rPr>
      </w:pPr>
      <w:r w:rsidRPr="00B66FC2">
        <w:rPr>
          <w:bCs/>
        </w:rPr>
        <w:t>Във връзка с изпълнение на Оперативните програми - програмен период 2007 – 2013 г. и програмен период 2014 – 2020 г., двустранните програми за трансгранично сътрудничество по външните граници на EС 2007 – 2013 г., НФМ и ФМ на ЕИП 2009 – 2014 г. по сметките на Национален фонд са получени трансфери от централния бюджет на стойност 1 013,4 млн. лева.</w:t>
      </w:r>
    </w:p>
    <w:p w:rsidR="00B66FC2" w:rsidRPr="00B66FC2" w:rsidRDefault="00B66FC2" w:rsidP="00B66FC2">
      <w:pPr>
        <w:ind w:right="142" w:firstLine="567"/>
        <w:jc w:val="both"/>
      </w:pPr>
      <w:r w:rsidRPr="00B66FC2">
        <w:rPr>
          <w:bCs/>
        </w:rPr>
        <w:t>Наличностите по сметката за средства от ЕС на Националния фонд към 31.12.2015 г. възлизат на 2 120,3 млн. лв., като в БНБ са в размер на 2 102,1 млн. лв., а в търговските банки (УниКредит Булбанк АД и Банка ДСК ЕАД) са в размер на 18,2 млн. лева.</w:t>
      </w:r>
    </w:p>
    <w:p w:rsidR="00B66FC2" w:rsidRPr="00B66FC2" w:rsidRDefault="00B66FC2" w:rsidP="00B66FC2">
      <w:pPr>
        <w:spacing w:before="120"/>
        <w:ind w:right="142" w:firstLine="567"/>
        <w:jc w:val="both"/>
        <w:rPr>
          <w:b/>
          <w:i/>
        </w:rPr>
      </w:pPr>
      <w:r w:rsidRPr="00B66FC2">
        <w:rPr>
          <w:b/>
          <w:i/>
        </w:rPr>
        <w:t>Структурни и Кохезионния фондове  на ЕС 2007 – 2013 г.</w:t>
      </w:r>
    </w:p>
    <w:p w:rsidR="00B66FC2" w:rsidRPr="00B66FC2" w:rsidRDefault="00B66FC2" w:rsidP="00B66FC2">
      <w:pPr>
        <w:ind w:right="142" w:firstLine="567"/>
        <w:jc w:val="both"/>
        <w:rPr>
          <w:color w:val="4F81BD"/>
        </w:rPr>
      </w:pPr>
      <w:r w:rsidRPr="00B66FC2">
        <w:t>В качеството си на Сертифициращ орган по Структурните и Кохезионния фондове на ЕС през отчетния период НФ е изготвил и изпратил до ЕК 52 бр. заявления за плащане на обща стойност 2 385,3 млн. лева. Общо получените средства по Оперативните програми през годината са в размер на 2 452,0 млн. лева (в сумата влизат и възстановени средства от ЕК по изпратени Сертификати в края на 2014 г.) и са разпределени както следва:</w:t>
      </w:r>
    </w:p>
    <w:p w:rsidR="00B66FC2" w:rsidRPr="00B66FC2" w:rsidRDefault="00B66FC2" w:rsidP="00781B85">
      <w:pPr>
        <w:numPr>
          <w:ilvl w:val="0"/>
          <w:numId w:val="67"/>
        </w:numPr>
        <w:spacing w:line="276" w:lineRule="auto"/>
        <w:ind w:left="0" w:right="142" w:firstLine="567"/>
        <w:jc w:val="both"/>
      </w:pPr>
      <w:r w:rsidRPr="00B66FC2">
        <w:t>ОП „Развитие конкурентоспособн</w:t>
      </w:r>
      <w:r>
        <w:t>остта на българската икономика”–</w:t>
      </w:r>
      <w:r w:rsidRPr="00B66FC2">
        <w:t>245,4 млн. лв.;</w:t>
      </w:r>
    </w:p>
    <w:p w:rsidR="00B66FC2" w:rsidRPr="00B66FC2" w:rsidRDefault="00B66FC2" w:rsidP="00781B85">
      <w:pPr>
        <w:numPr>
          <w:ilvl w:val="0"/>
          <w:numId w:val="67"/>
        </w:numPr>
        <w:spacing w:line="276" w:lineRule="auto"/>
        <w:ind w:left="0" w:right="142" w:firstLine="567"/>
        <w:jc w:val="both"/>
      </w:pPr>
      <w:r w:rsidRPr="00B66FC2">
        <w:t>ОП „Техническа помощ” – 21,9 млн. лв.;</w:t>
      </w:r>
    </w:p>
    <w:p w:rsidR="00B66FC2" w:rsidRPr="00B66FC2" w:rsidRDefault="00B66FC2" w:rsidP="00781B85">
      <w:pPr>
        <w:numPr>
          <w:ilvl w:val="0"/>
          <w:numId w:val="67"/>
        </w:numPr>
        <w:spacing w:line="276" w:lineRule="auto"/>
        <w:ind w:left="0" w:right="142" w:firstLine="567"/>
        <w:jc w:val="both"/>
      </w:pPr>
      <w:r w:rsidRPr="00B66FC2">
        <w:lastRenderedPageBreak/>
        <w:t>ОП „Регионално развитие” – 498,7 млн. лв.;</w:t>
      </w:r>
    </w:p>
    <w:p w:rsidR="00B66FC2" w:rsidRPr="00B66FC2" w:rsidRDefault="00B66FC2" w:rsidP="00781B85">
      <w:pPr>
        <w:numPr>
          <w:ilvl w:val="0"/>
          <w:numId w:val="67"/>
        </w:numPr>
        <w:spacing w:line="276" w:lineRule="auto"/>
        <w:ind w:left="0" w:right="142" w:firstLine="567"/>
        <w:jc w:val="both"/>
      </w:pPr>
      <w:r w:rsidRPr="00B66FC2">
        <w:t>ОП „Транспорт” – 213,9 млн. лв.;</w:t>
      </w:r>
    </w:p>
    <w:p w:rsidR="00B66FC2" w:rsidRPr="00B66FC2" w:rsidRDefault="00B66FC2" w:rsidP="00781B85">
      <w:pPr>
        <w:numPr>
          <w:ilvl w:val="0"/>
          <w:numId w:val="67"/>
        </w:numPr>
        <w:spacing w:line="276" w:lineRule="auto"/>
        <w:ind w:left="0" w:right="142" w:firstLine="567"/>
        <w:jc w:val="both"/>
      </w:pPr>
      <w:r w:rsidRPr="00B66FC2">
        <w:t>ОП „Околна среда” – 1 188,1 млн. лв.;</w:t>
      </w:r>
    </w:p>
    <w:p w:rsidR="00B66FC2" w:rsidRPr="00B66FC2" w:rsidRDefault="00B66FC2" w:rsidP="00781B85">
      <w:pPr>
        <w:numPr>
          <w:ilvl w:val="0"/>
          <w:numId w:val="67"/>
        </w:numPr>
        <w:spacing w:line="276" w:lineRule="auto"/>
        <w:ind w:left="0" w:right="142" w:firstLine="567"/>
        <w:jc w:val="both"/>
      </w:pPr>
      <w:r w:rsidRPr="00B66FC2">
        <w:t>ОП „Развитие на човешките ресурси” – 240,1 млн. лв. и</w:t>
      </w:r>
    </w:p>
    <w:p w:rsidR="00B66FC2" w:rsidRPr="00B66FC2" w:rsidRDefault="00B66FC2" w:rsidP="00781B85">
      <w:pPr>
        <w:numPr>
          <w:ilvl w:val="0"/>
          <w:numId w:val="67"/>
        </w:numPr>
        <w:spacing w:after="120" w:line="276" w:lineRule="auto"/>
        <w:ind w:left="0" w:right="142" w:firstLine="567"/>
        <w:jc w:val="both"/>
      </w:pPr>
      <w:r w:rsidRPr="00B66FC2">
        <w:t>ОП „Административен капацитет” – 43,8 млн. лв.</w:t>
      </w:r>
    </w:p>
    <w:p w:rsidR="00B66FC2" w:rsidRPr="00B66FC2" w:rsidRDefault="00B66FC2" w:rsidP="00B66FC2">
      <w:pPr>
        <w:spacing w:after="120"/>
        <w:ind w:right="142" w:firstLine="567"/>
        <w:jc w:val="both"/>
      </w:pPr>
      <w:r w:rsidRPr="00B66FC2">
        <w:t xml:space="preserve">Във връзка с получените Междинни доклади по сертификация (МДС) и Декларации за допустимост на разходите (ДДР) по Оперативните програми са извършени проверки на място в Управляващите органи от експертите на Национален фонд преди сертифициране на разходите към ЕК. </w:t>
      </w:r>
    </w:p>
    <w:p w:rsidR="00B66FC2" w:rsidRPr="00B66FC2" w:rsidRDefault="00B66FC2" w:rsidP="00B66FC2">
      <w:pPr>
        <w:ind w:right="142" w:firstLine="567"/>
        <w:jc w:val="both"/>
      </w:pPr>
      <w:r w:rsidRPr="00B66FC2">
        <w:tab/>
        <w:t xml:space="preserve">Направените разходи (нето) по Оперативни програми, трансферите (нето) към бюджетни организации </w:t>
      </w:r>
      <w:r w:rsidRPr="00B66FC2">
        <w:rPr>
          <w:sz w:val="22"/>
          <w:szCs w:val="20"/>
        </w:rPr>
        <w:t xml:space="preserve">и предоставената временната финансова помощ (нето) </w:t>
      </w:r>
      <w:r w:rsidRPr="00B66FC2">
        <w:t xml:space="preserve">за периода са в размер на 2 531,9 млн. лв., като разпределението по Оперативни програми е следното: </w:t>
      </w:r>
    </w:p>
    <w:p w:rsidR="00B66FC2" w:rsidRPr="00B66FC2" w:rsidRDefault="00B66FC2" w:rsidP="00781B85">
      <w:pPr>
        <w:numPr>
          <w:ilvl w:val="0"/>
          <w:numId w:val="68"/>
        </w:numPr>
        <w:spacing w:line="276" w:lineRule="auto"/>
        <w:ind w:left="0" w:right="142" w:firstLine="567"/>
        <w:jc w:val="both"/>
      </w:pPr>
      <w:r w:rsidRPr="00B66FC2">
        <w:t>ОП „Развитие конкурентоспособн</w:t>
      </w:r>
      <w:r>
        <w:t>остта на българската икономика”</w:t>
      </w:r>
      <w:r w:rsidRPr="00B66FC2">
        <w:t xml:space="preserve">– 393,0 млн.лв.;  </w:t>
      </w:r>
    </w:p>
    <w:p w:rsidR="00B66FC2" w:rsidRPr="00B66FC2" w:rsidRDefault="00B66FC2" w:rsidP="00781B85">
      <w:pPr>
        <w:numPr>
          <w:ilvl w:val="0"/>
          <w:numId w:val="68"/>
        </w:numPr>
        <w:spacing w:line="276" w:lineRule="auto"/>
        <w:ind w:left="0" w:right="142" w:firstLine="567"/>
        <w:jc w:val="both"/>
      </w:pPr>
      <w:r w:rsidRPr="00B66FC2">
        <w:t>ОП „Техническа помощ” – 16,4 млн. лв.;</w:t>
      </w:r>
    </w:p>
    <w:p w:rsidR="00B66FC2" w:rsidRPr="00B66FC2" w:rsidRDefault="00B66FC2" w:rsidP="00781B85">
      <w:pPr>
        <w:numPr>
          <w:ilvl w:val="0"/>
          <w:numId w:val="68"/>
        </w:numPr>
        <w:spacing w:line="276" w:lineRule="auto"/>
        <w:ind w:left="0" w:right="142" w:firstLine="567"/>
        <w:jc w:val="both"/>
      </w:pPr>
      <w:r w:rsidRPr="00B66FC2">
        <w:t>ОП „Регионално развитие” – 672,1 млн. лв.;</w:t>
      </w:r>
    </w:p>
    <w:p w:rsidR="00B66FC2" w:rsidRPr="00B66FC2" w:rsidRDefault="00B66FC2" w:rsidP="00781B85">
      <w:pPr>
        <w:numPr>
          <w:ilvl w:val="0"/>
          <w:numId w:val="68"/>
        </w:numPr>
        <w:spacing w:line="276" w:lineRule="auto"/>
        <w:ind w:left="0" w:right="142" w:firstLine="567"/>
        <w:jc w:val="both"/>
      </w:pPr>
      <w:r w:rsidRPr="00B66FC2">
        <w:t xml:space="preserve">ОП „Транспорт” – 480,3 млн. лв.; </w:t>
      </w:r>
    </w:p>
    <w:p w:rsidR="00B66FC2" w:rsidRPr="00B66FC2" w:rsidRDefault="00B66FC2" w:rsidP="00781B85">
      <w:pPr>
        <w:numPr>
          <w:ilvl w:val="0"/>
          <w:numId w:val="68"/>
        </w:numPr>
        <w:spacing w:line="276" w:lineRule="auto"/>
        <w:ind w:left="0" w:right="142" w:firstLine="567"/>
        <w:jc w:val="both"/>
      </w:pPr>
      <w:r w:rsidRPr="00B66FC2">
        <w:t>ОП „Околна среда” – 603,3 млн. лв.;</w:t>
      </w:r>
    </w:p>
    <w:p w:rsidR="00B66FC2" w:rsidRPr="00B66FC2" w:rsidRDefault="00B66FC2" w:rsidP="00781B85">
      <w:pPr>
        <w:numPr>
          <w:ilvl w:val="0"/>
          <w:numId w:val="68"/>
        </w:numPr>
        <w:spacing w:line="276" w:lineRule="auto"/>
        <w:ind w:left="0" w:right="142" w:firstLine="567"/>
        <w:jc w:val="both"/>
      </w:pPr>
      <w:r w:rsidRPr="00B66FC2">
        <w:t>ОП „Развитие на човешките ресурси” – 319,9 млн. лв. и</w:t>
      </w:r>
    </w:p>
    <w:p w:rsidR="00B66FC2" w:rsidRPr="00B66FC2" w:rsidRDefault="00B66FC2" w:rsidP="00781B85">
      <w:pPr>
        <w:numPr>
          <w:ilvl w:val="0"/>
          <w:numId w:val="68"/>
        </w:numPr>
        <w:spacing w:after="120" w:line="276" w:lineRule="auto"/>
        <w:ind w:left="0" w:right="142" w:firstLine="567"/>
        <w:jc w:val="both"/>
      </w:pPr>
      <w:r w:rsidRPr="00B66FC2">
        <w:t>ОП „Административен капацитет” – 46,9 млн. лв.</w:t>
      </w:r>
    </w:p>
    <w:p w:rsidR="00B66FC2" w:rsidRPr="00B66FC2" w:rsidRDefault="00B66FC2" w:rsidP="00B66FC2">
      <w:pPr>
        <w:spacing w:after="120"/>
        <w:ind w:right="142" w:firstLine="567"/>
        <w:jc w:val="both"/>
      </w:pPr>
      <w:r w:rsidRPr="00B66FC2">
        <w:t>Извършените разходи (нето) до 31.12.2015 г. включително, съгласно указанията на ДДС № 6 от 03.09.2011 г., са в размер на 507,7 млн. лева.</w:t>
      </w:r>
    </w:p>
    <w:p w:rsidR="00B66FC2" w:rsidRPr="00B66FC2" w:rsidRDefault="00B66FC2" w:rsidP="00B66FC2">
      <w:pPr>
        <w:ind w:right="142" w:firstLine="567"/>
        <w:jc w:val="both"/>
      </w:pPr>
      <w:r w:rsidRPr="00B66FC2">
        <w:t>Във връзка с одобрено РМС № 682/07.09.2015 г. за разплащане на допустими разходи по проекти по ОП „Околна среда 2007-2013 г.“ през 2015 г., в размер до 234 млн. лв. над бюджета на приоритетните оси, съфинансирани от ЕФРР са извършени плащания в размер на 194,7 млн. лева.</w:t>
      </w:r>
    </w:p>
    <w:p w:rsidR="00B66FC2" w:rsidRPr="00B66FC2" w:rsidRDefault="00B66FC2" w:rsidP="00B66FC2">
      <w:pPr>
        <w:ind w:right="142" w:firstLine="567"/>
        <w:jc w:val="both"/>
        <w:rPr>
          <w:b/>
        </w:rPr>
      </w:pPr>
      <w:r w:rsidRPr="00B66FC2">
        <w:rPr>
          <w:b/>
        </w:rPr>
        <w:t>Европейски фонд за регионално развитие, Европейски социален фонд (включително ИМЗ), Кохезионен фонд и ФЕПН на ЕС за финансова рамка 2014 – 2020 г.</w:t>
      </w:r>
    </w:p>
    <w:p w:rsidR="00B66FC2" w:rsidRPr="00B66FC2" w:rsidRDefault="00B66FC2" w:rsidP="00B66FC2">
      <w:pPr>
        <w:ind w:right="142" w:firstLine="567"/>
        <w:jc w:val="both"/>
      </w:pPr>
      <w:r w:rsidRPr="00B66FC2">
        <w:t>През отчетния период Европейската комисия преведе средства в размер на 292,8 млн. лева, представляващи първоначално предварителното финансиране за 2014 г. и за 2015 г. в размер на 2</w:t>
      </w:r>
      <w:r w:rsidR="00F10B1E">
        <w:t xml:space="preserve"> </w:t>
      </w:r>
      <w:r w:rsidRPr="00B66FC2">
        <w:t>% от бюджета на съответната програмата (с изключение на ИМЗ, за която са дадени 30</w:t>
      </w:r>
      <w:r w:rsidR="00F10B1E">
        <w:t xml:space="preserve"> </w:t>
      </w:r>
      <w:r w:rsidRPr="00B66FC2">
        <w:t>% от бюджета), както и възстановени средства по изпратения първи Сертификат за програмен период 2014 – 2020 г. и са разпределени както следва:</w:t>
      </w:r>
    </w:p>
    <w:p w:rsidR="00B66FC2" w:rsidRPr="00B66FC2" w:rsidRDefault="00B66FC2" w:rsidP="00781B85">
      <w:pPr>
        <w:numPr>
          <w:ilvl w:val="0"/>
          <w:numId w:val="69"/>
        </w:numPr>
        <w:spacing w:line="276" w:lineRule="auto"/>
        <w:ind w:left="0" w:right="142" w:firstLine="567"/>
        <w:jc w:val="both"/>
      </w:pPr>
      <w:r w:rsidRPr="00B66FC2">
        <w:t xml:space="preserve">ОП „Иновации и конкурентоспособност” – 43,4 млн. лв.;  </w:t>
      </w:r>
    </w:p>
    <w:p w:rsidR="00B66FC2" w:rsidRPr="00B66FC2" w:rsidRDefault="00B66FC2" w:rsidP="00781B85">
      <w:pPr>
        <w:numPr>
          <w:ilvl w:val="0"/>
          <w:numId w:val="69"/>
        </w:numPr>
        <w:spacing w:line="276" w:lineRule="auto"/>
        <w:ind w:left="0" w:right="142" w:firstLine="567"/>
        <w:jc w:val="both"/>
      </w:pPr>
      <w:r w:rsidRPr="00B66FC2">
        <w:t>ОП „Добро управление” – 10,6 млн. лв.;</w:t>
      </w:r>
    </w:p>
    <w:p w:rsidR="00B66FC2" w:rsidRPr="00B66FC2" w:rsidRDefault="00B66FC2" w:rsidP="00781B85">
      <w:pPr>
        <w:numPr>
          <w:ilvl w:val="0"/>
          <w:numId w:val="69"/>
        </w:numPr>
        <w:spacing w:line="276" w:lineRule="auto"/>
        <w:ind w:left="0" w:right="142" w:firstLine="567"/>
        <w:jc w:val="both"/>
      </w:pPr>
      <w:r w:rsidRPr="00B66FC2">
        <w:t xml:space="preserve">ОП „Транспорт и транспортна инфраструктура” – 59,0 млн. лв.; </w:t>
      </w:r>
    </w:p>
    <w:p w:rsidR="00B66FC2" w:rsidRPr="00B66FC2" w:rsidRDefault="00B66FC2" w:rsidP="00781B85">
      <w:pPr>
        <w:numPr>
          <w:ilvl w:val="0"/>
          <w:numId w:val="69"/>
        </w:numPr>
        <w:spacing w:line="276" w:lineRule="auto"/>
        <w:ind w:left="0" w:right="142" w:firstLine="567"/>
        <w:jc w:val="both"/>
      </w:pPr>
      <w:r w:rsidRPr="00B66FC2">
        <w:t>ОП „Развитие на човешките ресурси 2014 - 2020 г.” – 21,9 млн. лв.;</w:t>
      </w:r>
    </w:p>
    <w:p w:rsidR="00B66FC2" w:rsidRPr="00B66FC2" w:rsidRDefault="00B66FC2" w:rsidP="00781B85">
      <w:pPr>
        <w:numPr>
          <w:ilvl w:val="0"/>
          <w:numId w:val="69"/>
        </w:numPr>
        <w:spacing w:line="276" w:lineRule="auto"/>
        <w:ind w:left="0" w:right="142" w:firstLine="567"/>
        <w:jc w:val="both"/>
      </w:pPr>
      <w:r w:rsidRPr="00B66FC2">
        <w:t>Инициативата за младежка заетост – 32,4 млн. лв.;</w:t>
      </w:r>
    </w:p>
    <w:p w:rsidR="00B66FC2" w:rsidRPr="00B66FC2" w:rsidRDefault="00B66FC2" w:rsidP="00781B85">
      <w:pPr>
        <w:numPr>
          <w:ilvl w:val="0"/>
          <w:numId w:val="69"/>
        </w:numPr>
        <w:spacing w:line="276" w:lineRule="auto"/>
        <w:ind w:left="0" w:right="142" w:firstLine="567"/>
        <w:jc w:val="both"/>
      </w:pPr>
      <w:r w:rsidRPr="00B66FC2">
        <w:t>ОП „Наука и образование за интелигентен растеж” – 21,9 млн. лв.;</w:t>
      </w:r>
    </w:p>
    <w:p w:rsidR="00B66FC2" w:rsidRPr="00B66FC2" w:rsidRDefault="00B66FC2" w:rsidP="00781B85">
      <w:pPr>
        <w:numPr>
          <w:ilvl w:val="0"/>
          <w:numId w:val="69"/>
        </w:numPr>
        <w:spacing w:line="276" w:lineRule="auto"/>
        <w:ind w:left="0" w:right="142" w:firstLine="567"/>
        <w:jc w:val="both"/>
      </w:pPr>
      <w:r w:rsidRPr="00B66FC2">
        <w:t>ОП „Околна среда 2014 – 2020 г.“ – 55,3 млн. лв. и</w:t>
      </w:r>
    </w:p>
    <w:p w:rsidR="00B66FC2" w:rsidRPr="00B66FC2" w:rsidRDefault="00B66FC2" w:rsidP="00781B85">
      <w:pPr>
        <w:numPr>
          <w:ilvl w:val="0"/>
          <w:numId w:val="69"/>
        </w:numPr>
        <w:spacing w:line="276" w:lineRule="auto"/>
        <w:ind w:left="0" w:right="142" w:firstLine="567"/>
        <w:jc w:val="both"/>
      </w:pPr>
      <w:r w:rsidRPr="00B66FC2">
        <w:t>ОП „Региони в растеж“ – 48,2 млн. лв.</w:t>
      </w:r>
    </w:p>
    <w:p w:rsidR="00B66FC2" w:rsidRPr="00B66FC2" w:rsidRDefault="00B66FC2" w:rsidP="00B66FC2">
      <w:pPr>
        <w:ind w:right="142" w:firstLine="567"/>
        <w:jc w:val="both"/>
      </w:pPr>
      <w:r w:rsidRPr="00B66FC2">
        <w:tab/>
        <w:t>Направените разходи (нето) по Оперативни програми и трансферите (нето) към бюджетни организации за периода са в размер на 83,0 млн. лв., като разпределението по Оперативни програми е следното:</w:t>
      </w:r>
    </w:p>
    <w:p w:rsidR="00B66FC2" w:rsidRPr="00B66FC2" w:rsidRDefault="00B66FC2" w:rsidP="00781B85">
      <w:pPr>
        <w:numPr>
          <w:ilvl w:val="0"/>
          <w:numId w:val="70"/>
        </w:numPr>
        <w:spacing w:line="276" w:lineRule="auto"/>
        <w:ind w:left="0" w:right="142" w:firstLine="567"/>
        <w:jc w:val="both"/>
      </w:pPr>
      <w:r w:rsidRPr="00B66FC2">
        <w:t>ОП „Развитие на човешките ресурси” – 40,8 млн. лв.;</w:t>
      </w:r>
    </w:p>
    <w:p w:rsidR="00B66FC2" w:rsidRPr="00B66FC2" w:rsidRDefault="00B66FC2" w:rsidP="00781B85">
      <w:pPr>
        <w:numPr>
          <w:ilvl w:val="0"/>
          <w:numId w:val="70"/>
        </w:numPr>
        <w:spacing w:line="276" w:lineRule="auto"/>
        <w:ind w:left="0" w:right="142" w:firstLine="567"/>
        <w:jc w:val="both"/>
      </w:pPr>
      <w:r w:rsidRPr="00B66FC2">
        <w:lastRenderedPageBreak/>
        <w:t xml:space="preserve">Инициативата за младежка заетост – 3,3 млн. лв.; </w:t>
      </w:r>
    </w:p>
    <w:p w:rsidR="00B66FC2" w:rsidRPr="00B66FC2" w:rsidRDefault="00B66FC2" w:rsidP="00781B85">
      <w:pPr>
        <w:numPr>
          <w:ilvl w:val="0"/>
          <w:numId w:val="70"/>
        </w:numPr>
        <w:spacing w:line="276" w:lineRule="auto"/>
        <w:ind w:left="0" w:right="142" w:firstLine="567"/>
        <w:jc w:val="both"/>
      </w:pPr>
      <w:r w:rsidRPr="00B66FC2">
        <w:t>ОП за храни и/или основно материално подпомагане от Фонда за европейско подпомагане на най-нуждаещите се лица в България за периода 2014 – 2020 г. – 3,4 млн. лева;</w:t>
      </w:r>
    </w:p>
    <w:p w:rsidR="00B66FC2" w:rsidRPr="00B66FC2" w:rsidRDefault="00B66FC2" w:rsidP="00781B85">
      <w:pPr>
        <w:numPr>
          <w:ilvl w:val="0"/>
          <w:numId w:val="70"/>
        </w:numPr>
        <w:spacing w:line="276" w:lineRule="auto"/>
        <w:ind w:left="0" w:right="142" w:firstLine="567"/>
        <w:jc w:val="both"/>
      </w:pPr>
      <w:r w:rsidRPr="00B66FC2">
        <w:t>ОП „Иновации и конкурентоспособност” – 8,2 млн. лв.;</w:t>
      </w:r>
    </w:p>
    <w:p w:rsidR="00B66FC2" w:rsidRPr="00B66FC2" w:rsidRDefault="00B66FC2" w:rsidP="00781B85">
      <w:pPr>
        <w:numPr>
          <w:ilvl w:val="0"/>
          <w:numId w:val="70"/>
        </w:numPr>
        <w:spacing w:line="276" w:lineRule="auto"/>
        <w:ind w:left="0" w:right="142" w:firstLine="567"/>
        <w:jc w:val="both"/>
      </w:pPr>
      <w:r w:rsidRPr="00B66FC2">
        <w:t>ОП „Региони в растеж“ – 1,6 млн. лв. и</w:t>
      </w:r>
    </w:p>
    <w:p w:rsidR="00B66FC2" w:rsidRPr="00B66FC2" w:rsidRDefault="00B66FC2" w:rsidP="00781B85">
      <w:pPr>
        <w:numPr>
          <w:ilvl w:val="0"/>
          <w:numId w:val="70"/>
        </w:numPr>
        <w:spacing w:line="276" w:lineRule="auto"/>
        <w:ind w:left="0" w:right="142" w:firstLine="567"/>
        <w:jc w:val="both"/>
      </w:pPr>
      <w:r w:rsidRPr="00B66FC2">
        <w:t>ОП „Транспорт и транспортна инфраструктура” – 25,7 млн. лв.</w:t>
      </w:r>
    </w:p>
    <w:p w:rsidR="00B66FC2" w:rsidRPr="00B66FC2" w:rsidRDefault="00B66FC2" w:rsidP="00B66FC2">
      <w:pPr>
        <w:spacing w:before="120"/>
        <w:ind w:right="142" w:firstLine="567"/>
        <w:jc w:val="both"/>
        <w:rPr>
          <w:b/>
          <w:bCs/>
          <w:lang w:eastAsia="en-US"/>
        </w:rPr>
      </w:pPr>
      <w:r w:rsidRPr="00B66FC2">
        <w:rPr>
          <w:b/>
          <w:bCs/>
          <w:lang w:eastAsia="en-US"/>
        </w:rPr>
        <w:t>Програма ФАР и Преходен финансов инструмент</w:t>
      </w:r>
    </w:p>
    <w:p w:rsidR="00B66FC2" w:rsidRPr="00B66FC2" w:rsidRDefault="00B66FC2" w:rsidP="00B66FC2">
      <w:pPr>
        <w:ind w:right="142" w:firstLine="567"/>
        <w:jc w:val="both"/>
        <w:rPr>
          <w:snapToGrid w:val="0"/>
          <w:szCs w:val="20"/>
          <w:lang w:eastAsia="en-US"/>
        </w:rPr>
      </w:pPr>
      <w:r w:rsidRPr="00B66FC2">
        <w:rPr>
          <w:snapToGrid w:val="0"/>
          <w:szCs w:val="20"/>
          <w:lang w:eastAsia="en-US"/>
        </w:rPr>
        <w:t xml:space="preserve">През отчетния период са извършени разходи на обща стойност 0,01 </w:t>
      </w:r>
      <w:r w:rsidRPr="00B66FC2">
        <w:rPr>
          <w:bCs/>
        </w:rPr>
        <w:t xml:space="preserve">млн. лв., а са </w:t>
      </w:r>
      <w:r w:rsidRPr="00B66FC2">
        <w:rPr>
          <w:snapToGrid w:val="0"/>
          <w:szCs w:val="20"/>
          <w:lang w:eastAsia="en-US"/>
        </w:rPr>
        <w:t>постъпили възстановени суми от бенефициенти по сметките на Национален фонд в размер на 0,2</w:t>
      </w:r>
      <w:r w:rsidRPr="00B66FC2">
        <w:rPr>
          <w:bCs/>
        </w:rPr>
        <w:t xml:space="preserve"> млн. лв.</w:t>
      </w:r>
    </w:p>
    <w:p w:rsidR="00B66FC2" w:rsidRPr="00B66FC2" w:rsidRDefault="00B66FC2" w:rsidP="00B66FC2">
      <w:pPr>
        <w:spacing w:before="120"/>
        <w:ind w:right="142" w:firstLine="567"/>
        <w:jc w:val="both"/>
        <w:rPr>
          <w:b/>
          <w:lang w:eastAsia="en-US"/>
        </w:rPr>
      </w:pPr>
      <w:r w:rsidRPr="00B66FC2">
        <w:rPr>
          <w:b/>
          <w:lang w:eastAsia="en-US"/>
        </w:rPr>
        <w:t>Програма ИСПА/Кохезионен фонд (Регламент 1164/94)</w:t>
      </w:r>
    </w:p>
    <w:p w:rsidR="00B66FC2" w:rsidRDefault="00B66FC2" w:rsidP="00B66FC2">
      <w:pPr>
        <w:ind w:right="142" w:firstLine="567"/>
        <w:jc w:val="both"/>
        <w:rPr>
          <w:bCs/>
          <w:snapToGrid w:val="0"/>
          <w:szCs w:val="20"/>
          <w:lang w:eastAsia="en-US"/>
        </w:rPr>
      </w:pPr>
      <w:r w:rsidRPr="00B66FC2">
        <w:rPr>
          <w:snapToGrid w:val="0"/>
          <w:szCs w:val="20"/>
          <w:lang w:eastAsia="en-US"/>
        </w:rPr>
        <w:t>През отчетната година по тази програма са възстановени средства от ЕК (нето) в размер на 19,0 млн. лева и са постъпили възстановени финансови корекции по сметките на Национален фонд в размер на 30,7</w:t>
      </w:r>
      <w:r w:rsidRPr="00B66FC2">
        <w:rPr>
          <w:bCs/>
          <w:snapToGrid w:val="0"/>
          <w:szCs w:val="20"/>
          <w:lang w:eastAsia="en-US"/>
        </w:rPr>
        <w:t xml:space="preserve"> млн. лв.</w:t>
      </w:r>
    </w:p>
    <w:p w:rsidR="004304CB" w:rsidRDefault="004304CB" w:rsidP="00B66FC2">
      <w:pPr>
        <w:ind w:right="142" w:firstLine="567"/>
        <w:jc w:val="both"/>
        <w:rPr>
          <w:bCs/>
          <w:snapToGrid w:val="0"/>
          <w:szCs w:val="20"/>
          <w:lang w:eastAsia="en-US"/>
        </w:rPr>
      </w:pPr>
    </w:p>
    <w:p w:rsidR="004304CB" w:rsidRPr="00B66FC2" w:rsidRDefault="004304CB" w:rsidP="00B66FC2">
      <w:pPr>
        <w:ind w:right="142" w:firstLine="567"/>
        <w:jc w:val="both"/>
        <w:rPr>
          <w:szCs w:val="20"/>
          <w:lang w:eastAsia="en-US"/>
        </w:rPr>
      </w:pPr>
    </w:p>
    <w:p w:rsidR="00B66FC2" w:rsidRPr="00B66FC2" w:rsidRDefault="00B66FC2" w:rsidP="00B66FC2">
      <w:pPr>
        <w:spacing w:before="120"/>
        <w:ind w:right="142" w:firstLine="567"/>
        <w:jc w:val="both"/>
        <w:rPr>
          <w:b/>
          <w:lang w:eastAsia="en-US"/>
        </w:rPr>
      </w:pPr>
      <w:r w:rsidRPr="00B66FC2">
        <w:rPr>
          <w:b/>
          <w:lang w:eastAsia="en-US"/>
        </w:rPr>
        <w:t xml:space="preserve">Програма САПАРД </w:t>
      </w:r>
    </w:p>
    <w:p w:rsidR="00B66FC2" w:rsidRPr="00B66FC2" w:rsidRDefault="00B66FC2" w:rsidP="00B66FC2">
      <w:pPr>
        <w:ind w:right="142" w:firstLine="567"/>
        <w:jc w:val="both"/>
        <w:rPr>
          <w:szCs w:val="20"/>
          <w:lang w:eastAsia="en-US"/>
        </w:rPr>
      </w:pPr>
      <w:r w:rsidRPr="00B66FC2">
        <w:rPr>
          <w:szCs w:val="20"/>
          <w:lang w:eastAsia="en-US"/>
        </w:rPr>
        <w:t>На 31.12.2009 г. изтече валидността на Годишното финансово  споразумение (ГФС) 2006, с което се прекрати и изплащането на субсидии към крайни бенефициенти по програма САПАРД.</w:t>
      </w:r>
    </w:p>
    <w:p w:rsidR="00B66FC2" w:rsidRPr="00B66FC2" w:rsidRDefault="00B66FC2" w:rsidP="00B66FC2">
      <w:pPr>
        <w:ind w:right="142" w:firstLine="567"/>
        <w:jc w:val="both"/>
        <w:rPr>
          <w:szCs w:val="20"/>
          <w:lang w:eastAsia="en-US"/>
        </w:rPr>
      </w:pPr>
      <w:r w:rsidRPr="00B66FC2">
        <w:rPr>
          <w:lang w:eastAsia="en-US"/>
        </w:rPr>
        <w:t>През отчетния период са извършени възстановявания от Агенция САПАРД и НАП по дългове в размер на 0,3 млн. лв.</w:t>
      </w:r>
    </w:p>
    <w:p w:rsidR="00B66FC2" w:rsidRPr="00B66FC2" w:rsidRDefault="00B66FC2" w:rsidP="00B66FC2">
      <w:pPr>
        <w:spacing w:before="120"/>
        <w:ind w:right="142" w:firstLine="567"/>
        <w:jc w:val="both"/>
        <w:rPr>
          <w:b/>
          <w:szCs w:val="20"/>
          <w:lang w:eastAsia="en-US"/>
        </w:rPr>
      </w:pPr>
      <w:r w:rsidRPr="00B66FC2">
        <w:rPr>
          <w:szCs w:val="20"/>
          <w:lang w:eastAsia="en-US"/>
        </w:rPr>
        <w:tab/>
      </w:r>
      <w:r w:rsidRPr="00B66FC2">
        <w:rPr>
          <w:b/>
          <w:szCs w:val="20"/>
          <w:lang w:eastAsia="en-US"/>
        </w:rPr>
        <w:t>Финансов механизъм на Европейското икономическо пространство 2004 -2009 г.</w:t>
      </w:r>
    </w:p>
    <w:p w:rsidR="00B66FC2" w:rsidRPr="00B66FC2" w:rsidRDefault="00B66FC2" w:rsidP="00B66FC2">
      <w:pPr>
        <w:ind w:right="142" w:firstLine="567"/>
        <w:jc w:val="both"/>
        <w:rPr>
          <w:szCs w:val="20"/>
          <w:lang w:eastAsia="en-US"/>
        </w:rPr>
      </w:pPr>
      <w:r w:rsidRPr="00B66FC2">
        <w:rPr>
          <w:snapToGrid w:val="0"/>
          <w:szCs w:val="20"/>
          <w:lang w:eastAsia="en-US"/>
        </w:rPr>
        <w:t>През 2015 г. по тази програма няма възстановени средства от ОФМ и няма извършени разходи.</w:t>
      </w:r>
    </w:p>
    <w:p w:rsidR="00B66FC2" w:rsidRPr="00B66FC2" w:rsidRDefault="00B66FC2" w:rsidP="00B66FC2">
      <w:pPr>
        <w:spacing w:before="120"/>
        <w:ind w:right="142" w:firstLine="567"/>
        <w:jc w:val="both"/>
        <w:rPr>
          <w:b/>
          <w:szCs w:val="20"/>
          <w:lang w:eastAsia="en-US"/>
        </w:rPr>
      </w:pPr>
      <w:r w:rsidRPr="00B66FC2">
        <w:rPr>
          <w:b/>
          <w:szCs w:val="20"/>
          <w:lang w:eastAsia="en-US"/>
        </w:rPr>
        <w:t>Двустранни програми за трансгранично сътрудничество по външните граници на ЕС за периода 2007 – 2013 г.</w:t>
      </w:r>
    </w:p>
    <w:p w:rsidR="00B66FC2" w:rsidRPr="00B66FC2" w:rsidRDefault="00B66FC2" w:rsidP="00B66FC2">
      <w:pPr>
        <w:ind w:right="142" w:firstLine="567"/>
        <w:jc w:val="both"/>
        <w:rPr>
          <w:szCs w:val="20"/>
          <w:lang w:eastAsia="en-US"/>
        </w:rPr>
      </w:pPr>
      <w:r w:rsidRPr="00B66FC2">
        <w:rPr>
          <w:szCs w:val="20"/>
          <w:lang w:eastAsia="en-US"/>
        </w:rPr>
        <w:t>В качеството си на Сертифициращ орган по двустранните програми за трансгранично сътрудничество по външните граници на ЕС през 2015 г. Национален фонд е изготвил и изпратил до ЕК 9 бр. заявления за плащане на обща стойност 34,1 млн. лева.</w:t>
      </w:r>
    </w:p>
    <w:p w:rsidR="00B66FC2" w:rsidRPr="00B66FC2" w:rsidRDefault="00B66FC2" w:rsidP="00B66FC2">
      <w:pPr>
        <w:ind w:right="142" w:firstLine="567"/>
        <w:jc w:val="both"/>
        <w:rPr>
          <w:szCs w:val="20"/>
          <w:lang w:eastAsia="en-US"/>
        </w:rPr>
      </w:pPr>
      <w:r w:rsidRPr="00B66FC2">
        <w:rPr>
          <w:snapToGrid w:val="0"/>
          <w:szCs w:val="20"/>
          <w:lang w:eastAsia="en-US"/>
        </w:rPr>
        <w:t>Получените по програмите средства с натрупване за периода са в размер на 35,5 млн. лв. (в тази сума влизат и възстановени средства от ЕК по изпратени Сертификати в края на 2014 г.), като в отчетността на НФ са отразени и постъпилите средства за сметка на чуждото финансиране на страните-партньори</w:t>
      </w:r>
      <w:r w:rsidRPr="00B66FC2">
        <w:rPr>
          <w:szCs w:val="20"/>
          <w:lang w:eastAsia="en-US"/>
        </w:rPr>
        <w:t xml:space="preserve">. </w:t>
      </w:r>
    </w:p>
    <w:p w:rsidR="00B66FC2" w:rsidRPr="00B66FC2" w:rsidRDefault="00B66FC2" w:rsidP="00B66FC2">
      <w:pPr>
        <w:ind w:right="142" w:firstLine="567"/>
        <w:jc w:val="both"/>
        <w:rPr>
          <w:szCs w:val="20"/>
          <w:lang w:eastAsia="en-US"/>
        </w:rPr>
      </w:pPr>
      <w:r w:rsidRPr="00B66FC2">
        <w:rPr>
          <w:snapToGrid w:val="0"/>
          <w:szCs w:val="20"/>
          <w:lang w:eastAsia="en-US"/>
        </w:rPr>
        <w:t xml:space="preserve">Сумата на разходите и изходящите трансфери (нето) към бюджетни организации в страната, които са направени през същия период по двустранните програми са на обща стойност 32,9 млн. лв., включително за плащания към бенефициенти в страната </w:t>
      </w:r>
      <w:r w:rsidRPr="00B66FC2">
        <w:rPr>
          <w:szCs w:val="20"/>
          <w:lang w:eastAsia="en-US"/>
        </w:rPr>
        <w:t>за сметка на финансиране от страната партньор по тези програми.</w:t>
      </w:r>
    </w:p>
    <w:p w:rsidR="00B66FC2" w:rsidRPr="00B66FC2" w:rsidRDefault="00B66FC2" w:rsidP="00B66FC2">
      <w:pPr>
        <w:spacing w:before="120"/>
        <w:ind w:right="142" w:firstLine="567"/>
        <w:jc w:val="both"/>
        <w:rPr>
          <w:b/>
          <w:szCs w:val="20"/>
          <w:lang w:eastAsia="en-US"/>
        </w:rPr>
      </w:pPr>
      <w:r w:rsidRPr="00B66FC2">
        <w:rPr>
          <w:b/>
          <w:szCs w:val="20"/>
          <w:lang w:eastAsia="en-US"/>
        </w:rPr>
        <w:t>Двустранни програми за трансгранично сътрудничество по външните граници на ЕС за периода 2014 – 2020 г.</w:t>
      </w:r>
    </w:p>
    <w:p w:rsidR="00B66FC2" w:rsidRPr="00B66FC2" w:rsidRDefault="00B66FC2" w:rsidP="00B66FC2">
      <w:pPr>
        <w:ind w:right="142" w:firstLine="567"/>
        <w:jc w:val="both"/>
        <w:rPr>
          <w:snapToGrid w:val="0"/>
          <w:szCs w:val="20"/>
          <w:lang w:eastAsia="en-US"/>
        </w:rPr>
      </w:pPr>
      <w:r w:rsidRPr="00B66FC2">
        <w:rPr>
          <w:bCs/>
          <w:snapToGrid w:val="0"/>
          <w:szCs w:val="20"/>
          <w:lang w:eastAsia="en-US"/>
        </w:rPr>
        <w:t>През отчетния период Европейската комисия преведе авансови средства в размер на 10,0 млн. лева.</w:t>
      </w:r>
    </w:p>
    <w:p w:rsidR="00B66FC2" w:rsidRPr="00B66FC2" w:rsidRDefault="00B66FC2" w:rsidP="00B66FC2">
      <w:pPr>
        <w:spacing w:before="120"/>
        <w:ind w:right="142" w:firstLine="567"/>
        <w:jc w:val="both"/>
        <w:rPr>
          <w:b/>
          <w:szCs w:val="20"/>
          <w:lang w:eastAsia="en-US"/>
        </w:rPr>
      </w:pPr>
      <w:r w:rsidRPr="00B66FC2">
        <w:rPr>
          <w:b/>
          <w:szCs w:val="20"/>
          <w:lang w:eastAsia="en-US"/>
        </w:rPr>
        <w:lastRenderedPageBreak/>
        <w:t>Финансов механизъм на Европейското икономическо пространство 2009 -</w:t>
      </w:r>
      <w:r w:rsidR="005F1227">
        <w:rPr>
          <w:b/>
          <w:szCs w:val="20"/>
          <w:lang w:eastAsia="en-US"/>
        </w:rPr>
        <w:t xml:space="preserve"> </w:t>
      </w:r>
      <w:r w:rsidR="005F1227" w:rsidRPr="0027234E">
        <w:rPr>
          <w:b/>
          <w:szCs w:val="20"/>
          <w:lang w:eastAsia="en-US"/>
        </w:rPr>
        <w:t>2014</w:t>
      </w:r>
      <w:r w:rsidR="005F1227">
        <w:rPr>
          <w:b/>
          <w:szCs w:val="20"/>
          <w:lang w:eastAsia="en-US"/>
        </w:rPr>
        <w:t> </w:t>
      </w:r>
      <w:r w:rsidR="005F1227" w:rsidRPr="0027234E">
        <w:rPr>
          <w:b/>
          <w:szCs w:val="20"/>
          <w:lang w:eastAsia="en-US"/>
        </w:rPr>
        <w:t>г.</w:t>
      </w:r>
      <w:r w:rsidRPr="00B66FC2">
        <w:rPr>
          <w:b/>
          <w:szCs w:val="20"/>
          <w:lang w:eastAsia="en-US"/>
        </w:rPr>
        <w:t xml:space="preserve"> и Норвежки финансов механизъм 2009 – 2014 г. </w:t>
      </w:r>
    </w:p>
    <w:p w:rsidR="00B66FC2" w:rsidRPr="00B66FC2" w:rsidRDefault="00B66FC2" w:rsidP="00B66FC2">
      <w:pPr>
        <w:ind w:right="142" w:firstLine="567"/>
        <w:jc w:val="both"/>
        <w:rPr>
          <w:snapToGrid w:val="0"/>
          <w:szCs w:val="20"/>
          <w:lang w:eastAsia="en-US"/>
        </w:rPr>
      </w:pPr>
      <w:r w:rsidRPr="00B66FC2">
        <w:rPr>
          <w:snapToGrid w:val="0"/>
          <w:szCs w:val="20"/>
          <w:lang w:eastAsia="en-US"/>
        </w:rPr>
        <w:t>Получените общо по двете програми средства към 31.12.2015 г. са в размер на 49,5 млн. лева.</w:t>
      </w:r>
    </w:p>
    <w:p w:rsidR="00B66FC2" w:rsidRPr="00B66FC2" w:rsidRDefault="00B66FC2" w:rsidP="00B66FC2">
      <w:pPr>
        <w:ind w:right="142" w:firstLine="567"/>
        <w:jc w:val="both"/>
        <w:rPr>
          <w:snapToGrid w:val="0"/>
          <w:szCs w:val="20"/>
          <w:lang w:eastAsia="en-US"/>
        </w:rPr>
      </w:pPr>
      <w:r w:rsidRPr="00B66FC2">
        <w:rPr>
          <w:snapToGrid w:val="0"/>
          <w:szCs w:val="20"/>
          <w:lang w:eastAsia="en-US"/>
        </w:rPr>
        <w:t>Сумата на разходите и трансферите (нето), които са направени по тези две програми са на обща стойност 46,0 млн. лв.</w:t>
      </w:r>
    </w:p>
    <w:p w:rsidR="00B66FC2" w:rsidRPr="00B66FC2" w:rsidRDefault="00B66FC2" w:rsidP="00B66FC2">
      <w:pPr>
        <w:ind w:right="142" w:firstLine="567"/>
        <w:jc w:val="both"/>
        <w:rPr>
          <w:rFonts w:eastAsia="Calibri"/>
          <w:lang w:eastAsia="en-US"/>
        </w:rPr>
      </w:pPr>
      <w:r w:rsidRPr="00B66FC2">
        <w:rPr>
          <w:rFonts w:eastAsia="Calibri"/>
          <w:lang w:eastAsia="en-US"/>
        </w:rPr>
        <w:t>За периода 01.01.2015 г. – 31.12.2015 г. НФ е процедирал към Офиса на Финансовия механизъм на ЕИП и НФМ 48 междинни финансови доклада с обща стойност на заявените средства 49,6 млн. лева.</w:t>
      </w:r>
    </w:p>
    <w:p w:rsidR="00B66FC2" w:rsidRPr="00B66FC2" w:rsidRDefault="00B66FC2" w:rsidP="00B66FC2">
      <w:pPr>
        <w:spacing w:before="120"/>
        <w:ind w:right="142" w:firstLine="567"/>
        <w:jc w:val="both"/>
        <w:rPr>
          <w:b/>
          <w:szCs w:val="20"/>
          <w:lang w:eastAsia="en-US"/>
        </w:rPr>
      </w:pPr>
      <w:r w:rsidRPr="00B66FC2">
        <w:rPr>
          <w:b/>
          <w:szCs w:val="20"/>
          <w:lang w:eastAsia="en-US"/>
        </w:rPr>
        <w:t>Българо-швейцарска програма за сътрудничество за намаляване на икономическите и социални неравенства в рамките на разширения ЕС</w:t>
      </w:r>
    </w:p>
    <w:p w:rsidR="00B66FC2" w:rsidRPr="00B66FC2" w:rsidRDefault="00B66FC2" w:rsidP="00B66FC2">
      <w:pPr>
        <w:ind w:right="142" w:firstLine="567"/>
        <w:jc w:val="both"/>
        <w:rPr>
          <w:b/>
          <w:szCs w:val="20"/>
          <w:lang w:eastAsia="en-US"/>
        </w:rPr>
      </w:pPr>
      <w:r w:rsidRPr="00B66FC2">
        <w:rPr>
          <w:snapToGrid w:val="0"/>
          <w:szCs w:val="20"/>
          <w:lang w:eastAsia="en-US"/>
        </w:rPr>
        <w:t xml:space="preserve">Получените средства по програмата за отчетния период са в размер на </w:t>
      </w:r>
      <w:r w:rsidRPr="00B66FC2">
        <w:rPr>
          <w:szCs w:val="20"/>
          <w:lang w:eastAsia="en-US"/>
        </w:rPr>
        <w:t>0,8</w:t>
      </w:r>
      <w:r w:rsidRPr="00B66FC2">
        <w:rPr>
          <w:snapToGrid w:val="0"/>
          <w:szCs w:val="20"/>
          <w:lang w:eastAsia="en-US"/>
        </w:rPr>
        <w:t xml:space="preserve"> млн. лева.</w:t>
      </w:r>
    </w:p>
    <w:p w:rsidR="00B66FC2" w:rsidRPr="00B66FC2" w:rsidRDefault="00B66FC2" w:rsidP="00B66FC2">
      <w:pPr>
        <w:ind w:right="142" w:firstLine="567"/>
        <w:jc w:val="both"/>
        <w:rPr>
          <w:rFonts w:eastAsia="Calibri"/>
          <w:lang w:eastAsia="en-US"/>
        </w:rPr>
      </w:pPr>
      <w:r w:rsidRPr="00B66FC2">
        <w:rPr>
          <w:rFonts w:eastAsia="Calibri"/>
          <w:lang w:eastAsia="en-US"/>
        </w:rPr>
        <w:t>Извършените изходящи трансфери към бенефициенти-бюджетни организации от началото на периода са в размер на 0,08 млн. л</w:t>
      </w:r>
      <w:r w:rsidR="00C57AB4">
        <w:rPr>
          <w:rFonts w:eastAsia="Calibri"/>
          <w:lang w:eastAsia="en-US"/>
        </w:rPr>
        <w:t>е</w:t>
      </w:r>
      <w:r w:rsidRPr="00B66FC2">
        <w:rPr>
          <w:rFonts w:eastAsia="Calibri"/>
          <w:lang w:eastAsia="en-US"/>
        </w:rPr>
        <w:t>в</w:t>
      </w:r>
      <w:r w:rsidR="00C57AB4">
        <w:rPr>
          <w:rFonts w:eastAsia="Calibri"/>
          <w:lang w:eastAsia="en-US"/>
        </w:rPr>
        <w:t>а.</w:t>
      </w:r>
    </w:p>
    <w:p w:rsidR="00621B56" w:rsidRPr="006F3651" w:rsidRDefault="004E5A71" w:rsidP="00781B85">
      <w:pPr>
        <w:pStyle w:val="Heading3"/>
        <w:numPr>
          <w:ilvl w:val="1"/>
          <w:numId w:val="21"/>
        </w:numPr>
        <w:rPr>
          <w:rFonts w:ascii="Times New Roman" w:hAnsi="Times New Roman"/>
          <w:sz w:val="24"/>
          <w:lang w:val="bg-BG"/>
        </w:rPr>
      </w:pPr>
      <w:bookmarkStart w:id="396" w:name="_Toc462146154"/>
      <w:r w:rsidRPr="006F3651">
        <w:rPr>
          <w:rFonts w:ascii="Times New Roman" w:hAnsi="Times New Roman"/>
          <w:sz w:val="24"/>
          <w:lang w:val="bg-BG"/>
        </w:rPr>
        <w:t xml:space="preserve">Сметки </w:t>
      </w:r>
      <w:r w:rsidR="00621B56" w:rsidRPr="006F3651">
        <w:rPr>
          <w:rFonts w:ascii="Times New Roman" w:hAnsi="Times New Roman"/>
          <w:sz w:val="24"/>
          <w:lang w:val="bg-BG"/>
        </w:rPr>
        <w:t>за средствата от Европейския съюз, администрирани от Разплащателната агенция към Държавен фонд “Земеделие”</w:t>
      </w:r>
      <w:bookmarkEnd w:id="390"/>
      <w:bookmarkEnd w:id="391"/>
      <w:bookmarkEnd w:id="392"/>
      <w:bookmarkEnd w:id="393"/>
      <w:bookmarkEnd w:id="394"/>
      <w:bookmarkEnd w:id="395"/>
      <w:bookmarkEnd w:id="396"/>
    </w:p>
    <w:p w:rsidR="006F3651" w:rsidRDefault="006F3651" w:rsidP="006F3651">
      <w:pPr>
        <w:ind w:firstLine="720"/>
        <w:jc w:val="both"/>
        <w:rPr>
          <w:b/>
          <w:u w:val="single"/>
        </w:rPr>
      </w:pPr>
      <w:r>
        <w:rPr>
          <w:b/>
          <w:u w:val="single"/>
        </w:rPr>
        <w:t>Приходи</w:t>
      </w:r>
    </w:p>
    <w:p w:rsidR="006F3651" w:rsidRPr="006F3651" w:rsidRDefault="006F3651" w:rsidP="006F3651">
      <w:pPr>
        <w:ind w:firstLine="709"/>
        <w:jc w:val="both"/>
        <w:rPr>
          <w:color w:val="4F81BD"/>
        </w:rPr>
      </w:pPr>
      <w:r>
        <w:t>Планираните приходи по утвърдените годишни разчети на сметката за средства от Европейския съюз на ДФ „Земеделие” за 2015 г. са в размер на 573,5 млн. лв. Към 31.12.2015 г. по отчетни данни, постъпленията са в размер на 558,4 млн. лв. – 97,4 % от годишния план.</w:t>
      </w:r>
    </w:p>
    <w:p w:rsidR="006F3651" w:rsidRPr="006F3651" w:rsidRDefault="006F3651" w:rsidP="006F3651">
      <w:pPr>
        <w:pStyle w:val="ListParagraph"/>
        <w:numPr>
          <w:ilvl w:val="0"/>
          <w:numId w:val="76"/>
        </w:numPr>
        <w:jc w:val="both"/>
        <w:rPr>
          <w:i/>
          <w:color w:val="4F81BD"/>
          <w:lang w:eastAsia="en-US"/>
        </w:rPr>
      </w:pPr>
      <w:r>
        <w:rPr>
          <w:bCs/>
          <w:i/>
          <w:lang w:eastAsia="en-US"/>
        </w:rPr>
        <w:t>помощи и дарения от чужбина</w:t>
      </w:r>
      <w:r>
        <w:rPr>
          <w:i/>
          <w:lang w:eastAsia="en-US"/>
        </w:rPr>
        <w:t xml:space="preserve"> </w:t>
      </w:r>
    </w:p>
    <w:p w:rsidR="006F3651" w:rsidRDefault="006F3651" w:rsidP="006F3651">
      <w:pPr>
        <w:ind w:firstLine="709"/>
        <w:jc w:val="both"/>
      </w:pPr>
      <w:r>
        <w:t>Планираните за възстановяване средства от Европейски земеделски фонд за развитие на селските райони (ЕЗФРСР) за 2015 г. са в размер на 544,5 млн. лв. Към 31.12.2015</w:t>
      </w:r>
      <w:r>
        <w:rPr>
          <w:lang w:val="en-US"/>
        </w:rPr>
        <w:t xml:space="preserve"> </w:t>
      </w:r>
      <w:r>
        <w:t>г. са постъпили 526,6 млн. лв., които представляват 96,7 % изпълнение на годишния план.</w:t>
      </w:r>
    </w:p>
    <w:p w:rsidR="006F3651" w:rsidRDefault="006F3651" w:rsidP="006F3651">
      <w:pPr>
        <w:ind w:firstLine="709"/>
        <w:jc w:val="both"/>
      </w:pPr>
      <w:r>
        <w:t>Планираните за възстановяване средства от Европейския фонд за гарантиране на земеделието (EФГЗ) за 2015</w:t>
      </w:r>
      <w:r>
        <w:rPr>
          <w:lang w:val="en-US"/>
        </w:rPr>
        <w:t xml:space="preserve"> </w:t>
      </w:r>
      <w:r>
        <w:t>г. са 6</w:t>
      </w:r>
      <w:r w:rsidR="009377D9">
        <w:t>,0</w:t>
      </w:r>
      <w:r>
        <w:t xml:space="preserve"> млн. лв. </w:t>
      </w:r>
      <w:r w:rsidR="00B36B18">
        <w:t>и са постъпили в пълен размер.</w:t>
      </w:r>
    </w:p>
    <w:p w:rsidR="006F3651" w:rsidRDefault="006F3651" w:rsidP="006F3651">
      <w:pPr>
        <w:ind w:firstLine="709"/>
        <w:jc w:val="both"/>
      </w:pPr>
      <w:r>
        <w:t>Планираните за възстановяване средства от Европейския фонд по рибарство (EФР) за 2015 г. са 22,9 млн. лв., от които към 31.12.2015</w:t>
      </w:r>
      <w:r>
        <w:rPr>
          <w:lang w:val="en-US"/>
        </w:rPr>
        <w:t xml:space="preserve"> </w:t>
      </w:r>
      <w:r>
        <w:t>г. са постъпили 112</w:t>
      </w:r>
      <w:r w:rsidR="00B36B18">
        <w:t>,0</w:t>
      </w:r>
      <w:r>
        <w:t xml:space="preserve"> % в размер на 25,7 млн. лв.</w:t>
      </w:r>
    </w:p>
    <w:p w:rsidR="006F3651" w:rsidRDefault="006F3651" w:rsidP="006F3651">
      <w:pPr>
        <w:pStyle w:val="ListParagraph"/>
        <w:numPr>
          <w:ilvl w:val="0"/>
          <w:numId w:val="76"/>
        </w:numPr>
        <w:jc w:val="both"/>
        <w:rPr>
          <w:i/>
          <w:lang w:eastAsia="en-US"/>
        </w:rPr>
      </w:pPr>
      <w:r>
        <w:rPr>
          <w:i/>
          <w:lang w:eastAsia="en-US"/>
        </w:rPr>
        <w:t>приходи от глоби, санкции и  наказателни лихви</w:t>
      </w:r>
    </w:p>
    <w:p w:rsidR="006F3651" w:rsidRDefault="006F3651" w:rsidP="006F3651">
      <w:pPr>
        <w:ind w:firstLine="709"/>
        <w:jc w:val="both"/>
        <w:rPr>
          <w:lang w:eastAsia="en-US"/>
        </w:rPr>
      </w:pPr>
      <w:r>
        <w:rPr>
          <w:lang w:eastAsia="en-US"/>
        </w:rPr>
        <w:t>През 2015</w:t>
      </w:r>
      <w:r>
        <w:rPr>
          <w:lang w:val="en-US" w:eastAsia="en-US"/>
        </w:rPr>
        <w:t xml:space="preserve"> </w:t>
      </w:r>
      <w:r>
        <w:rPr>
          <w:lang w:eastAsia="en-US"/>
        </w:rPr>
        <w:t>г. са отчетени приходи от глоби, санкции и наказателни лихви в размер 0,1 млн. лв.</w:t>
      </w:r>
    </w:p>
    <w:p w:rsidR="006F3651" w:rsidRDefault="006F3651" w:rsidP="006F3651">
      <w:pPr>
        <w:tabs>
          <w:tab w:val="num" w:pos="540"/>
          <w:tab w:val="num" w:pos="720"/>
        </w:tabs>
        <w:spacing w:before="120" w:after="120"/>
        <w:ind w:firstLine="709"/>
        <w:jc w:val="both"/>
        <w:rPr>
          <w:b/>
          <w:u w:val="single"/>
        </w:rPr>
      </w:pPr>
      <w:r>
        <w:rPr>
          <w:b/>
          <w:u w:val="single"/>
        </w:rPr>
        <w:t xml:space="preserve">Разходи </w:t>
      </w:r>
    </w:p>
    <w:p w:rsidR="006F3651" w:rsidRDefault="006F3651" w:rsidP="006F3651">
      <w:pPr>
        <w:spacing w:after="120"/>
        <w:ind w:firstLine="709"/>
        <w:jc w:val="both"/>
      </w:pPr>
      <w:r>
        <w:t>Общият размер на планираните за 2015</w:t>
      </w:r>
      <w:r>
        <w:rPr>
          <w:lang w:val="en-US"/>
        </w:rPr>
        <w:t xml:space="preserve"> </w:t>
      </w:r>
      <w:r>
        <w:t xml:space="preserve">г. разходи по утвърдените годишни разчети на сметката за средства от Европейския съюз на ДФ „Земеделие” </w:t>
      </w:r>
      <w:r>
        <w:rPr>
          <w:lang w:val="en-US"/>
        </w:rPr>
        <w:t>(</w:t>
      </w:r>
      <w:r>
        <w:t>без тези за придобиване на ДМА</w:t>
      </w:r>
      <w:r>
        <w:rPr>
          <w:lang w:val="en-US"/>
        </w:rPr>
        <w:t>)</w:t>
      </w:r>
      <w:r>
        <w:t xml:space="preserve"> възлизат на 785,2 млн. лв. Към 31.12.2015</w:t>
      </w:r>
      <w:r>
        <w:rPr>
          <w:lang w:val="en-US"/>
        </w:rPr>
        <w:t xml:space="preserve"> </w:t>
      </w:r>
      <w:r>
        <w:t>г. отчетените разходи са в размер на 738,</w:t>
      </w:r>
      <w:r>
        <w:rPr>
          <w:lang w:val="en-GB"/>
        </w:rPr>
        <w:t>4</w:t>
      </w:r>
      <w:r>
        <w:t xml:space="preserve"> млн. лв. – 94</w:t>
      </w:r>
      <w:r w:rsidR="00B36B18">
        <w:t>,0</w:t>
      </w:r>
      <w:r>
        <w:t xml:space="preserve"> % от годишния план.</w:t>
      </w:r>
    </w:p>
    <w:p w:rsidR="006F3651" w:rsidRDefault="006F3651" w:rsidP="006F3651">
      <w:pPr>
        <w:pStyle w:val="ListParagraph"/>
        <w:numPr>
          <w:ilvl w:val="0"/>
          <w:numId w:val="76"/>
        </w:numPr>
        <w:jc w:val="both"/>
        <w:rPr>
          <w:i/>
          <w:lang w:eastAsia="en-US"/>
        </w:rPr>
      </w:pPr>
      <w:r>
        <w:rPr>
          <w:i/>
          <w:lang w:eastAsia="en-US"/>
        </w:rPr>
        <w:t>субсидии за нефинансови предприятия</w:t>
      </w:r>
    </w:p>
    <w:p w:rsidR="006F3651" w:rsidRDefault="006F3651" w:rsidP="006F3651">
      <w:pPr>
        <w:ind w:firstLine="709"/>
        <w:jc w:val="both"/>
      </w:pPr>
      <w:r>
        <w:t>За 2015</w:t>
      </w:r>
      <w:r>
        <w:rPr>
          <w:lang w:val="en-US"/>
        </w:rPr>
        <w:t xml:space="preserve"> </w:t>
      </w:r>
      <w:r>
        <w:t>г. като субсидии за нефинансови предприятия са планирани 97,2 млн. лв. Отпуснатите средства към 31.12.2015</w:t>
      </w:r>
      <w:r>
        <w:rPr>
          <w:lang w:val="en-US"/>
        </w:rPr>
        <w:t xml:space="preserve"> </w:t>
      </w:r>
      <w:r>
        <w:t>г. са в размер на 79,</w:t>
      </w:r>
      <w:r>
        <w:rPr>
          <w:lang w:val="en-GB"/>
        </w:rPr>
        <w:t>5</w:t>
      </w:r>
      <w:r>
        <w:t xml:space="preserve"> млн. лв., в т.ч.:</w:t>
      </w:r>
    </w:p>
    <w:p w:rsidR="006F3651" w:rsidRDefault="006F3651" w:rsidP="006F3651">
      <w:pPr>
        <w:numPr>
          <w:ilvl w:val="0"/>
          <w:numId w:val="77"/>
        </w:numPr>
        <w:contextualSpacing/>
        <w:jc w:val="both"/>
        <w:rPr>
          <w:bCs/>
          <w:lang w:eastAsia="en-US"/>
        </w:rPr>
      </w:pPr>
      <w:r>
        <w:rPr>
          <w:bCs/>
          <w:lang w:eastAsia="en-US"/>
        </w:rPr>
        <w:t>средства по Програмата за развитие на селските райони – 22,</w:t>
      </w:r>
      <w:r>
        <w:rPr>
          <w:bCs/>
          <w:lang w:val="en-GB" w:eastAsia="en-US"/>
        </w:rPr>
        <w:t>2</w:t>
      </w:r>
      <w:r>
        <w:rPr>
          <w:bCs/>
          <w:lang w:eastAsia="en-US"/>
        </w:rPr>
        <w:t xml:space="preserve"> млн. лв., изпълнение </w:t>
      </w:r>
      <w:r>
        <w:rPr>
          <w:bCs/>
          <w:lang w:val="en-GB" w:eastAsia="en-US"/>
        </w:rPr>
        <w:t xml:space="preserve">65,9 </w:t>
      </w:r>
      <w:r>
        <w:rPr>
          <w:bCs/>
          <w:lang w:eastAsia="en-US"/>
        </w:rPr>
        <w:t>% спрямо планираните 33,7 млн. лв.</w:t>
      </w:r>
    </w:p>
    <w:p w:rsidR="006F3651" w:rsidRDefault="006F3651" w:rsidP="006F3651">
      <w:pPr>
        <w:numPr>
          <w:ilvl w:val="0"/>
          <w:numId w:val="77"/>
        </w:numPr>
        <w:contextualSpacing/>
        <w:jc w:val="both"/>
        <w:rPr>
          <w:bCs/>
          <w:lang w:eastAsia="en-US"/>
        </w:rPr>
      </w:pPr>
      <w:r>
        <w:rPr>
          <w:bCs/>
          <w:lang w:eastAsia="en-US"/>
        </w:rPr>
        <w:t>средства за финансиране на пазарни мерки  – 11,7 млн. лв., представляващи 80,8 % от планираните 14,51 млн. лв.;</w:t>
      </w:r>
    </w:p>
    <w:p w:rsidR="006F3651" w:rsidRDefault="006F3651" w:rsidP="006F3651">
      <w:pPr>
        <w:numPr>
          <w:ilvl w:val="0"/>
          <w:numId w:val="77"/>
        </w:numPr>
        <w:contextualSpacing/>
        <w:jc w:val="both"/>
        <w:rPr>
          <w:bCs/>
          <w:lang w:eastAsia="en-US"/>
        </w:rPr>
      </w:pPr>
      <w:r>
        <w:rPr>
          <w:bCs/>
          <w:lang w:eastAsia="en-US"/>
        </w:rPr>
        <w:lastRenderedPageBreak/>
        <w:t xml:space="preserve">средства за финансиране на проекти </w:t>
      </w:r>
      <w:r>
        <w:rPr>
          <w:bCs/>
          <w:noProof/>
          <w:lang w:eastAsia="en-US"/>
        </w:rPr>
        <w:t xml:space="preserve">по Оперативна програма за развитие на сектор „Рибарство” </w:t>
      </w:r>
      <w:r>
        <w:rPr>
          <w:bCs/>
          <w:lang w:eastAsia="en-US"/>
        </w:rPr>
        <w:t>– минус 2,7 млн. лв., резултат от възстановен разход от Национален гаранционен фонд по ОПРСР в размер на 3</w:t>
      </w:r>
      <w:r w:rsidR="00B36B18">
        <w:rPr>
          <w:bCs/>
          <w:lang w:eastAsia="en-US"/>
        </w:rPr>
        <w:t>,0</w:t>
      </w:r>
      <w:r>
        <w:rPr>
          <w:bCs/>
          <w:lang w:eastAsia="en-US"/>
        </w:rPr>
        <w:t xml:space="preserve"> млн. лв. и извършени плащания в размер на 0,3 млн. лв.</w:t>
      </w:r>
    </w:p>
    <w:p w:rsidR="006F3651" w:rsidRDefault="006F3651" w:rsidP="006F3651">
      <w:pPr>
        <w:numPr>
          <w:ilvl w:val="0"/>
          <w:numId w:val="77"/>
        </w:numPr>
        <w:spacing w:after="120"/>
        <w:ind w:hanging="357"/>
        <w:contextualSpacing/>
        <w:jc w:val="both"/>
        <w:rPr>
          <w:bCs/>
          <w:lang w:eastAsia="en-US"/>
        </w:rPr>
      </w:pPr>
      <w:r>
        <w:rPr>
          <w:bCs/>
          <w:lang w:eastAsia="en-US"/>
        </w:rPr>
        <w:t>национално съфинансиране за директни плащания, прехвърлени към ЕЗФРСР – 48,</w:t>
      </w:r>
      <w:r>
        <w:rPr>
          <w:bCs/>
          <w:lang w:val="en-GB" w:eastAsia="en-US"/>
        </w:rPr>
        <w:t>3</w:t>
      </w:r>
      <w:r>
        <w:rPr>
          <w:bCs/>
          <w:lang w:eastAsia="en-US"/>
        </w:rPr>
        <w:t xml:space="preserve"> млн. лв. При планирани средства в размер на 49</w:t>
      </w:r>
      <w:r w:rsidR="00B36B18">
        <w:rPr>
          <w:bCs/>
          <w:lang w:eastAsia="en-US"/>
        </w:rPr>
        <w:t>,0</w:t>
      </w:r>
      <w:r>
        <w:rPr>
          <w:bCs/>
          <w:lang w:eastAsia="en-US"/>
        </w:rPr>
        <w:t xml:space="preserve"> млн. лв., изпълнението е 98,</w:t>
      </w:r>
      <w:r>
        <w:rPr>
          <w:bCs/>
          <w:lang w:val="en-GB" w:eastAsia="en-US"/>
        </w:rPr>
        <w:t>6</w:t>
      </w:r>
      <w:r w:rsidR="004304CB">
        <w:rPr>
          <w:bCs/>
          <w:lang w:eastAsia="en-US"/>
        </w:rPr>
        <w:t> </w:t>
      </w:r>
      <w:r>
        <w:rPr>
          <w:bCs/>
          <w:lang w:eastAsia="en-US"/>
        </w:rPr>
        <w:t>%;</w:t>
      </w:r>
    </w:p>
    <w:p w:rsidR="006F3651" w:rsidRPr="006F3651" w:rsidRDefault="006F3651" w:rsidP="006F3651">
      <w:pPr>
        <w:pStyle w:val="ListParagraph"/>
        <w:numPr>
          <w:ilvl w:val="0"/>
          <w:numId w:val="76"/>
        </w:numPr>
        <w:ind w:hanging="357"/>
        <w:jc w:val="both"/>
        <w:rPr>
          <w:i/>
          <w:color w:val="4F81BD"/>
          <w:lang w:eastAsia="en-US"/>
        </w:rPr>
      </w:pPr>
      <w:r>
        <w:rPr>
          <w:i/>
          <w:lang w:eastAsia="en-US"/>
        </w:rPr>
        <w:t>субсидии за организации с нестопанска цел</w:t>
      </w:r>
    </w:p>
    <w:p w:rsidR="006F3651" w:rsidRPr="006F3651" w:rsidRDefault="006F3651" w:rsidP="006F3651">
      <w:pPr>
        <w:ind w:firstLine="709"/>
        <w:jc w:val="both"/>
        <w:rPr>
          <w:color w:val="4F81BD"/>
        </w:rPr>
      </w:pPr>
      <w:r>
        <w:t>За 2015 г. като субсидии за организации с нестопанска цел са планирани 15,7 млн. лв. Отпуснатите средства към 31.12.2015 г. са в размер на 17,8 млн. лв., в т.ч.:</w:t>
      </w:r>
    </w:p>
    <w:p w:rsidR="006F3651" w:rsidRDefault="006F3651" w:rsidP="006F3651">
      <w:pPr>
        <w:numPr>
          <w:ilvl w:val="0"/>
          <w:numId w:val="77"/>
        </w:numPr>
        <w:tabs>
          <w:tab w:val="left" w:pos="709"/>
        </w:tabs>
        <w:contextualSpacing/>
        <w:jc w:val="both"/>
        <w:rPr>
          <w:bCs/>
          <w:lang w:eastAsia="en-US"/>
        </w:rPr>
      </w:pPr>
      <w:r>
        <w:rPr>
          <w:bCs/>
          <w:lang w:eastAsia="en-US"/>
        </w:rPr>
        <w:tab/>
        <w:t>по Програмата за развитие на селските райони – 10,5 млн. лв., 85,6 % изпълнение спрямо планираните 12,2 млн. лв.;</w:t>
      </w:r>
    </w:p>
    <w:p w:rsidR="006F3651" w:rsidRDefault="006F3651" w:rsidP="006F3651">
      <w:pPr>
        <w:numPr>
          <w:ilvl w:val="0"/>
          <w:numId w:val="77"/>
        </w:numPr>
        <w:contextualSpacing/>
        <w:jc w:val="both"/>
        <w:rPr>
          <w:bCs/>
          <w:lang w:eastAsia="en-US"/>
        </w:rPr>
      </w:pPr>
      <w:r>
        <w:rPr>
          <w:bCs/>
          <w:lang w:eastAsia="en-US"/>
        </w:rPr>
        <w:t xml:space="preserve">за пазарни мерки  – 3,8 млн. лв., представляващи 107,4 % </w:t>
      </w:r>
      <w:r w:rsidR="00DD1599">
        <w:rPr>
          <w:bCs/>
          <w:lang w:eastAsia="en-US"/>
        </w:rPr>
        <w:t>спрямо</w:t>
      </w:r>
      <w:r>
        <w:rPr>
          <w:bCs/>
          <w:lang w:eastAsia="en-US"/>
        </w:rPr>
        <w:t xml:space="preserve"> планираните 3,5 млн. лв.;</w:t>
      </w:r>
    </w:p>
    <w:p w:rsidR="006F3651" w:rsidRDefault="006F3651" w:rsidP="006F3651">
      <w:pPr>
        <w:numPr>
          <w:ilvl w:val="0"/>
          <w:numId w:val="77"/>
        </w:numPr>
        <w:contextualSpacing/>
        <w:jc w:val="both"/>
        <w:rPr>
          <w:bCs/>
          <w:lang w:eastAsia="en-US"/>
        </w:rPr>
      </w:pPr>
      <w:r>
        <w:rPr>
          <w:bCs/>
          <w:noProof/>
          <w:lang w:eastAsia="en-US"/>
        </w:rPr>
        <w:t xml:space="preserve">по Оперативна програма за развитие на сектор „Рибарство” </w:t>
      </w:r>
      <w:r>
        <w:rPr>
          <w:bCs/>
          <w:lang w:eastAsia="en-US"/>
        </w:rPr>
        <w:t>–</w:t>
      </w:r>
      <w:r>
        <w:rPr>
          <w:bCs/>
          <w:noProof/>
          <w:lang w:eastAsia="en-US"/>
        </w:rPr>
        <w:t xml:space="preserve"> </w:t>
      </w:r>
      <w:r>
        <w:rPr>
          <w:bCs/>
          <w:lang w:eastAsia="en-US"/>
        </w:rPr>
        <w:t xml:space="preserve">3,53 млн. лв. </w:t>
      </w:r>
    </w:p>
    <w:p w:rsidR="006F3651" w:rsidRDefault="006F3651" w:rsidP="006F3651">
      <w:pPr>
        <w:numPr>
          <w:ilvl w:val="0"/>
          <w:numId w:val="77"/>
        </w:numPr>
        <w:spacing w:after="120"/>
        <w:ind w:hanging="357"/>
        <w:contextualSpacing/>
        <w:jc w:val="both"/>
        <w:rPr>
          <w:bCs/>
          <w:lang w:eastAsia="en-US"/>
        </w:rPr>
      </w:pPr>
      <w:r>
        <w:rPr>
          <w:bCs/>
          <w:lang w:eastAsia="en-US"/>
        </w:rPr>
        <w:t>национално съфинансиране за директни плащания, прехвърлени към ЕЗФРСР – 0,01 млн. лв.</w:t>
      </w:r>
    </w:p>
    <w:p w:rsidR="006F3651" w:rsidRDefault="006F3651" w:rsidP="006F3651">
      <w:pPr>
        <w:pStyle w:val="ListParagraph"/>
        <w:numPr>
          <w:ilvl w:val="0"/>
          <w:numId w:val="76"/>
        </w:numPr>
        <w:ind w:hanging="357"/>
        <w:jc w:val="both"/>
        <w:rPr>
          <w:i/>
          <w:lang w:eastAsia="en-US"/>
        </w:rPr>
      </w:pPr>
      <w:r>
        <w:rPr>
          <w:i/>
          <w:lang w:eastAsia="en-US"/>
        </w:rPr>
        <w:t>капиталови трансфери за нефинансови предприятия</w:t>
      </w:r>
    </w:p>
    <w:p w:rsidR="006F3651" w:rsidRDefault="006F3651" w:rsidP="006F3651">
      <w:pPr>
        <w:ind w:firstLine="709"/>
        <w:jc w:val="both"/>
      </w:pPr>
      <w:r>
        <w:t>За 2015 г. са планирани капиталови трансфери за нефинансови предприятия в размер на 582,8 млн. лв., от които 540,7 млн.</w:t>
      </w:r>
      <w:r w:rsidR="00DD1599">
        <w:t xml:space="preserve"> </w:t>
      </w:r>
      <w:r>
        <w:t>лв. по Програмата за развитие на селските райони, 18,3 млн. лв. за пазарни мерки и 23,8 млн. лв. по Оперативна програма за развитие на сектор „Рибарство”.</w:t>
      </w:r>
    </w:p>
    <w:p w:rsidR="006F3651" w:rsidRDefault="006F3651" w:rsidP="006F3651">
      <w:pPr>
        <w:ind w:firstLine="709"/>
        <w:jc w:val="both"/>
      </w:pPr>
      <w:r>
        <w:t>Изплатените средства към 31.12.2015 г. възлизат на 558,4</w:t>
      </w:r>
      <w:r>
        <w:rPr>
          <w:lang w:val="en-GB"/>
        </w:rPr>
        <w:t xml:space="preserve"> </w:t>
      </w:r>
      <w:r>
        <w:t>млн. лв., както следва:</w:t>
      </w:r>
    </w:p>
    <w:p w:rsidR="006F3651" w:rsidRDefault="006F3651" w:rsidP="006F3651">
      <w:pPr>
        <w:numPr>
          <w:ilvl w:val="0"/>
          <w:numId w:val="77"/>
        </w:numPr>
        <w:contextualSpacing/>
        <w:jc w:val="both"/>
        <w:rPr>
          <w:bCs/>
          <w:lang w:eastAsia="en-US"/>
        </w:rPr>
      </w:pPr>
      <w:r>
        <w:rPr>
          <w:bCs/>
          <w:lang w:eastAsia="en-US"/>
        </w:rPr>
        <w:t>по Програмата за развитие на селските райони – 520</w:t>
      </w:r>
      <w:r>
        <w:rPr>
          <w:bCs/>
          <w:lang w:val="en-GB" w:eastAsia="en-US"/>
        </w:rPr>
        <w:t>,2</w:t>
      </w:r>
      <w:r>
        <w:rPr>
          <w:bCs/>
          <w:lang w:eastAsia="en-US"/>
        </w:rPr>
        <w:t xml:space="preserve"> млн. лв., 96,2 % изпълнение; </w:t>
      </w:r>
    </w:p>
    <w:p w:rsidR="006F3651" w:rsidRDefault="006F3651" w:rsidP="006F3651">
      <w:pPr>
        <w:numPr>
          <w:ilvl w:val="0"/>
          <w:numId w:val="77"/>
        </w:numPr>
        <w:contextualSpacing/>
        <w:jc w:val="both"/>
        <w:rPr>
          <w:bCs/>
          <w:lang w:eastAsia="en-US"/>
        </w:rPr>
      </w:pPr>
      <w:r>
        <w:rPr>
          <w:bCs/>
          <w:lang w:eastAsia="en-US"/>
        </w:rPr>
        <w:t>по Оперативна програма за развитие на сектор „Рибарство” – 20,5 млн. лв., 86,2 % изпълнение;</w:t>
      </w:r>
    </w:p>
    <w:p w:rsidR="006F3651" w:rsidRDefault="006F3651" w:rsidP="006F3651">
      <w:pPr>
        <w:numPr>
          <w:ilvl w:val="0"/>
          <w:numId w:val="77"/>
        </w:numPr>
        <w:spacing w:after="120"/>
        <w:ind w:hanging="357"/>
        <w:contextualSpacing/>
        <w:jc w:val="both"/>
        <w:rPr>
          <w:bCs/>
          <w:lang w:eastAsia="en-US"/>
        </w:rPr>
      </w:pPr>
      <w:r>
        <w:rPr>
          <w:bCs/>
          <w:lang w:eastAsia="en-US"/>
        </w:rPr>
        <w:t>за пазарни мерки  – 17,8 млн. лв.,</w:t>
      </w:r>
      <w:r>
        <w:rPr>
          <w:bCs/>
          <w:lang w:val="en-US" w:eastAsia="en-US"/>
        </w:rPr>
        <w:t xml:space="preserve"> </w:t>
      </w:r>
      <w:r>
        <w:rPr>
          <w:bCs/>
          <w:lang w:eastAsia="en-US"/>
        </w:rPr>
        <w:t>97,3 % изпълнение.</w:t>
      </w:r>
    </w:p>
    <w:p w:rsidR="006F3651" w:rsidRDefault="006F3651" w:rsidP="006F3651">
      <w:pPr>
        <w:pStyle w:val="ListParagraph"/>
        <w:numPr>
          <w:ilvl w:val="0"/>
          <w:numId w:val="76"/>
        </w:numPr>
        <w:ind w:hanging="357"/>
        <w:jc w:val="both"/>
        <w:rPr>
          <w:i/>
          <w:lang w:eastAsia="en-US"/>
        </w:rPr>
      </w:pPr>
      <w:r>
        <w:rPr>
          <w:i/>
          <w:lang w:eastAsia="en-US"/>
        </w:rPr>
        <w:t>капиталови трансфери за организации с нестопанска цел</w:t>
      </w:r>
    </w:p>
    <w:p w:rsidR="006F3651" w:rsidRDefault="006F3651" w:rsidP="006F3651">
      <w:pPr>
        <w:ind w:firstLine="709"/>
        <w:jc w:val="both"/>
        <w:rPr>
          <w:lang w:val="en-US"/>
        </w:rPr>
      </w:pPr>
      <w:r>
        <w:t>За 2015</w:t>
      </w:r>
      <w:r>
        <w:rPr>
          <w:lang w:val="en-US"/>
        </w:rPr>
        <w:t xml:space="preserve"> </w:t>
      </w:r>
      <w:r>
        <w:t>г. са планирани капиталови трансфери за организации с нестопанска цел в размер на  89,5 млн. лв. Към 31.12.2015 г. изпълнението е 82,6 млн. лв., в т.ч.</w:t>
      </w:r>
      <w:r>
        <w:rPr>
          <w:lang w:val="en-US"/>
        </w:rPr>
        <w:t>:</w:t>
      </w:r>
    </w:p>
    <w:p w:rsidR="006F3651" w:rsidRDefault="006F3651" w:rsidP="006F3651">
      <w:pPr>
        <w:numPr>
          <w:ilvl w:val="0"/>
          <w:numId w:val="77"/>
        </w:numPr>
        <w:contextualSpacing/>
        <w:jc w:val="both"/>
        <w:rPr>
          <w:bCs/>
          <w:lang w:eastAsia="en-US"/>
        </w:rPr>
      </w:pPr>
      <w:r>
        <w:rPr>
          <w:bCs/>
          <w:lang w:eastAsia="en-US"/>
        </w:rPr>
        <w:t xml:space="preserve">по Програмата за развитие на селските райони – </w:t>
      </w:r>
      <w:r>
        <w:rPr>
          <w:bCs/>
          <w:lang w:val="en-US" w:eastAsia="en-US"/>
        </w:rPr>
        <w:t>8</w:t>
      </w:r>
      <w:r>
        <w:rPr>
          <w:bCs/>
          <w:lang w:val="en-GB" w:eastAsia="en-US"/>
        </w:rPr>
        <w:t>1,9</w:t>
      </w:r>
      <w:r>
        <w:rPr>
          <w:bCs/>
          <w:lang w:eastAsia="en-US"/>
        </w:rPr>
        <w:t xml:space="preserve"> млн. лв.,</w:t>
      </w:r>
      <w:r>
        <w:rPr>
          <w:bCs/>
          <w:lang w:val="en-GB" w:eastAsia="en-US"/>
        </w:rPr>
        <w:t xml:space="preserve"> </w:t>
      </w:r>
      <w:r>
        <w:rPr>
          <w:bCs/>
          <w:lang w:eastAsia="en-US"/>
        </w:rPr>
        <w:t>представляващи 91,</w:t>
      </w:r>
      <w:r>
        <w:rPr>
          <w:bCs/>
          <w:lang w:val="en-GB" w:eastAsia="en-US"/>
        </w:rPr>
        <w:t xml:space="preserve">5 </w:t>
      </w:r>
      <w:r>
        <w:rPr>
          <w:bCs/>
          <w:lang w:eastAsia="en-US"/>
        </w:rPr>
        <w:t xml:space="preserve">% изпълнение спрямо планираните 89,5 млн. лв.; </w:t>
      </w:r>
    </w:p>
    <w:p w:rsidR="006F3651" w:rsidRDefault="006F3651" w:rsidP="006F3651">
      <w:pPr>
        <w:numPr>
          <w:ilvl w:val="0"/>
          <w:numId w:val="77"/>
        </w:numPr>
        <w:contextualSpacing/>
        <w:jc w:val="both"/>
        <w:rPr>
          <w:bCs/>
          <w:lang w:eastAsia="en-US"/>
        </w:rPr>
      </w:pPr>
      <w:r>
        <w:rPr>
          <w:bCs/>
          <w:lang w:eastAsia="en-US"/>
        </w:rPr>
        <w:t>по Оперативна програма за развитие на сектор „Рибарство” – 0,7 млн. лв.</w:t>
      </w:r>
    </w:p>
    <w:p w:rsidR="006F3651" w:rsidRDefault="006F3651" w:rsidP="006F3651">
      <w:pPr>
        <w:ind w:left="360"/>
        <w:contextualSpacing/>
        <w:jc w:val="both"/>
        <w:rPr>
          <w:bCs/>
          <w:lang w:eastAsia="en-US"/>
        </w:rPr>
      </w:pPr>
    </w:p>
    <w:p w:rsidR="006F3651" w:rsidRDefault="006F3651" w:rsidP="006F3651">
      <w:pPr>
        <w:tabs>
          <w:tab w:val="num" w:pos="540"/>
        </w:tabs>
        <w:spacing w:before="120" w:after="120"/>
        <w:ind w:firstLine="709"/>
        <w:contextualSpacing/>
        <w:jc w:val="both"/>
        <w:rPr>
          <w:b/>
          <w:u w:val="single"/>
        </w:rPr>
      </w:pPr>
      <w:r>
        <w:rPr>
          <w:b/>
          <w:u w:val="single"/>
        </w:rPr>
        <w:t xml:space="preserve">Трансфери </w:t>
      </w:r>
    </w:p>
    <w:p w:rsidR="006F3651" w:rsidRDefault="006F3651" w:rsidP="006F3651">
      <w:pPr>
        <w:tabs>
          <w:tab w:val="left" w:pos="540"/>
        </w:tabs>
        <w:jc w:val="both"/>
        <w:rPr>
          <w:b/>
          <w:bCs/>
          <w:noProof/>
          <w:sz w:val="12"/>
          <w:szCs w:val="12"/>
          <w:lang w:eastAsia="en-US"/>
        </w:rPr>
      </w:pPr>
    </w:p>
    <w:p w:rsidR="006F3651" w:rsidRDefault="006F3651" w:rsidP="006F3651">
      <w:pPr>
        <w:ind w:firstLine="709"/>
        <w:jc w:val="both"/>
      </w:pPr>
      <w:r>
        <w:t>През 2015</w:t>
      </w:r>
      <w:r>
        <w:rPr>
          <w:lang w:val="en-US"/>
        </w:rPr>
        <w:t xml:space="preserve"> </w:t>
      </w:r>
      <w:r>
        <w:t>г. са отчетени трансфери (нето) в размер на (-40,2) млн. лв.</w:t>
      </w:r>
    </w:p>
    <w:p w:rsidR="006F3651" w:rsidRDefault="006F3651" w:rsidP="006F3651">
      <w:pPr>
        <w:ind w:firstLine="709"/>
        <w:jc w:val="both"/>
      </w:pPr>
      <w:r>
        <w:t>Полученият трансфер от ЦБ в размер 583,1 млн. лв. при планирани 617,7 млн. лв.</w:t>
      </w:r>
    </w:p>
    <w:p w:rsidR="006F3651" w:rsidRPr="006F3651" w:rsidRDefault="006F3651" w:rsidP="006F3651">
      <w:pPr>
        <w:ind w:firstLine="709"/>
        <w:jc w:val="both"/>
        <w:rPr>
          <w:color w:val="4F81BD"/>
        </w:rPr>
      </w:pPr>
      <w:r>
        <w:t xml:space="preserve">Получените трансфери от бюджетни организации и общини са в размер на 1,6 млн. лв., а предоставените възлизат на 624,9 млн. лв. Те кореспондират с планираните разходи за придобиване на ДМА в размер на 671,4 млн. лв. </w:t>
      </w:r>
    </w:p>
    <w:p w:rsidR="006F3651" w:rsidRDefault="006F3651" w:rsidP="006F3651">
      <w:pPr>
        <w:tabs>
          <w:tab w:val="num" w:pos="540"/>
          <w:tab w:val="num" w:pos="720"/>
          <w:tab w:val="num" w:pos="1440"/>
        </w:tabs>
        <w:spacing w:before="120" w:after="120"/>
        <w:ind w:firstLine="709"/>
        <w:jc w:val="both"/>
        <w:rPr>
          <w:b/>
          <w:u w:val="single"/>
        </w:rPr>
      </w:pPr>
      <w:r>
        <w:rPr>
          <w:b/>
          <w:u w:val="single"/>
        </w:rPr>
        <w:t>Финансиране</w:t>
      </w:r>
    </w:p>
    <w:p w:rsidR="006F3651" w:rsidRPr="006F3651" w:rsidRDefault="006F3651" w:rsidP="006F3651">
      <w:pPr>
        <w:tabs>
          <w:tab w:val="left" w:pos="540"/>
        </w:tabs>
        <w:jc w:val="both"/>
        <w:rPr>
          <w:b/>
          <w:bCs/>
          <w:noProof/>
          <w:color w:val="4F81BD"/>
          <w:sz w:val="12"/>
          <w:szCs w:val="12"/>
          <w:lang w:eastAsia="en-US"/>
        </w:rPr>
      </w:pPr>
    </w:p>
    <w:p w:rsidR="006F3651" w:rsidRDefault="006F3651" w:rsidP="006F3651">
      <w:pPr>
        <w:ind w:firstLine="567"/>
        <w:jc w:val="both"/>
        <w:rPr>
          <w:b/>
          <w:i/>
        </w:rPr>
      </w:pPr>
      <w:r>
        <w:rPr>
          <w:b/>
          <w:i/>
        </w:rPr>
        <w:t>Към 31.12.2015</w:t>
      </w:r>
      <w:r>
        <w:rPr>
          <w:b/>
          <w:i/>
          <w:lang w:val="en-US"/>
        </w:rPr>
        <w:t xml:space="preserve"> </w:t>
      </w:r>
      <w:r>
        <w:rPr>
          <w:b/>
          <w:i/>
        </w:rPr>
        <w:t>г. са изплатени средства по следните направления:</w:t>
      </w:r>
    </w:p>
    <w:p w:rsidR="006F3651" w:rsidRDefault="006F3651" w:rsidP="006F3651">
      <w:pPr>
        <w:numPr>
          <w:ilvl w:val="0"/>
          <w:numId w:val="77"/>
        </w:numPr>
        <w:contextualSpacing/>
        <w:jc w:val="both"/>
        <w:rPr>
          <w:bCs/>
          <w:lang w:eastAsia="en-US"/>
        </w:rPr>
      </w:pPr>
      <w:r>
        <w:rPr>
          <w:bCs/>
          <w:lang w:eastAsia="en-US"/>
        </w:rPr>
        <w:t>1 </w:t>
      </w:r>
      <w:r>
        <w:rPr>
          <w:bCs/>
          <w:lang w:val="en-GB" w:eastAsia="en-US"/>
        </w:rPr>
        <w:t>309,8</w:t>
      </w:r>
      <w:r>
        <w:rPr>
          <w:bCs/>
          <w:lang w:eastAsia="en-US"/>
        </w:rPr>
        <w:t xml:space="preserve"> млн. лв. за директни плащания за сметка на ЕФГЗ  – 99,7 % от планираните 1 314 млн. лв.;</w:t>
      </w:r>
    </w:p>
    <w:p w:rsidR="006F3651" w:rsidRDefault="006F3651" w:rsidP="006F3651">
      <w:pPr>
        <w:numPr>
          <w:ilvl w:val="0"/>
          <w:numId w:val="77"/>
        </w:numPr>
        <w:contextualSpacing/>
        <w:jc w:val="both"/>
        <w:rPr>
          <w:bCs/>
          <w:lang w:eastAsia="en-US"/>
        </w:rPr>
      </w:pPr>
      <w:r>
        <w:rPr>
          <w:bCs/>
          <w:lang w:eastAsia="en-US"/>
        </w:rPr>
        <w:t>220,</w:t>
      </w:r>
      <w:r>
        <w:rPr>
          <w:bCs/>
          <w:lang w:val="en-GB" w:eastAsia="en-US"/>
        </w:rPr>
        <w:t>3</w:t>
      </w:r>
      <w:r>
        <w:rPr>
          <w:bCs/>
          <w:lang w:eastAsia="en-US"/>
        </w:rPr>
        <w:t xml:space="preserve"> млн. лв. за сметка на ЕЗФРСР, прехвърлени към директните плащания – 98,</w:t>
      </w:r>
      <w:r>
        <w:rPr>
          <w:bCs/>
          <w:lang w:val="en-GB" w:eastAsia="en-US"/>
        </w:rPr>
        <w:t xml:space="preserve">8 </w:t>
      </w:r>
      <w:r>
        <w:rPr>
          <w:bCs/>
          <w:lang w:eastAsia="en-US"/>
        </w:rPr>
        <w:t>% от планираните 223 млн. лв.;</w:t>
      </w:r>
    </w:p>
    <w:p w:rsidR="006F3651" w:rsidRDefault="006F3651" w:rsidP="006F3651">
      <w:pPr>
        <w:numPr>
          <w:ilvl w:val="0"/>
          <w:numId w:val="77"/>
        </w:numPr>
        <w:contextualSpacing/>
        <w:jc w:val="both"/>
        <w:rPr>
          <w:bCs/>
          <w:lang w:eastAsia="en-US"/>
        </w:rPr>
      </w:pPr>
      <w:r>
        <w:rPr>
          <w:bCs/>
          <w:lang w:eastAsia="en-US"/>
        </w:rPr>
        <w:t>26,</w:t>
      </w:r>
      <w:r>
        <w:rPr>
          <w:bCs/>
          <w:lang w:val="en-GB" w:eastAsia="en-US"/>
        </w:rPr>
        <w:t>3</w:t>
      </w:r>
      <w:r>
        <w:rPr>
          <w:bCs/>
          <w:lang w:eastAsia="en-US"/>
        </w:rPr>
        <w:t xml:space="preserve"> млн. лв. за пазарни мерки – 87,8 % от планираните 30</w:t>
      </w:r>
      <w:r w:rsidR="00DD1599">
        <w:rPr>
          <w:bCs/>
          <w:lang w:eastAsia="en-US"/>
        </w:rPr>
        <w:t>,0</w:t>
      </w:r>
      <w:r>
        <w:rPr>
          <w:bCs/>
          <w:lang w:eastAsia="en-US"/>
        </w:rPr>
        <w:t xml:space="preserve"> млн. лв.;</w:t>
      </w:r>
    </w:p>
    <w:p w:rsidR="006F3651" w:rsidRDefault="006F3651" w:rsidP="006F3651">
      <w:pPr>
        <w:numPr>
          <w:ilvl w:val="0"/>
          <w:numId w:val="77"/>
        </w:numPr>
        <w:contextualSpacing/>
        <w:jc w:val="both"/>
        <w:rPr>
          <w:bCs/>
          <w:lang w:eastAsia="en-US"/>
        </w:rPr>
      </w:pPr>
      <w:r>
        <w:rPr>
          <w:bCs/>
          <w:lang w:eastAsia="en-US"/>
        </w:rPr>
        <w:lastRenderedPageBreak/>
        <w:t>39,8 млн. лв. за преструктуриране на лозови масиви– 92,6 % от планираните 43</w:t>
      </w:r>
      <w:r w:rsidR="00DD1599">
        <w:rPr>
          <w:bCs/>
          <w:lang w:eastAsia="en-US"/>
        </w:rPr>
        <w:t>,0</w:t>
      </w:r>
      <w:r>
        <w:rPr>
          <w:bCs/>
          <w:lang w:eastAsia="en-US"/>
        </w:rPr>
        <w:t xml:space="preserve"> млн. лв.</w:t>
      </w:r>
    </w:p>
    <w:p w:rsidR="006F3651" w:rsidRDefault="006F3651" w:rsidP="006F3651">
      <w:pPr>
        <w:ind w:left="720"/>
        <w:contextualSpacing/>
        <w:jc w:val="both"/>
        <w:rPr>
          <w:bCs/>
          <w:lang w:eastAsia="en-US"/>
        </w:rPr>
      </w:pPr>
    </w:p>
    <w:p w:rsidR="006F3651" w:rsidRDefault="006F3651" w:rsidP="006F3651">
      <w:pPr>
        <w:ind w:left="360" w:firstLine="207"/>
        <w:jc w:val="both"/>
        <w:rPr>
          <w:b/>
          <w:i/>
        </w:rPr>
      </w:pPr>
      <w:r>
        <w:rPr>
          <w:b/>
          <w:i/>
        </w:rPr>
        <w:t>Възстановените суми от Европейския съюз през 2015</w:t>
      </w:r>
      <w:r>
        <w:rPr>
          <w:b/>
          <w:i/>
          <w:lang w:val="en-US"/>
        </w:rPr>
        <w:t xml:space="preserve"> </w:t>
      </w:r>
      <w:r>
        <w:rPr>
          <w:b/>
          <w:i/>
        </w:rPr>
        <w:t>г. са както следва:</w:t>
      </w:r>
    </w:p>
    <w:p w:rsidR="006F3651" w:rsidRDefault="006F3651" w:rsidP="006F3651">
      <w:pPr>
        <w:numPr>
          <w:ilvl w:val="0"/>
          <w:numId w:val="77"/>
        </w:numPr>
        <w:contextualSpacing/>
        <w:jc w:val="both"/>
        <w:rPr>
          <w:bCs/>
          <w:lang w:eastAsia="en-US"/>
        </w:rPr>
      </w:pPr>
      <w:r>
        <w:rPr>
          <w:bCs/>
          <w:lang w:eastAsia="en-US"/>
        </w:rPr>
        <w:t>1 241,7 млн.</w:t>
      </w:r>
      <w:r w:rsidR="006A1F05">
        <w:rPr>
          <w:bCs/>
          <w:lang w:eastAsia="en-US"/>
        </w:rPr>
        <w:t xml:space="preserve"> </w:t>
      </w:r>
      <w:r>
        <w:rPr>
          <w:bCs/>
          <w:lang w:eastAsia="en-US"/>
        </w:rPr>
        <w:t>лв. за директни плащания, при планирани за годината 1 241,7 млн. лв. (100 % изпълнение);</w:t>
      </w:r>
    </w:p>
    <w:p w:rsidR="006F3651" w:rsidRDefault="006F3651" w:rsidP="006F3651">
      <w:pPr>
        <w:numPr>
          <w:ilvl w:val="0"/>
          <w:numId w:val="77"/>
        </w:numPr>
        <w:contextualSpacing/>
        <w:jc w:val="both"/>
        <w:rPr>
          <w:bCs/>
          <w:lang w:eastAsia="en-US"/>
        </w:rPr>
      </w:pPr>
      <w:r>
        <w:rPr>
          <w:bCs/>
          <w:lang w:eastAsia="en-US"/>
        </w:rPr>
        <w:t>338,4 млн. лв. – възстановени средства от ЕЗФРСР, прехвърлени към директните плащания, представляващи 100 % от планираните 338,4</w:t>
      </w:r>
      <w:r>
        <w:rPr>
          <w:bCs/>
          <w:lang w:val="en-US" w:eastAsia="en-US"/>
        </w:rPr>
        <w:t xml:space="preserve"> </w:t>
      </w:r>
      <w:r>
        <w:rPr>
          <w:bCs/>
          <w:lang w:eastAsia="en-US"/>
        </w:rPr>
        <w:t>млн. лв.</w:t>
      </w:r>
    </w:p>
    <w:p w:rsidR="006F3651" w:rsidRDefault="006F3651" w:rsidP="006F3651">
      <w:pPr>
        <w:numPr>
          <w:ilvl w:val="0"/>
          <w:numId w:val="77"/>
        </w:numPr>
        <w:contextualSpacing/>
        <w:jc w:val="both"/>
        <w:rPr>
          <w:bCs/>
          <w:lang w:eastAsia="en-US"/>
        </w:rPr>
      </w:pPr>
      <w:r>
        <w:rPr>
          <w:bCs/>
          <w:lang w:eastAsia="en-US"/>
        </w:rPr>
        <w:t xml:space="preserve">13,2 млн. лв. за пазарни мерки – 100 % от планираните 13,2 млн. лв.; </w:t>
      </w:r>
    </w:p>
    <w:p w:rsidR="006F3651" w:rsidRDefault="006F3651" w:rsidP="006F3651">
      <w:pPr>
        <w:numPr>
          <w:ilvl w:val="0"/>
          <w:numId w:val="77"/>
        </w:numPr>
        <w:contextualSpacing/>
        <w:jc w:val="both"/>
        <w:rPr>
          <w:bCs/>
          <w:noProof/>
          <w:lang w:eastAsia="en-US"/>
        </w:rPr>
      </w:pPr>
      <w:r>
        <w:rPr>
          <w:bCs/>
          <w:lang w:eastAsia="en-US"/>
        </w:rPr>
        <w:t>29,4 млн. лв. за преструктуриране на лозови масиви – изпълнение 100 % спрямо</w:t>
      </w:r>
      <w:r>
        <w:rPr>
          <w:bCs/>
          <w:noProof/>
          <w:lang w:eastAsia="en-US"/>
        </w:rPr>
        <w:t xml:space="preserve"> планираните 29,4 млн. лв.</w:t>
      </w:r>
    </w:p>
    <w:p w:rsidR="006F3651" w:rsidRDefault="006F3651" w:rsidP="006F3651">
      <w:pPr>
        <w:ind w:firstLine="709"/>
        <w:jc w:val="both"/>
      </w:pPr>
      <w:r>
        <w:t>Предоставените суми (нето) по разчети с ЦБ за финансиране на плащания при недостиг на средства за периода 01.01-31.12.2015</w:t>
      </w:r>
      <w:r>
        <w:rPr>
          <w:lang w:val="en-US"/>
        </w:rPr>
        <w:t xml:space="preserve"> </w:t>
      </w:r>
      <w:r>
        <w:t>г. са 8,9 млн. лв.</w:t>
      </w:r>
    </w:p>
    <w:p w:rsidR="006F3651" w:rsidRDefault="006F3651" w:rsidP="006F3651">
      <w:pPr>
        <w:ind w:firstLine="567"/>
        <w:jc w:val="both"/>
      </w:pPr>
      <w:r>
        <w:t>Към 31.12.2015 г. е възстановена сума от Национален гаранционен фонд по ПРСР в размер 154,6 млн. лв.</w:t>
      </w:r>
    </w:p>
    <w:p w:rsidR="006F3651" w:rsidRDefault="006F3651" w:rsidP="006F3651">
      <w:pPr>
        <w:ind w:firstLine="567"/>
        <w:jc w:val="both"/>
      </w:pPr>
      <w:r>
        <w:t xml:space="preserve">Извършените плащания и събрани средства за сметка на други бюджети (нето) са в размер на </w:t>
      </w:r>
      <w:r>
        <w:rPr>
          <w:lang w:val="en-GB"/>
        </w:rPr>
        <w:t>-0,0</w:t>
      </w:r>
      <w:r>
        <w:t>1 млн. лв.</w:t>
      </w:r>
    </w:p>
    <w:p w:rsidR="0070688C" w:rsidRPr="0070688C" w:rsidRDefault="00CA0217" w:rsidP="0070688C">
      <w:pPr>
        <w:pStyle w:val="Heading3"/>
        <w:numPr>
          <w:ilvl w:val="1"/>
          <w:numId w:val="21"/>
        </w:numPr>
        <w:rPr>
          <w:rFonts w:ascii="Times New Roman" w:hAnsi="Times New Roman"/>
          <w:sz w:val="24"/>
          <w:lang w:val="bg-BG"/>
        </w:rPr>
      </w:pPr>
      <w:r w:rsidRPr="007514BC">
        <w:rPr>
          <w:rFonts w:ascii="Times New Roman" w:hAnsi="Times New Roman"/>
          <w:sz w:val="24"/>
          <w:lang w:val="bg-BG"/>
        </w:rPr>
        <w:t xml:space="preserve"> </w:t>
      </w:r>
      <w:bookmarkStart w:id="397" w:name="_Toc462146155"/>
      <w:r w:rsidR="0070688C" w:rsidRPr="0070688C">
        <w:rPr>
          <w:rFonts w:ascii="Times New Roman" w:hAnsi="Times New Roman"/>
          <w:sz w:val="24"/>
          <w:lang w:val="bg-BG"/>
        </w:rPr>
        <w:t>Сметки за средствата от ЕС на общините</w:t>
      </w:r>
      <w:bookmarkEnd w:id="397"/>
    </w:p>
    <w:p w:rsidR="0070688C" w:rsidRDefault="0070688C" w:rsidP="0070688C">
      <w:pPr>
        <w:widowControl w:val="0"/>
        <w:spacing w:after="120"/>
        <w:ind w:firstLine="720"/>
        <w:jc w:val="both"/>
      </w:pPr>
      <w:r>
        <w:t xml:space="preserve">По сметките за средства от </w:t>
      </w:r>
      <w:r w:rsidRPr="00703B63">
        <w:t>ЕС (вкл. по други международни програми)</w:t>
      </w:r>
      <w:r>
        <w:rPr>
          <w:color w:val="0070C0"/>
          <w:lang w:val="en-US"/>
        </w:rPr>
        <w:t xml:space="preserve"> </w:t>
      </w:r>
      <w:r>
        <w:t>на общините за 2015 г. са отчетени приходи и помощи в размер на 31,5 млн. лв., които са с 11,7 млн. лв. по-малко от отчетените през 2014 г. Съпоставени с 2014 г. помощите намаляват с 13,</w:t>
      </w:r>
      <w:r w:rsidR="00DC75D9">
        <w:t>2</w:t>
      </w:r>
      <w:r>
        <w:t xml:space="preserve"> млн. лв., докато неданъчните приходи нарастват с 1,4 млн. лева. </w:t>
      </w:r>
    </w:p>
    <w:p w:rsidR="0070688C" w:rsidRDefault="0070688C" w:rsidP="0070688C">
      <w:pPr>
        <w:widowControl w:val="0"/>
        <w:spacing w:after="120"/>
        <w:ind w:firstLine="720"/>
        <w:jc w:val="both"/>
      </w:pPr>
      <w:r>
        <w:t>Отчетените разходи са в размер на 3 2</w:t>
      </w:r>
      <w:r w:rsidR="00FD3C80">
        <w:t>78</w:t>
      </w:r>
      <w:r>
        <w:t>,</w:t>
      </w:r>
      <w:r w:rsidR="00FD3C80">
        <w:t>9</w:t>
      </w:r>
      <w:r>
        <w:t xml:space="preserve"> млн. лв., което е с 1 0</w:t>
      </w:r>
      <w:r w:rsidR="00FD3C80">
        <w:t>87</w:t>
      </w:r>
      <w:r>
        <w:t>,</w:t>
      </w:r>
      <w:r w:rsidR="00FD3C80">
        <w:t>7</w:t>
      </w:r>
      <w:r>
        <w:t xml:space="preserve"> млн. лв. повече спрямо предходната година. Това увеличение се дължи на ръста на капиталови разходи в размер на 1 2</w:t>
      </w:r>
      <w:r w:rsidR="00DC75D9">
        <w:t>1</w:t>
      </w:r>
      <w:r w:rsidR="00FD3C80">
        <w:t>1</w:t>
      </w:r>
      <w:r w:rsidR="00DC75D9">
        <w:t>,</w:t>
      </w:r>
      <w:r w:rsidR="00FD3C80">
        <w:t>7</w:t>
      </w:r>
      <w:r>
        <w:t xml:space="preserve"> млн. лв. Тази тенденция показва ускореното разплащане по проектите в края на програмен период 2007-2013 г. </w:t>
      </w:r>
    </w:p>
    <w:p w:rsidR="0070688C" w:rsidRDefault="0070688C" w:rsidP="0070688C">
      <w:pPr>
        <w:widowControl w:val="0"/>
        <w:spacing w:after="120"/>
        <w:ind w:firstLine="720"/>
        <w:jc w:val="both"/>
      </w:pPr>
      <w:r>
        <w:t>В структурата на разходите за 2015 г. отчетените капиталови разходи са 3 07</w:t>
      </w:r>
      <w:r w:rsidR="00FD3C80">
        <w:t>4</w:t>
      </w:r>
      <w:r w:rsidR="00DC75D9">
        <w:t>,</w:t>
      </w:r>
      <w:r w:rsidR="00FD3C80">
        <w:t>1</w:t>
      </w:r>
      <w:r>
        <w:t xml:space="preserve"> млн. лв. (9</w:t>
      </w:r>
      <w:r w:rsidR="00FD3C80">
        <w:t>3</w:t>
      </w:r>
      <w:r w:rsidR="00DC75D9">
        <w:t>,</w:t>
      </w:r>
      <w:r w:rsidR="00FD3C80">
        <w:t>8</w:t>
      </w:r>
      <w:r>
        <w:t xml:space="preserve"> %), а текущите разходи са </w:t>
      </w:r>
      <w:r w:rsidR="008078E0">
        <w:t>204</w:t>
      </w:r>
      <w:r w:rsidR="00DC75D9">
        <w:t>,8</w:t>
      </w:r>
      <w:r>
        <w:t xml:space="preserve"> млн. лв. (6,</w:t>
      </w:r>
      <w:r w:rsidR="008078E0">
        <w:t>2</w:t>
      </w:r>
      <w:r>
        <w:t xml:space="preserve"> %). Това потвърждава тезата, че местните власти използват възможностите на европейските програми поради ограничените собствени ресурси за капиталови разходи. </w:t>
      </w:r>
    </w:p>
    <w:p w:rsidR="0070688C" w:rsidRDefault="0070688C" w:rsidP="0070688C">
      <w:pPr>
        <w:widowControl w:val="0"/>
        <w:spacing w:after="120"/>
        <w:ind w:firstLine="720"/>
        <w:jc w:val="both"/>
      </w:pPr>
      <w:r>
        <w:t>В отчетените разходи най-голям е делът на разходите по сметките за средства от Европейския съюз, администрирани от Националния фонд – 6</w:t>
      </w:r>
      <w:r w:rsidR="008078E0">
        <w:t>3</w:t>
      </w:r>
      <w:r w:rsidR="00DC75D9">
        <w:t>,</w:t>
      </w:r>
      <w:r w:rsidR="008078E0">
        <w:t>9</w:t>
      </w:r>
      <w:r>
        <w:t xml:space="preserve"> %, следват отчетените разходи в сметките за средства от Европейския съюз, администрирани от Разплащателната агенция към ДФ „Земеделие“ – 33,</w:t>
      </w:r>
      <w:r w:rsidR="008078E0">
        <w:t>8</w:t>
      </w:r>
      <w:r>
        <w:t xml:space="preserve"> %, в други европейски средства – 2,1 % и в други международни програми – 0,2 %.</w:t>
      </w:r>
    </w:p>
    <w:p w:rsidR="0070688C" w:rsidRDefault="0070688C" w:rsidP="0070688C">
      <w:pPr>
        <w:widowControl w:val="0"/>
        <w:spacing w:after="120"/>
        <w:ind w:firstLine="720"/>
        <w:jc w:val="both"/>
      </w:pPr>
      <w:r>
        <w:t>По Оперативна програма „Околна среда“ дейностите по проектите, свързани с подобряване и развитие на инфраструктурата за питейни и отпадъчни води и подобряване на качеството на атмосферния въздух са изпълнени с изключение на 8 инфраструктурни проекта, които са фазирани за следващия програмен период. Това са проектите на общините Банско, Видин, Тервел, Шумен, Раднево, Ямбол, Враца и Варна.</w:t>
      </w:r>
    </w:p>
    <w:p w:rsidR="0070688C" w:rsidRDefault="0070688C" w:rsidP="0070688C">
      <w:pPr>
        <w:widowControl w:val="0"/>
        <w:spacing w:after="120"/>
        <w:ind w:firstLine="720"/>
        <w:jc w:val="both"/>
      </w:pPr>
      <w:r>
        <w:t>По Оперативна програма „Транспорт“ са въведени в експлоатация пътни проекти в общините София, Варна, Стара Загора, Пловдив, Русе и Плевен. Очаква се облекчаване на трафика, съкращаване на времето за пътуване и значително оптимизиране на разходите за транспорт.</w:t>
      </w:r>
    </w:p>
    <w:p w:rsidR="0070688C" w:rsidRDefault="0070688C" w:rsidP="0070688C">
      <w:pPr>
        <w:widowControl w:val="0"/>
        <w:spacing w:after="120"/>
        <w:ind w:firstLine="720"/>
        <w:jc w:val="both"/>
      </w:pPr>
      <w:r>
        <w:t>За 2015 г. по сметките за средства от ЕС общините са отчели временни безлихвени заеми (нето) в размер на 165,</w:t>
      </w:r>
      <w:r w:rsidR="008078E0">
        <w:t>9</w:t>
      </w:r>
      <w:r>
        <w:t xml:space="preserve"> млн. лв. или с 90,</w:t>
      </w:r>
      <w:r w:rsidR="008078E0">
        <w:t>4</w:t>
      </w:r>
      <w:r>
        <w:t xml:space="preserve"> млн. лв. повече от отчетените през 2014 година. </w:t>
      </w:r>
    </w:p>
    <w:p w:rsidR="0070688C" w:rsidRDefault="0070688C" w:rsidP="0070688C">
      <w:pPr>
        <w:widowControl w:val="0"/>
        <w:spacing w:after="120"/>
        <w:ind w:firstLine="720"/>
        <w:jc w:val="both"/>
      </w:pPr>
      <w:r>
        <w:lastRenderedPageBreak/>
        <w:t>Размерът на трансферите по сметките за средства от ЕС към края на 2015 г. е 2 38</w:t>
      </w:r>
      <w:r w:rsidR="008078E0">
        <w:t>8</w:t>
      </w:r>
      <w:r>
        <w:t>,</w:t>
      </w:r>
      <w:r w:rsidR="008078E0">
        <w:t>5</w:t>
      </w:r>
      <w:r>
        <w:t xml:space="preserve"> млн. лв., което е увеличение от 4</w:t>
      </w:r>
      <w:r w:rsidR="008078E0">
        <w:t>87</w:t>
      </w:r>
      <w:r>
        <w:t>,</w:t>
      </w:r>
      <w:r w:rsidR="008078E0">
        <w:t>4</w:t>
      </w:r>
      <w:r>
        <w:t xml:space="preserve"> млн. лв. спрямо края на 2014 г. </w:t>
      </w:r>
    </w:p>
    <w:p w:rsidR="0070688C" w:rsidRDefault="0070688C" w:rsidP="0070688C">
      <w:pPr>
        <w:widowControl w:val="0"/>
        <w:spacing w:after="120"/>
        <w:ind w:firstLine="720"/>
        <w:jc w:val="both"/>
      </w:pPr>
      <w:r>
        <w:t>Бюджетното салдо по СЕС към 31.12.2015 г. е отрицателно и е в размер на 69</w:t>
      </w:r>
      <w:r w:rsidR="007C477F">
        <w:t>3</w:t>
      </w:r>
      <w:r>
        <w:t>,</w:t>
      </w:r>
      <w:r w:rsidR="00DC75D9">
        <w:t>0</w:t>
      </w:r>
      <w:r>
        <w:t xml:space="preserve"> млн. лева. </w:t>
      </w:r>
    </w:p>
    <w:p w:rsidR="0070688C" w:rsidRDefault="0070688C" w:rsidP="00EC33FC">
      <w:pPr>
        <w:widowControl w:val="0"/>
        <w:spacing w:after="120"/>
        <w:ind w:firstLine="709"/>
        <w:jc w:val="both"/>
      </w:pPr>
      <w:r>
        <w:t>Наличностите по сметки в края на периода са 126,0 млн. лв., което е с 678,1 млн. лв. по-малко от реализираните в края на 2014 г.</w:t>
      </w:r>
    </w:p>
    <w:p w:rsidR="00271630" w:rsidRPr="007514BC" w:rsidRDefault="00271630" w:rsidP="00781B85">
      <w:pPr>
        <w:pStyle w:val="Heading3"/>
        <w:numPr>
          <w:ilvl w:val="1"/>
          <w:numId w:val="21"/>
        </w:numPr>
        <w:rPr>
          <w:rFonts w:ascii="Times New Roman" w:hAnsi="Times New Roman"/>
          <w:sz w:val="24"/>
          <w:lang w:val="bg-BG"/>
        </w:rPr>
      </w:pPr>
      <w:bookmarkStart w:id="398" w:name="_Toc462146156"/>
      <w:r w:rsidRPr="007514BC">
        <w:rPr>
          <w:rFonts w:ascii="Times New Roman" w:hAnsi="Times New Roman"/>
          <w:sz w:val="24"/>
          <w:lang w:val="bg-BG"/>
        </w:rPr>
        <w:t>Сметка към министъра на финансите за средствата от продажбата на предписани емисионни единици</w:t>
      </w:r>
      <w:bookmarkEnd w:id="398"/>
    </w:p>
    <w:p w:rsidR="007514BC" w:rsidRPr="00BC14D7" w:rsidRDefault="007514BC" w:rsidP="007514BC">
      <w:pPr>
        <w:ind w:firstLine="743"/>
        <w:jc w:val="both"/>
      </w:pPr>
      <w:r w:rsidRPr="00BC14D7">
        <w:t>Съгласно чл. 20, ал. 1 от Закона за ограничаване изменението на климата средствата от продажбата на ПЕЕ постъпват по бюджета на ПУДООС. От началото на 2015 г. няма приходи от продажба на ПЕЕ.</w:t>
      </w:r>
    </w:p>
    <w:p w:rsidR="007514BC" w:rsidRPr="00BC14D7" w:rsidRDefault="007514BC" w:rsidP="007514BC">
      <w:pPr>
        <w:ind w:firstLine="743"/>
        <w:jc w:val="both"/>
      </w:pPr>
      <w:r w:rsidRPr="00BC14D7">
        <w:t>Въз основа на проведени преговори с представители на Република Австрия и постигнатото споразумение за начина на оползотворяване на спестените средства по Споразумение за продажба на Предписани емисионни единици (СППЕЕ 2) и на основание постигнатите договорености между страните от 9 март 2015 г., по цитирана в споразумението сметка на Република Австрия е върната сума в размер на 5</w:t>
      </w:r>
      <w:r>
        <w:t>,7</w:t>
      </w:r>
      <w:r w:rsidRPr="00BC14D7">
        <w:t xml:space="preserve"> </w:t>
      </w:r>
      <w:r>
        <w:t xml:space="preserve">млн. </w:t>
      </w:r>
      <w:r w:rsidRPr="00BC14D7">
        <w:t>лв., с което е намалена наличността по сметката.</w:t>
      </w:r>
    </w:p>
    <w:p w:rsidR="00271630" w:rsidRPr="001F6421" w:rsidRDefault="007514BC" w:rsidP="007514BC">
      <w:pPr>
        <w:ind w:firstLine="743"/>
        <w:jc w:val="both"/>
        <w:rPr>
          <w:color w:val="0070C0"/>
        </w:rPr>
      </w:pPr>
      <w:r w:rsidRPr="007514BC">
        <w:rPr>
          <w:iCs/>
        </w:rPr>
        <w:t>Към 31.12.2015 г. чрез сметката за  средства от продажба на предписани емисионни</w:t>
      </w:r>
      <w:r w:rsidRPr="00BC14D7">
        <w:t xml:space="preserve"> единици са извършени разходи по Националната схема за зелени инвестиции в размер на 3,8 </w:t>
      </w:r>
      <w:r>
        <w:t xml:space="preserve">млн. </w:t>
      </w:r>
      <w:r w:rsidRPr="00BC14D7">
        <w:t xml:space="preserve">лв. </w:t>
      </w:r>
      <w:r>
        <w:t xml:space="preserve">като са финансирани 9 договора. </w:t>
      </w:r>
      <w:r w:rsidRPr="00BC14D7">
        <w:t>За административни разходи на Националния доверителен екофонд са разходвани средства в размер на 0,3 млн.</w:t>
      </w:r>
      <w:r>
        <w:t xml:space="preserve"> </w:t>
      </w:r>
      <w:r w:rsidRPr="00BC14D7">
        <w:t>л</w:t>
      </w:r>
      <w:r w:rsidR="008F5099">
        <w:t>ева</w:t>
      </w:r>
      <w:r w:rsidRPr="00BC14D7">
        <w:t>.</w:t>
      </w:r>
    </w:p>
    <w:p w:rsidR="00271630" w:rsidRPr="001F6421" w:rsidRDefault="00271630" w:rsidP="00621B56">
      <w:pPr>
        <w:ind w:firstLine="720"/>
        <w:jc w:val="both"/>
        <w:rPr>
          <w:noProof/>
          <w:color w:val="0070C0"/>
          <w:lang w:val="en-US" w:eastAsia="en-US"/>
        </w:rPr>
      </w:pPr>
    </w:p>
    <w:p w:rsidR="006437CB" w:rsidRPr="00045C74" w:rsidRDefault="00477F96" w:rsidP="00781B85">
      <w:pPr>
        <w:pStyle w:val="Heading2"/>
        <w:numPr>
          <w:ilvl w:val="1"/>
          <w:numId w:val="7"/>
        </w:numPr>
        <w:rPr>
          <w:rFonts w:ascii="Times New Roman" w:hAnsi="Times New Roman" w:cs="Times New Roman"/>
          <w:i w:val="0"/>
          <w:iCs w:val="0"/>
          <w:sz w:val="24"/>
        </w:rPr>
      </w:pPr>
      <w:bookmarkStart w:id="399" w:name="_Toc462146157"/>
      <w:bookmarkStart w:id="400" w:name="_Toc136597771"/>
      <w:bookmarkStart w:id="401" w:name="_Toc136601674"/>
      <w:bookmarkStart w:id="402" w:name="_Toc261276611"/>
      <w:bookmarkStart w:id="403" w:name="_Toc262637654"/>
      <w:bookmarkStart w:id="404" w:name="_Toc324863454"/>
      <w:bookmarkStart w:id="405" w:name="_Toc393728106"/>
      <w:r w:rsidRPr="00045C74">
        <w:rPr>
          <w:rFonts w:ascii="Times New Roman" w:hAnsi="Times New Roman" w:cs="Times New Roman"/>
          <w:i w:val="0"/>
          <w:iCs w:val="0"/>
          <w:sz w:val="24"/>
        </w:rPr>
        <w:t>Б</w:t>
      </w:r>
      <w:r w:rsidR="006437CB" w:rsidRPr="00045C74">
        <w:rPr>
          <w:rFonts w:ascii="Times New Roman" w:hAnsi="Times New Roman" w:cs="Times New Roman"/>
          <w:i w:val="0"/>
          <w:iCs w:val="0"/>
          <w:sz w:val="24"/>
        </w:rPr>
        <w:t>юджети по чл. 13, ал. 4 на Закона за публичните финанси</w:t>
      </w:r>
      <w:bookmarkEnd w:id="399"/>
    </w:p>
    <w:p w:rsidR="00621B56" w:rsidRPr="00045C74" w:rsidRDefault="00621B56" w:rsidP="00781B85">
      <w:pPr>
        <w:pStyle w:val="Heading3"/>
        <w:numPr>
          <w:ilvl w:val="1"/>
          <w:numId w:val="22"/>
        </w:numPr>
        <w:rPr>
          <w:rFonts w:ascii="Times New Roman" w:hAnsi="Times New Roman"/>
          <w:sz w:val="24"/>
          <w:lang w:val="bg-BG"/>
        </w:rPr>
      </w:pPr>
      <w:bookmarkStart w:id="406" w:name="_Toc462146158"/>
      <w:r w:rsidRPr="00045C74">
        <w:rPr>
          <w:rFonts w:ascii="Times New Roman" w:hAnsi="Times New Roman"/>
          <w:sz w:val="24"/>
          <w:lang w:val="bg-BG"/>
        </w:rPr>
        <w:t>Предприятие за управление на дейностите по опазване на околната среда</w:t>
      </w:r>
      <w:bookmarkEnd w:id="400"/>
      <w:bookmarkEnd w:id="401"/>
      <w:bookmarkEnd w:id="402"/>
      <w:bookmarkEnd w:id="403"/>
      <w:bookmarkEnd w:id="404"/>
      <w:bookmarkEnd w:id="405"/>
      <w:bookmarkEnd w:id="406"/>
    </w:p>
    <w:p w:rsidR="00621B56" w:rsidRPr="001F6421" w:rsidRDefault="00621B56" w:rsidP="00621B56">
      <w:pPr>
        <w:pStyle w:val="BodyText"/>
        <w:ind w:firstLine="540"/>
        <w:jc w:val="both"/>
        <w:rPr>
          <w:color w:val="0070C0"/>
          <w:sz w:val="4"/>
          <w:szCs w:val="4"/>
        </w:rPr>
      </w:pPr>
    </w:p>
    <w:p w:rsidR="00045C74" w:rsidRPr="00045C74" w:rsidRDefault="00045C74" w:rsidP="00376487">
      <w:pPr>
        <w:spacing w:after="120"/>
        <w:ind w:firstLine="720"/>
        <w:jc w:val="both"/>
        <w:rPr>
          <w:iCs/>
        </w:rPr>
      </w:pPr>
      <w:r w:rsidRPr="00045C74">
        <w:rPr>
          <w:iCs/>
        </w:rPr>
        <w:t xml:space="preserve">С разчетите към ЗДБРБ за 2015 г. са одобрени </w:t>
      </w:r>
      <w:r w:rsidRPr="00045C74">
        <w:rPr>
          <w:b/>
          <w:i/>
          <w:iCs/>
        </w:rPr>
        <w:t>приходи</w:t>
      </w:r>
      <w:r w:rsidRPr="00045C74">
        <w:rPr>
          <w:iCs/>
        </w:rPr>
        <w:t xml:space="preserve"> на Предприятието за управление на дейностите по опазване на околната среда (ПУДООС) в размер на 133,2 млн. лв. Отчетените неданъчни приходи на предприятието за годината са в размер на 156,4 млн. лв. или изпълнението им възлиза на 117,4 % спрямо разчетените стойности. Също така спрямо предходната година се наблюдава увеличение от 22,4 %. С най-голям относителен дял в приходите (63,3 %) са постъпленията от продажби на квоти за емисии на парникови газове, като към 31.12.2015 г. отчетените постъпления по бюджета на ПУДООС са в размер на 99</w:t>
      </w:r>
      <w:r w:rsidR="00F146F7">
        <w:rPr>
          <w:iCs/>
          <w:lang w:val="en-US"/>
        </w:rPr>
        <w:t>.0</w:t>
      </w:r>
      <w:r w:rsidRPr="00045C74">
        <w:rPr>
          <w:iCs/>
        </w:rPr>
        <w:t xml:space="preserve"> млн. лв., от които 1,8 млн. лв. са приходите от продажба на квоти от авиационни дейности по чл. 56 от Закона за ограничаване изменението на климата (ЗОИК). Изпълнението спрямо разчета е 112,3 %, а увеличението спрямо миналогодишните постъпления е 39,1 %. С § 9 от </w:t>
      </w:r>
      <w:r w:rsidR="00F146F7">
        <w:rPr>
          <w:iCs/>
        </w:rPr>
        <w:t xml:space="preserve">ПЗР на </w:t>
      </w:r>
      <w:r w:rsidRPr="00045C74">
        <w:rPr>
          <w:iCs/>
        </w:rPr>
        <w:t>З</w:t>
      </w:r>
      <w:r w:rsidR="00F146F7">
        <w:rPr>
          <w:iCs/>
        </w:rPr>
        <w:t>ДБРБ</w:t>
      </w:r>
      <w:r w:rsidRPr="00045C74">
        <w:rPr>
          <w:iCs/>
        </w:rPr>
        <w:t xml:space="preserve"> за 2016 г. е регламентирано, че акумулираните приходи от продажба на квоти</w:t>
      </w:r>
      <w:r w:rsidR="00F146F7">
        <w:rPr>
          <w:iCs/>
        </w:rPr>
        <w:t>те</w:t>
      </w:r>
      <w:r w:rsidRPr="00045C74">
        <w:rPr>
          <w:iCs/>
        </w:rPr>
        <w:t xml:space="preserve"> по чл. 57, ал. 1 от </w:t>
      </w:r>
      <w:r w:rsidR="0027167C">
        <w:rPr>
          <w:iCs/>
        </w:rPr>
        <w:t>Закона за ограничаване изменението на климата</w:t>
      </w:r>
      <w:r w:rsidRPr="00045C74">
        <w:rPr>
          <w:iCs/>
        </w:rPr>
        <w:t xml:space="preserve"> за периода от 6 март</w:t>
      </w:r>
      <w:r w:rsidR="0027167C">
        <w:rPr>
          <w:iCs/>
        </w:rPr>
        <w:t xml:space="preserve"> 2015 г.</w:t>
      </w:r>
      <w:r w:rsidRPr="00045C74">
        <w:rPr>
          <w:iCs/>
        </w:rPr>
        <w:t xml:space="preserve"> до 24 юли 2015 г. се внасят от ПУДООС във Фонд „Сигурност на електроенергийната система“ (ФСЕС). В изпълнение на тази разпоредба ПУДООС е предоставил на ФСЕС акумулирани приходи за този период в размер на 64,8 млн. лв., а за цялата 2015 г. предоставените на ФСЕС средства, въз основа на промени в ЗОИК, са  в размер на 139 млн. лв. От държавни такси по бюджета на ПУДООС през 2015 г. са постъпили 52,6 млн. лв. при разчетени 43</w:t>
      </w:r>
      <w:r w:rsidR="0027167C">
        <w:rPr>
          <w:iCs/>
        </w:rPr>
        <w:t>,0</w:t>
      </w:r>
      <w:r w:rsidRPr="00045C74">
        <w:rPr>
          <w:iCs/>
        </w:rPr>
        <w:t xml:space="preserve"> млн. лв. или изпълнението възлиза на 122,3 %. По бюджета на предприятието са отчетени и 1,9 млн. лв. – нетни приходи от продажба на услуги стоки и продукция и 2,0 млн. лв.- глоби, санкции, наказателни лихви и др.</w:t>
      </w:r>
    </w:p>
    <w:p w:rsidR="00045C74" w:rsidRPr="00045C74" w:rsidRDefault="00045C74" w:rsidP="00376487">
      <w:pPr>
        <w:spacing w:after="120"/>
        <w:ind w:firstLine="720"/>
        <w:jc w:val="both"/>
        <w:rPr>
          <w:iCs/>
        </w:rPr>
      </w:pPr>
      <w:r w:rsidRPr="00045C74">
        <w:rPr>
          <w:iCs/>
        </w:rPr>
        <w:lastRenderedPageBreak/>
        <w:t xml:space="preserve">Към 31.12.2015 г. ПУДООС отчита </w:t>
      </w:r>
      <w:r w:rsidRPr="00045C74">
        <w:rPr>
          <w:b/>
          <w:i/>
          <w:iCs/>
        </w:rPr>
        <w:t>разходи</w:t>
      </w:r>
      <w:r w:rsidRPr="00045C74">
        <w:rPr>
          <w:iCs/>
        </w:rPr>
        <w:t xml:space="preserve"> в размер на 17,2 млн. лв., като те са разпределени както следва: за персонал - 1,8 млн. лв.; за текуща издръжка – 1,4 млн. лв.; 1 млн. лв. разходи за извършване на одит по проекти на Оперативна програма „Околна среда” на независим одиторски контрол в изпълнение изискванията на Управляващия орган и 12,9 млн. лв. предоставен капиталов трансфер за Националния доверителен екофонд (НДЕФ) в изпълнение на РМС № 201 от 2015 г., което представляват </w:t>
      </w:r>
      <w:r w:rsidR="0027167C">
        <w:rPr>
          <w:iCs/>
        </w:rPr>
        <w:t>99,5</w:t>
      </w:r>
      <w:r w:rsidRPr="00045C74">
        <w:rPr>
          <w:iCs/>
        </w:rPr>
        <w:t xml:space="preserve"> % от планирания капиталов трансфер за 2015 г.</w:t>
      </w:r>
    </w:p>
    <w:p w:rsidR="00045C74" w:rsidRPr="00045C74" w:rsidRDefault="00045C74" w:rsidP="00376487">
      <w:pPr>
        <w:spacing w:after="120"/>
        <w:ind w:firstLine="720"/>
        <w:jc w:val="both"/>
        <w:rPr>
          <w:iCs/>
        </w:rPr>
      </w:pPr>
      <w:r w:rsidRPr="00045C74">
        <w:rPr>
          <w:iCs/>
        </w:rPr>
        <w:t xml:space="preserve">През 2015 г. нетният размер на </w:t>
      </w:r>
      <w:r w:rsidRPr="00045C74">
        <w:rPr>
          <w:b/>
          <w:i/>
          <w:iCs/>
        </w:rPr>
        <w:t>трансфери</w:t>
      </w:r>
      <w:r w:rsidRPr="00045C74">
        <w:rPr>
          <w:iCs/>
        </w:rPr>
        <w:t xml:space="preserve">, отчетени от ПУДООС, е (-91,8) млн. лв. Получените трансфери възлизат на </w:t>
      </w:r>
      <w:r w:rsidR="0027167C">
        <w:rPr>
          <w:iCs/>
        </w:rPr>
        <w:t>107</w:t>
      </w:r>
      <w:r w:rsidRPr="00045C74">
        <w:rPr>
          <w:iCs/>
        </w:rPr>
        <w:t xml:space="preserve">,1 млн. лв., а предоставените на бюджетни структури за финансиране на екологични обекти са </w:t>
      </w:r>
      <w:r w:rsidR="0027167C">
        <w:rPr>
          <w:iCs/>
        </w:rPr>
        <w:t>198</w:t>
      </w:r>
      <w:r w:rsidRPr="00045C74">
        <w:rPr>
          <w:iCs/>
        </w:rPr>
        <w:t>,8 млн. лв. В тази сума са включени и предвидените по бюджета 71,6 млн. лв. разходи за придобиване на дълготрайни материални активи (изграждане на инфраструктурни обекти), които по пътя на изпълнението с решения на управителния съвет на ПУДООС са прехвърлени като предоставени трансфери. Нетният размер на временни безлихвени заеми за 2015 г. е 1,9 млн. лв., като те са предоставени на общини.</w:t>
      </w:r>
    </w:p>
    <w:p w:rsidR="00621B56" w:rsidRPr="00045C74" w:rsidRDefault="00045C74" w:rsidP="00045C74">
      <w:pPr>
        <w:ind w:firstLine="720"/>
        <w:jc w:val="both"/>
      </w:pPr>
      <w:r w:rsidRPr="00045C74">
        <w:rPr>
          <w:iCs/>
        </w:rPr>
        <w:t xml:space="preserve"> По сключено тристранно рамково споразумение за предоставяне на финансиране относно схема за зелени инвестиции между Министерство на финансите, НДЕФ и ПУДООС, съвместната работа на трите институции доведе до пълна реализация на инвестиционните проекти </w:t>
      </w:r>
      <w:r w:rsidR="0027167C">
        <w:rPr>
          <w:iCs/>
        </w:rPr>
        <w:t xml:space="preserve">по </w:t>
      </w:r>
      <w:r w:rsidRPr="00045C74">
        <w:rPr>
          <w:iCs/>
        </w:rPr>
        <w:t>Националната схема за зелени инвестиции</w:t>
      </w:r>
      <w:r w:rsidR="0027167C">
        <w:rPr>
          <w:iCs/>
        </w:rPr>
        <w:t>.</w:t>
      </w:r>
      <w:r w:rsidRPr="00045C74">
        <w:rPr>
          <w:iCs/>
        </w:rPr>
        <w:t xml:space="preserve"> НДЕФ е възстановил всички предоставени заеми на ПУДООС и проектите </w:t>
      </w:r>
      <w:r w:rsidR="0027167C">
        <w:rPr>
          <w:iCs/>
        </w:rPr>
        <w:t>с</w:t>
      </w:r>
      <w:r w:rsidRPr="00045C74">
        <w:rPr>
          <w:iCs/>
        </w:rPr>
        <w:t>а приключени в планирания срок</w:t>
      </w:r>
      <w:r w:rsidR="00621B56" w:rsidRPr="00045C74">
        <w:t>.</w:t>
      </w:r>
    </w:p>
    <w:p w:rsidR="00F146F7" w:rsidRDefault="00621B56" w:rsidP="00F146F7">
      <w:pPr>
        <w:pStyle w:val="Heading3"/>
        <w:numPr>
          <w:ilvl w:val="1"/>
          <w:numId w:val="22"/>
        </w:numPr>
        <w:rPr>
          <w:rFonts w:ascii="Times New Roman" w:hAnsi="Times New Roman"/>
          <w:sz w:val="24"/>
          <w:lang w:val="en-US"/>
        </w:rPr>
      </w:pPr>
      <w:bookmarkStart w:id="407" w:name="_Toc462146159"/>
      <w:bookmarkStart w:id="408" w:name="_Toc393728107"/>
      <w:r w:rsidRPr="0064150D">
        <w:rPr>
          <w:rFonts w:ascii="Times New Roman" w:hAnsi="Times New Roman"/>
          <w:sz w:val="24"/>
          <w:lang w:val="bg-BG"/>
        </w:rPr>
        <w:t>Национална компания „Стратегически инфраструктурни проекти“</w:t>
      </w:r>
      <w:bookmarkEnd w:id="407"/>
      <w:r w:rsidRPr="0064150D">
        <w:rPr>
          <w:rFonts w:ascii="Times New Roman" w:hAnsi="Times New Roman"/>
          <w:sz w:val="24"/>
          <w:lang w:val="bg-BG"/>
        </w:rPr>
        <w:t xml:space="preserve"> </w:t>
      </w:r>
    </w:p>
    <w:p w:rsidR="00F146F7" w:rsidRPr="00EC33FC" w:rsidRDefault="00F146F7" w:rsidP="00EC33FC">
      <w:pPr>
        <w:rPr>
          <w:lang w:val="en-US"/>
        </w:rPr>
      </w:pPr>
    </w:p>
    <w:p w:rsidR="00621B56" w:rsidRPr="0064150D" w:rsidRDefault="00621B56" w:rsidP="009C1EBF">
      <w:pPr>
        <w:ind w:firstLine="709"/>
        <w:jc w:val="both"/>
      </w:pPr>
      <w:r w:rsidRPr="0064150D">
        <w:t>Към 31.12.201</w:t>
      </w:r>
      <w:r w:rsidR="00806EEE" w:rsidRPr="0064150D">
        <w:t>5</w:t>
      </w:r>
      <w:r w:rsidRPr="0064150D">
        <w:t xml:space="preserve"> г. чрез бюджета на МРРБ за Националната компания „Стратегически инфраструктурни проекти“ /НКСИП/ са предоставени трансфери в размер на 1,</w:t>
      </w:r>
      <w:r w:rsidR="0064150D" w:rsidRPr="0064150D">
        <w:t>4</w:t>
      </w:r>
      <w:r w:rsidRPr="0064150D">
        <w:t xml:space="preserve"> млн. лв. </w:t>
      </w:r>
      <w:r w:rsidR="0064150D" w:rsidRPr="0064150D">
        <w:t>Извършените разходи за годината са 1,4 млн. лв., като изпълнението възлиза на 10</w:t>
      </w:r>
      <w:r w:rsidR="008D500B">
        <w:t>4</w:t>
      </w:r>
      <w:r w:rsidR="0064150D" w:rsidRPr="0064150D">
        <w:t>,9 % спрямо разчетите към ЗДБРБ 2015 година</w:t>
      </w:r>
      <w:r w:rsidRPr="0064150D">
        <w:t>.</w:t>
      </w:r>
    </w:p>
    <w:p w:rsidR="00F05C21" w:rsidRDefault="00F05C21" w:rsidP="00781B85">
      <w:pPr>
        <w:pStyle w:val="Heading3"/>
        <w:numPr>
          <w:ilvl w:val="1"/>
          <w:numId w:val="22"/>
        </w:numPr>
        <w:rPr>
          <w:rFonts w:ascii="Times New Roman" w:hAnsi="Times New Roman"/>
          <w:sz w:val="24"/>
          <w:lang w:val="en-US"/>
        </w:rPr>
      </w:pPr>
      <w:bookmarkStart w:id="409" w:name="_Toc462146160"/>
      <w:bookmarkEnd w:id="408"/>
      <w:r w:rsidRPr="00F05C21">
        <w:rPr>
          <w:rFonts w:ascii="Times New Roman" w:hAnsi="Times New Roman"/>
          <w:sz w:val="24"/>
          <w:lang w:val="bg-BG"/>
        </w:rPr>
        <w:t>Фонд „Сигурност на електроенергийната система“</w:t>
      </w:r>
      <w:bookmarkEnd w:id="409"/>
      <w:r w:rsidRPr="0064150D">
        <w:rPr>
          <w:rFonts w:ascii="Times New Roman" w:hAnsi="Times New Roman"/>
          <w:sz w:val="24"/>
          <w:lang w:val="bg-BG"/>
        </w:rPr>
        <w:t xml:space="preserve"> </w:t>
      </w:r>
    </w:p>
    <w:p w:rsidR="00F146F7" w:rsidRPr="00EC33FC" w:rsidRDefault="00F146F7" w:rsidP="00EC33FC">
      <w:pPr>
        <w:rPr>
          <w:lang w:val="en-US"/>
        </w:rPr>
      </w:pPr>
    </w:p>
    <w:p w:rsidR="00F05C21" w:rsidRDefault="00F05C21" w:rsidP="00F05C21">
      <w:pPr>
        <w:ind w:firstLine="743"/>
        <w:jc w:val="both"/>
      </w:pPr>
      <w:r>
        <w:t>С влезлия в сила на 24.07.2015 г. чл. 36 б, ал. 1 от Закона за енергетиката (ЗЕ) се създава Фонд „Сигурност на електроенергийната система“ (Фонда). Целта на създаването на Фонда е управление на средствата за покриване на разходите, извършени от обществения доставчик, произтичащи от задълженията му по чл. 93а от ЗЕ. Към 31.12.2015 г. отчетени приходи на Фонда са в размер на 183,2 млн. лв. (97,9 % от годишния разчет).</w:t>
      </w:r>
    </w:p>
    <w:p w:rsidR="00F05C21" w:rsidRDefault="00F05C21" w:rsidP="00F05C21">
      <w:pPr>
        <w:ind w:firstLine="743"/>
        <w:jc w:val="both"/>
      </w:pPr>
      <w:r>
        <w:t>От тях:</w:t>
      </w:r>
    </w:p>
    <w:p w:rsidR="00F05C21" w:rsidRDefault="00F05C21" w:rsidP="00781B85">
      <w:pPr>
        <w:numPr>
          <w:ilvl w:val="0"/>
          <w:numId w:val="66"/>
        </w:numPr>
        <w:ind w:left="1134" w:hanging="425"/>
        <w:jc w:val="both"/>
        <w:rPr>
          <w:lang w:eastAsia="en-US"/>
        </w:rPr>
      </w:pPr>
      <w:r>
        <w:t>44</w:t>
      </w:r>
      <w:r w:rsidR="00FD1BDD">
        <w:t>,0</w:t>
      </w:r>
      <w:r>
        <w:t xml:space="preserve"> млн. лв. са приходи (основно) от вноски </w:t>
      </w:r>
      <w:r>
        <w:rPr>
          <w:lang w:eastAsia="en-US"/>
        </w:rPr>
        <w:t>в размер на 5 %, които ежемесечно се правят: от производителите на електрическа енергия от приходите от продадената електрическа енергия и от търговците, които внасят електрическа енергия от приходите от внесената и продадена на пазара в страната електрическа енергия;</w:t>
      </w:r>
    </w:p>
    <w:p w:rsidR="00F05C21" w:rsidRDefault="00F05C21" w:rsidP="00781B85">
      <w:pPr>
        <w:numPr>
          <w:ilvl w:val="0"/>
          <w:numId w:val="66"/>
        </w:numPr>
        <w:ind w:left="1134" w:hanging="425"/>
        <w:jc w:val="both"/>
        <w:rPr>
          <w:lang w:eastAsia="en-US"/>
        </w:rPr>
      </w:pPr>
      <w:r>
        <w:rPr>
          <w:lang w:eastAsia="en-US"/>
        </w:rPr>
        <w:t>139,2 млн. лв. са - приходи, получени от търговете за продажба на квоти за емисии на парникови газове по чл. 57, ал. 1 от Закона за ограничаване изменението на климата.</w:t>
      </w:r>
    </w:p>
    <w:p w:rsidR="00F05C21" w:rsidRDefault="00F05C21" w:rsidP="00F05C21">
      <w:pPr>
        <w:ind w:firstLine="743"/>
        <w:jc w:val="both"/>
      </w:pPr>
      <w:r>
        <w:t>Със събраните приходи са платени средства за покриване на разходите, извършени от обществения доставчик общо в размер на 183,2 млн. лв.</w:t>
      </w:r>
    </w:p>
    <w:p w:rsidR="00F05C21" w:rsidRPr="001F6421" w:rsidRDefault="00F05C21" w:rsidP="00F05C21">
      <w:pPr>
        <w:ind w:firstLine="720"/>
        <w:jc w:val="both"/>
        <w:rPr>
          <w:color w:val="0070C0"/>
        </w:rPr>
      </w:pPr>
      <w:r>
        <w:t xml:space="preserve">Към края на отчетния период Фондът все още е в процес на конструиране, но независимо от това, на името на Министерство на енергетиката е открита сметка за чужди </w:t>
      </w:r>
      <w:r>
        <w:lastRenderedPageBreak/>
        <w:t>средства за обслужване на средствата от ежемесечните вноски от производители на електрическа енергия и от търговците, които внасят електрическа енергия на пазара на страната по реда на чл. 36 е от ЗЕ.</w:t>
      </w:r>
    </w:p>
    <w:p w:rsidR="00666D9F" w:rsidRPr="001F6421" w:rsidRDefault="00666D9F" w:rsidP="00B01E3C">
      <w:pPr>
        <w:pStyle w:val="Heading3"/>
        <w:rPr>
          <w:color w:val="0070C0"/>
          <w:sz w:val="8"/>
          <w:szCs w:val="8"/>
        </w:rPr>
      </w:pPr>
      <w:r w:rsidRPr="001F6421">
        <w:rPr>
          <w:color w:val="0070C0"/>
          <w:szCs w:val="28"/>
        </w:rPr>
        <w:br w:type="page"/>
      </w:r>
    </w:p>
    <w:p w:rsidR="00666D9F" w:rsidRPr="003C3AB3" w:rsidRDefault="00666D9F" w:rsidP="009C2A71">
      <w:pPr>
        <w:pStyle w:val="Heading1"/>
        <w:rPr>
          <w:sz w:val="28"/>
          <w:szCs w:val="28"/>
        </w:rPr>
      </w:pPr>
      <w:bookmarkStart w:id="410" w:name="_Toc324863459"/>
      <w:bookmarkStart w:id="411" w:name="_Toc462146161"/>
      <w:r w:rsidRPr="003C3AB3">
        <w:rPr>
          <w:sz w:val="28"/>
          <w:szCs w:val="28"/>
        </w:rPr>
        <w:lastRenderedPageBreak/>
        <w:t>ЗАКЛЮЧЕНИЕ</w:t>
      </w:r>
      <w:bookmarkEnd w:id="410"/>
      <w:bookmarkEnd w:id="411"/>
    </w:p>
    <w:p w:rsidR="00666D9F" w:rsidRPr="001F6421" w:rsidRDefault="00666D9F" w:rsidP="009C2A71">
      <w:pPr>
        <w:ind w:firstLine="720"/>
        <w:jc w:val="both"/>
        <w:rPr>
          <w:color w:val="0070C0"/>
          <w:sz w:val="16"/>
          <w:szCs w:val="16"/>
        </w:rPr>
      </w:pPr>
    </w:p>
    <w:p w:rsidR="003C3AB3" w:rsidRDefault="003C3AB3" w:rsidP="003C3AB3">
      <w:pPr>
        <w:ind w:firstLine="629"/>
        <w:jc w:val="both"/>
        <w:rPr>
          <w:rFonts w:eastAsia="Batang"/>
          <w:lang w:val="en-US"/>
        </w:rPr>
      </w:pPr>
      <w:r w:rsidRPr="003C3AB3">
        <w:rPr>
          <w:rFonts w:eastAsia="Batang"/>
          <w:color w:val="000000"/>
        </w:rPr>
        <w:t>Годината премина под знака на значително подобрение в параметрите по изпълнението на приходите спрямо предходните години.</w:t>
      </w:r>
      <w:r>
        <w:rPr>
          <w:rFonts w:eastAsia="Batang"/>
        </w:rPr>
        <w:t xml:space="preserve"> Положителните тенденции в приходната част на бюджета се проявиха още от самото начало на годината, като през следващите месеци те бяха затвърдени и в годишен план постъпленията по консолидираната фискална програма превишават плана за годината. </w:t>
      </w:r>
      <w:r>
        <w:rPr>
          <w:rFonts w:eastAsia="Calibri"/>
        </w:rPr>
        <w:t xml:space="preserve">Съпоставено с 2014 г. </w:t>
      </w:r>
      <w:r>
        <w:rPr>
          <w:rFonts w:eastAsia="Calibri"/>
          <w:b/>
        </w:rPr>
        <w:t>приходите и помощите по КФП нарастват с 2,8 млрд. лв. (9,5</w:t>
      </w:r>
      <w:r w:rsidR="00C71132">
        <w:rPr>
          <w:rFonts w:eastAsia="Calibri"/>
          <w:b/>
        </w:rPr>
        <w:t xml:space="preserve"> </w:t>
      </w:r>
      <w:r>
        <w:rPr>
          <w:rFonts w:eastAsia="Calibri"/>
          <w:b/>
        </w:rPr>
        <w:t>%),</w:t>
      </w:r>
      <w:r>
        <w:rPr>
          <w:rFonts w:eastAsia="Calibri"/>
        </w:rPr>
        <w:t xml:space="preserve"> като данъчните приходи (вкл. приходите от социално и здравноосигурителни вноски) нарастват с 1,8 млрд. лв. (7,9</w:t>
      </w:r>
      <w:r w:rsidR="00C71132">
        <w:rPr>
          <w:rFonts w:eastAsia="Calibri"/>
        </w:rPr>
        <w:t xml:space="preserve"> </w:t>
      </w:r>
      <w:r>
        <w:rPr>
          <w:rFonts w:eastAsia="Calibri"/>
        </w:rPr>
        <w:t>%), неданъчните приходи с 0,2</w:t>
      </w:r>
      <w:r w:rsidR="002B73EE">
        <w:rPr>
          <w:rFonts w:eastAsia="Calibri"/>
        </w:rPr>
        <w:t>4</w:t>
      </w:r>
      <w:r>
        <w:rPr>
          <w:rFonts w:eastAsia="Calibri"/>
        </w:rPr>
        <w:t xml:space="preserve"> млрд. лв. (</w:t>
      </w:r>
      <w:r w:rsidR="00564694">
        <w:rPr>
          <w:rFonts w:eastAsia="Calibri"/>
          <w:lang w:val="en-US"/>
        </w:rPr>
        <w:t>6</w:t>
      </w:r>
      <w:r>
        <w:rPr>
          <w:rFonts w:eastAsia="Calibri"/>
        </w:rPr>
        <w:t>,</w:t>
      </w:r>
      <w:r w:rsidR="00564694">
        <w:rPr>
          <w:rFonts w:eastAsia="Calibri"/>
          <w:lang w:val="en-US"/>
        </w:rPr>
        <w:t>8</w:t>
      </w:r>
      <w:r w:rsidR="00C71132">
        <w:rPr>
          <w:rFonts w:eastAsia="Calibri"/>
        </w:rPr>
        <w:t xml:space="preserve"> </w:t>
      </w:r>
      <w:r>
        <w:rPr>
          <w:rFonts w:eastAsia="Calibri"/>
        </w:rPr>
        <w:t xml:space="preserve">%), а постъпленията от </w:t>
      </w:r>
      <w:r>
        <w:rPr>
          <w:rFonts w:eastAsia="Calibri"/>
          <w:b/>
        </w:rPr>
        <w:t>помощи</w:t>
      </w:r>
      <w:r>
        <w:rPr>
          <w:rFonts w:eastAsia="Calibri"/>
        </w:rPr>
        <w:t xml:space="preserve"> (основно постъпления от ЕС) – с 0,7 млрд. лв. (24,</w:t>
      </w:r>
      <w:r w:rsidR="002B73EE">
        <w:rPr>
          <w:rFonts w:eastAsia="Calibri"/>
        </w:rPr>
        <w:t>9</w:t>
      </w:r>
      <w:r>
        <w:rPr>
          <w:rFonts w:eastAsia="Calibri"/>
        </w:rPr>
        <w:t xml:space="preserve"> процента). </w:t>
      </w:r>
      <w:r>
        <w:t>Отнесено към БВП приходите и помощите по консолидираната фискална програма нарастват от 35,2 % от БВП за 2014 г. на 37,</w:t>
      </w:r>
      <w:r w:rsidR="002B73EE">
        <w:t>3</w:t>
      </w:r>
      <w:r w:rsidR="00C71132">
        <w:t xml:space="preserve"> </w:t>
      </w:r>
      <w:r>
        <w:t>% от БВП за 2015 г., което представлява увеличение с 2,</w:t>
      </w:r>
      <w:r w:rsidR="002B73EE">
        <w:t>1</w:t>
      </w:r>
      <w:r>
        <w:t xml:space="preserve"> процентни пункта.</w:t>
      </w:r>
      <w:r>
        <w:rPr>
          <w:rFonts w:eastAsia="Batang"/>
        </w:rPr>
        <w:t xml:space="preserve"> </w:t>
      </w:r>
      <w:r w:rsidRPr="00750730">
        <w:rPr>
          <w:rFonts w:eastAsia="Batang"/>
        </w:rPr>
        <w:t>Факторите, допринесли за</w:t>
      </w:r>
      <w:r>
        <w:rPr>
          <w:rFonts w:eastAsia="Batang"/>
        </w:rPr>
        <w:t xml:space="preserve"> подобрението в приходната част</w:t>
      </w:r>
      <w:r w:rsidRPr="00750730">
        <w:rPr>
          <w:rFonts w:eastAsia="Batang"/>
        </w:rPr>
        <w:t xml:space="preserve">, са свързани основно с </w:t>
      </w:r>
      <w:r>
        <w:rPr>
          <w:rFonts w:eastAsia="Batang"/>
        </w:rPr>
        <w:t>ускоряването на икономическия растеж през 2015 г</w:t>
      </w:r>
      <w:r w:rsidRPr="00750730">
        <w:rPr>
          <w:rFonts w:eastAsia="Batang"/>
        </w:rPr>
        <w:t xml:space="preserve">., а също така и предприетите мерки от приходните администрации </w:t>
      </w:r>
      <w:r w:rsidR="00087F4B">
        <w:rPr>
          <w:rFonts w:eastAsia="Batang"/>
        </w:rPr>
        <w:t>за</w:t>
      </w:r>
      <w:r w:rsidRPr="00750730">
        <w:rPr>
          <w:rFonts w:eastAsia="Batang"/>
        </w:rPr>
        <w:t xml:space="preserve"> повишаване събираемостта на приходите, борбата с контрабандата и избягване от данъчно облагане, включително и съвместните действия от страна на НАП и Агенция „Митници“ с Министерството на вътрешните работи, ДАНС и прокуратурата.</w:t>
      </w:r>
      <w:r>
        <w:rPr>
          <w:rFonts w:eastAsia="Batang"/>
        </w:rPr>
        <w:t xml:space="preserve"> Ф</w:t>
      </w:r>
      <w:r w:rsidRPr="00750730">
        <w:rPr>
          <w:rFonts w:eastAsia="Batang"/>
        </w:rPr>
        <w:t xml:space="preserve">искалните ефекти от подобрението при повечето макроикономически индикатори спрямо заложеното </w:t>
      </w:r>
      <w:r>
        <w:rPr>
          <w:rFonts w:eastAsia="Batang"/>
        </w:rPr>
        <w:t>в макрорамката на ЗДБРБ за 2015 </w:t>
      </w:r>
      <w:r w:rsidRPr="00750730">
        <w:rPr>
          <w:rFonts w:eastAsia="Batang"/>
        </w:rPr>
        <w:t>г</w:t>
      </w:r>
      <w:r>
        <w:rPr>
          <w:rFonts w:eastAsia="Batang"/>
        </w:rPr>
        <w:t>. са свързани основно с</w:t>
      </w:r>
      <w:r w:rsidRPr="00750730">
        <w:rPr>
          <w:rFonts w:eastAsia="Batang"/>
        </w:rPr>
        <w:t xml:space="preserve"> </w:t>
      </w:r>
      <w:r>
        <w:rPr>
          <w:rFonts w:eastAsia="Batang"/>
        </w:rPr>
        <w:t>п</w:t>
      </w:r>
      <w:r w:rsidRPr="00750730">
        <w:rPr>
          <w:rFonts w:eastAsia="Batang"/>
        </w:rPr>
        <w:t>о-благоприятната от очакваното външна среда и по-високото вътрешно търсене.</w:t>
      </w:r>
    </w:p>
    <w:p w:rsidR="003C3AB3" w:rsidRDefault="003C3AB3" w:rsidP="003C3AB3">
      <w:pPr>
        <w:ind w:firstLine="629"/>
        <w:jc w:val="both"/>
        <w:rPr>
          <w:rFonts w:eastAsia="Batang"/>
          <w:lang w:val="en-US"/>
        </w:rPr>
      </w:pPr>
      <w:r>
        <w:t xml:space="preserve">От страна на разходите основен приоритет бе </w:t>
      </w:r>
      <w:r>
        <w:rPr>
          <w:rFonts w:eastAsia="Batang"/>
        </w:rPr>
        <w:t>успешното приключване на проектите по оперативните програми, Програмата за развитие на селските райони, Програмата за развитие на сектор „Рибарство“ и други програми на Европейския съюз за програмния период 2007-2013 г. Управляващите органи и бенефициентите по отделните програми положиха огромни усилия за изпълнение в регламентираните срокове на договорените проекти и минимизиране на загубата на европейско финансиране. Предвид предприетите действия в хода на бюджетното изпълнение значително нараснаха очакванията за по-висок размер на изпълнение на проектите по програмите и фондовете на ЕС,</w:t>
      </w:r>
      <w:r w:rsidRPr="00750730">
        <w:rPr>
          <w:rFonts w:eastAsia="Batang"/>
        </w:rPr>
        <w:t xml:space="preserve"> като съответно очакваните разходи по европейските програми и фондове значителн</w:t>
      </w:r>
      <w:r>
        <w:rPr>
          <w:rFonts w:eastAsia="Batang"/>
        </w:rPr>
        <w:t>о надвишаваха</w:t>
      </w:r>
      <w:r w:rsidRPr="00750730">
        <w:rPr>
          <w:rFonts w:eastAsia="Batang"/>
        </w:rPr>
        <w:t xml:space="preserve"> планираните в разчетите към ЗДБРБ за 2015 г.</w:t>
      </w:r>
    </w:p>
    <w:p w:rsidR="003C3AB3" w:rsidRDefault="003C3AB3" w:rsidP="003C3AB3">
      <w:pPr>
        <w:ind w:firstLine="629"/>
        <w:jc w:val="both"/>
        <w:rPr>
          <w:lang w:val="en-US" w:eastAsia="zh-CN"/>
        </w:rPr>
      </w:pPr>
      <w:r w:rsidRPr="006914EE">
        <w:rPr>
          <w:color w:val="000000"/>
        </w:rPr>
        <w:t>Друго предизвикателство, което се очерта в хода на бюджетното изпълнение</w:t>
      </w:r>
      <w:r>
        <w:rPr>
          <w:color w:val="000000"/>
        </w:rPr>
        <w:t>,</w:t>
      </w:r>
      <w:r w:rsidRPr="006914EE">
        <w:rPr>
          <w:color w:val="000000"/>
        </w:rPr>
        <w:t xml:space="preserve"> </w:t>
      </w:r>
      <w:r>
        <w:rPr>
          <w:color w:val="000000"/>
        </w:rPr>
        <w:t>бе</w:t>
      </w:r>
      <w:r w:rsidRPr="006914EE">
        <w:rPr>
          <w:color w:val="000000"/>
        </w:rPr>
        <w:t xml:space="preserve"> свързано с</w:t>
      </w:r>
      <w:r>
        <w:rPr>
          <w:lang w:eastAsia="zh-CN"/>
        </w:rPr>
        <w:t xml:space="preserve"> невъзможността за реализиране на</w:t>
      </w:r>
      <w:r w:rsidRPr="00750730">
        <w:rPr>
          <w:lang w:eastAsia="zh-CN"/>
        </w:rPr>
        <w:t xml:space="preserve"> рязко свиване на разходите за персонал</w:t>
      </w:r>
      <w:r>
        <w:rPr>
          <w:lang w:eastAsia="zh-CN"/>
        </w:rPr>
        <w:t xml:space="preserve"> в някои сектори, в т.ч. и възникналите в резултат на оптимизацията на персонала непредвидени разходи за обезщетения</w:t>
      </w:r>
      <w:r w:rsidRPr="00750730">
        <w:rPr>
          <w:lang w:eastAsia="zh-CN"/>
        </w:rPr>
        <w:t xml:space="preserve"> и редуциране на неефективни разходи в секторите, предоставящи публични услуги.</w:t>
      </w:r>
    </w:p>
    <w:p w:rsidR="003C3AB3" w:rsidRPr="00BB46C3" w:rsidRDefault="003C3AB3" w:rsidP="003C3AB3">
      <w:pPr>
        <w:ind w:firstLine="629"/>
        <w:jc w:val="both"/>
        <w:rPr>
          <w:color w:val="0070C0"/>
          <w:lang w:val="en-US"/>
        </w:rPr>
      </w:pPr>
      <w:r>
        <w:rPr>
          <w:color w:val="000000"/>
        </w:rPr>
        <w:t>За да отговори на очерталите се предизвикателства</w:t>
      </w:r>
      <w:r w:rsidRPr="003B6B6A">
        <w:rPr>
          <w:color w:val="000000"/>
        </w:rPr>
        <w:t xml:space="preserve"> и на база на тенденциите в приходите и разходите към деветмесечието Министерството на финансите, заедно с проекта на ЗДБРБ за 2016 г. и Актуализираната средносрочна бюджетна прогноза за периода 2016-2018 г., предложи промени в рамката по държавния бюджет и по КФП</w:t>
      </w:r>
      <w:r>
        <w:rPr>
          <w:color w:val="000000"/>
        </w:rPr>
        <w:t xml:space="preserve"> за 2015 година</w:t>
      </w:r>
      <w:r w:rsidRPr="003B6B6A">
        <w:rPr>
          <w:color w:val="000000"/>
        </w:rPr>
        <w:t xml:space="preserve">. Отчетените параметри по изпълнението на бюджета </w:t>
      </w:r>
      <w:r>
        <w:rPr>
          <w:color w:val="000000"/>
        </w:rPr>
        <w:t xml:space="preserve">към 31.12.2015 г. </w:t>
      </w:r>
      <w:r w:rsidRPr="003B6B6A">
        <w:rPr>
          <w:color w:val="000000"/>
        </w:rPr>
        <w:t xml:space="preserve">са близки до </w:t>
      </w:r>
      <w:r>
        <w:rPr>
          <w:color w:val="000000"/>
        </w:rPr>
        <w:t>заложеното с актуализираната програма за годината</w:t>
      </w:r>
      <w:r w:rsidRPr="003B6B6A">
        <w:rPr>
          <w:color w:val="000000"/>
        </w:rPr>
        <w:t xml:space="preserve">, като бюджетната позиция на касова </w:t>
      </w:r>
      <w:r>
        <w:rPr>
          <w:color w:val="000000"/>
        </w:rPr>
        <w:t>основа отчита по-голямо от планираното подобрение, свързано с преизпълнение на разчетите по приходите по КФП</w:t>
      </w:r>
      <w:r w:rsidRPr="003B6B6A">
        <w:rPr>
          <w:color w:val="000000"/>
        </w:rPr>
        <w:t>.</w:t>
      </w:r>
    </w:p>
    <w:p w:rsidR="003C3AB3" w:rsidRPr="003C3AB3" w:rsidRDefault="003C3AB3" w:rsidP="003C3AB3">
      <w:pPr>
        <w:ind w:firstLine="629"/>
        <w:jc w:val="both"/>
        <w:rPr>
          <w:iCs/>
          <w:color w:val="000000"/>
        </w:rPr>
      </w:pPr>
      <w:r w:rsidRPr="003C3AB3">
        <w:rPr>
          <w:color w:val="000000"/>
        </w:rPr>
        <w:t>Дефицитът по консолидираната фискална програма на касова основа за 201</w:t>
      </w:r>
      <w:r w:rsidRPr="003C3AB3">
        <w:rPr>
          <w:color w:val="000000"/>
          <w:lang w:val="en-US"/>
        </w:rPr>
        <w:t>5</w:t>
      </w:r>
      <w:r w:rsidRPr="003C3AB3">
        <w:rPr>
          <w:color w:val="000000"/>
        </w:rPr>
        <w:t xml:space="preserve"> г. е в размер на </w:t>
      </w:r>
      <w:r w:rsidRPr="003C3AB3">
        <w:rPr>
          <w:color w:val="000000"/>
          <w:lang w:val="en-US"/>
        </w:rPr>
        <w:t>2,9</w:t>
      </w:r>
      <w:r w:rsidRPr="003C3AB3">
        <w:rPr>
          <w:color w:val="000000"/>
        </w:rPr>
        <w:t xml:space="preserve"> % от БВП, а оценен по методологията на ЕСС 2010 в априлските Нотификационни таблици дефицитът на България е в размер на </w:t>
      </w:r>
      <w:r w:rsidRPr="003C3AB3">
        <w:rPr>
          <w:color w:val="000000"/>
          <w:lang w:val="en-US"/>
        </w:rPr>
        <w:t>2,1</w:t>
      </w:r>
      <w:r w:rsidRPr="003C3AB3">
        <w:rPr>
          <w:color w:val="000000"/>
        </w:rPr>
        <w:t xml:space="preserve"> % от БВП. </w:t>
      </w:r>
      <w:r w:rsidRPr="003C3AB3">
        <w:rPr>
          <w:iCs/>
          <w:color w:val="000000"/>
        </w:rPr>
        <w:t>Накратко основните бюджетни показатели и макроикономически параметри за 201</w:t>
      </w:r>
      <w:r w:rsidRPr="003C3AB3">
        <w:rPr>
          <w:iCs/>
          <w:color w:val="000000"/>
          <w:lang w:val="en-US"/>
        </w:rPr>
        <w:t>5</w:t>
      </w:r>
      <w:r w:rsidRPr="003C3AB3">
        <w:rPr>
          <w:iCs/>
          <w:color w:val="000000"/>
        </w:rPr>
        <w:t xml:space="preserve"> г. са както следва: </w:t>
      </w:r>
    </w:p>
    <w:p w:rsidR="003C3AB3" w:rsidRPr="003C3AB3" w:rsidRDefault="003C3AB3" w:rsidP="003C3AB3">
      <w:pPr>
        <w:numPr>
          <w:ilvl w:val="0"/>
          <w:numId w:val="8"/>
        </w:numPr>
        <w:tabs>
          <w:tab w:val="clear" w:pos="2160"/>
          <w:tab w:val="num" w:pos="360"/>
        </w:tabs>
        <w:ind w:left="0" w:firstLine="426"/>
        <w:jc w:val="both"/>
        <w:rPr>
          <w:iCs/>
          <w:color w:val="000000"/>
        </w:rPr>
      </w:pPr>
      <w:r w:rsidRPr="003C3AB3">
        <w:rPr>
          <w:color w:val="000000"/>
        </w:rPr>
        <w:lastRenderedPageBreak/>
        <w:t>През 201</w:t>
      </w:r>
      <w:r w:rsidRPr="003C3AB3">
        <w:rPr>
          <w:color w:val="000000"/>
          <w:lang w:val="en-US"/>
        </w:rPr>
        <w:t>5</w:t>
      </w:r>
      <w:r w:rsidRPr="003C3AB3">
        <w:rPr>
          <w:color w:val="000000"/>
        </w:rPr>
        <w:t xml:space="preserve"> г. брутният вътрешен продукт на България възлезе на 8</w:t>
      </w:r>
      <w:r w:rsidRPr="003C3AB3">
        <w:rPr>
          <w:color w:val="000000"/>
          <w:lang w:val="en-US"/>
        </w:rPr>
        <w:t>6</w:t>
      </w:r>
      <w:r w:rsidRPr="003C3AB3">
        <w:rPr>
          <w:color w:val="000000"/>
        </w:rPr>
        <w:t> </w:t>
      </w:r>
      <w:r w:rsidRPr="003C3AB3">
        <w:rPr>
          <w:color w:val="000000"/>
          <w:lang w:val="en-US"/>
        </w:rPr>
        <w:t>372</w:t>
      </w:r>
      <w:r w:rsidR="009665C9">
        <w:rPr>
          <w:color w:val="000000"/>
        </w:rPr>
        <w:t>,</w:t>
      </w:r>
      <w:r w:rsidRPr="003C3AB3">
        <w:rPr>
          <w:color w:val="000000"/>
          <w:lang w:val="en-US"/>
        </w:rPr>
        <w:t>6</w:t>
      </w:r>
      <w:r w:rsidRPr="003C3AB3">
        <w:rPr>
          <w:color w:val="000000"/>
        </w:rPr>
        <w:t xml:space="preserve"> млн. лв. Реалният растеж достигна 3 на сто, което е най-високата стойност на показателя от 2008 г. насам. За това допринесоха едновременно външното (2,1 п.п.) и вътрешното търсене (0,9 п.п.). </w:t>
      </w:r>
    </w:p>
    <w:p w:rsidR="003C3AB3" w:rsidRPr="003C3AB3" w:rsidRDefault="003C3AB3" w:rsidP="003C3AB3">
      <w:pPr>
        <w:numPr>
          <w:ilvl w:val="0"/>
          <w:numId w:val="8"/>
        </w:numPr>
        <w:tabs>
          <w:tab w:val="clear" w:pos="2160"/>
          <w:tab w:val="num" w:pos="360"/>
        </w:tabs>
        <w:ind w:left="0" w:firstLine="426"/>
        <w:jc w:val="both"/>
        <w:rPr>
          <w:iCs/>
          <w:color w:val="000000"/>
        </w:rPr>
      </w:pPr>
      <w:r w:rsidRPr="003C3AB3">
        <w:rPr>
          <w:color w:val="000000"/>
        </w:rPr>
        <w:t xml:space="preserve">Започналото съживяване на пазара на труда в края на 2014 г. продължи и през 2015 г. Броят на заетите се повиши с 0,4 % на годишна база, подкрепян в основна степен от страна на индустрията и услугите. </w:t>
      </w:r>
    </w:p>
    <w:p w:rsidR="003C3AB3" w:rsidRPr="003C3AB3" w:rsidRDefault="003C3AB3" w:rsidP="003C3AB3">
      <w:pPr>
        <w:numPr>
          <w:ilvl w:val="0"/>
          <w:numId w:val="8"/>
        </w:numPr>
        <w:tabs>
          <w:tab w:val="clear" w:pos="2160"/>
          <w:tab w:val="num" w:pos="360"/>
        </w:tabs>
        <w:ind w:left="0" w:firstLine="426"/>
        <w:jc w:val="both"/>
        <w:rPr>
          <w:iCs/>
          <w:color w:val="000000"/>
        </w:rPr>
      </w:pPr>
      <w:r w:rsidRPr="003C3AB3">
        <w:rPr>
          <w:iCs/>
          <w:color w:val="000000"/>
        </w:rPr>
        <w:t xml:space="preserve">Преките чуждестранни инвестиции за 2015 г. са в размер на </w:t>
      </w:r>
      <w:r w:rsidRPr="003C3AB3">
        <w:rPr>
          <w:color w:val="000000"/>
        </w:rPr>
        <w:t>3,1 млрд. лв. (3,6 % от БВП) .</w:t>
      </w:r>
    </w:p>
    <w:p w:rsidR="003C3AB3" w:rsidRPr="003C3AB3" w:rsidRDefault="003C3AB3" w:rsidP="003C3AB3">
      <w:pPr>
        <w:numPr>
          <w:ilvl w:val="0"/>
          <w:numId w:val="8"/>
        </w:numPr>
        <w:tabs>
          <w:tab w:val="clear" w:pos="2160"/>
          <w:tab w:val="num" w:pos="360"/>
        </w:tabs>
        <w:ind w:left="0" w:firstLine="426"/>
        <w:jc w:val="both"/>
        <w:rPr>
          <w:iCs/>
          <w:color w:val="000000"/>
        </w:rPr>
      </w:pPr>
      <w:r w:rsidRPr="003C3AB3">
        <w:rPr>
          <w:color w:val="000000"/>
        </w:rPr>
        <w:t>За поредна година салдото по текущата сметка е излишък, като за 2015 г. той възлезе на 609 млн. евро или 1,4</w:t>
      </w:r>
      <w:r w:rsidRPr="003C3AB3">
        <w:rPr>
          <w:color w:val="000000"/>
          <w:lang w:val="en-US"/>
        </w:rPr>
        <w:t xml:space="preserve"> </w:t>
      </w:r>
      <w:r w:rsidRPr="003C3AB3">
        <w:rPr>
          <w:color w:val="000000"/>
        </w:rPr>
        <w:t>% от БВП. Положителните баланси по услуги и вторичен доход напълно компенсираха търговския дефицит и отрицателното салдо по първичен доход.</w:t>
      </w:r>
    </w:p>
    <w:p w:rsidR="003C3AB3" w:rsidRPr="003C3AB3" w:rsidRDefault="003C3AB3" w:rsidP="003C3AB3">
      <w:pPr>
        <w:numPr>
          <w:ilvl w:val="0"/>
          <w:numId w:val="8"/>
        </w:numPr>
        <w:tabs>
          <w:tab w:val="clear" w:pos="2160"/>
          <w:tab w:val="num" w:pos="360"/>
        </w:tabs>
        <w:ind w:left="0" w:firstLine="426"/>
        <w:jc w:val="both"/>
        <w:rPr>
          <w:iCs/>
          <w:color w:val="000000"/>
        </w:rPr>
      </w:pPr>
      <w:r w:rsidRPr="003C3AB3">
        <w:rPr>
          <w:iCs/>
          <w:color w:val="000000"/>
        </w:rPr>
        <w:t xml:space="preserve"> Оценката в априлските Нотификационни таблици за размера на дефицита на сектор „Държавно управление” е 2,1 % от БВП. </w:t>
      </w:r>
    </w:p>
    <w:p w:rsidR="003C3AB3" w:rsidRPr="003C3AB3" w:rsidRDefault="003C3AB3" w:rsidP="003C3AB3">
      <w:pPr>
        <w:numPr>
          <w:ilvl w:val="0"/>
          <w:numId w:val="8"/>
        </w:numPr>
        <w:tabs>
          <w:tab w:val="clear" w:pos="2160"/>
          <w:tab w:val="num" w:pos="360"/>
        </w:tabs>
        <w:ind w:left="0" w:firstLine="426"/>
        <w:jc w:val="both"/>
        <w:rPr>
          <w:iCs/>
          <w:color w:val="000000"/>
        </w:rPr>
      </w:pPr>
      <w:r w:rsidRPr="003C3AB3">
        <w:rPr>
          <w:iCs/>
          <w:color w:val="000000"/>
        </w:rPr>
        <w:t>Дефицитът на касова основа за годината е в размер на 2 48</w:t>
      </w:r>
      <w:r w:rsidR="00564694">
        <w:rPr>
          <w:iCs/>
          <w:color w:val="000000"/>
          <w:lang w:val="en-US"/>
        </w:rPr>
        <w:t>5</w:t>
      </w:r>
      <w:r w:rsidRPr="003C3AB3">
        <w:rPr>
          <w:iCs/>
          <w:color w:val="000000"/>
        </w:rPr>
        <w:t xml:space="preserve">,2 млн. лв., което представлява 2,9 % от БВП. </w:t>
      </w:r>
    </w:p>
    <w:p w:rsidR="003C3AB3" w:rsidRPr="003C3AB3" w:rsidRDefault="003C3AB3" w:rsidP="003C3AB3">
      <w:pPr>
        <w:numPr>
          <w:ilvl w:val="0"/>
          <w:numId w:val="8"/>
        </w:numPr>
        <w:tabs>
          <w:tab w:val="clear" w:pos="2160"/>
          <w:tab w:val="num" w:pos="360"/>
        </w:tabs>
        <w:ind w:left="0" w:firstLine="426"/>
        <w:jc w:val="both"/>
        <w:rPr>
          <w:iCs/>
          <w:color w:val="000000"/>
        </w:rPr>
      </w:pPr>
      <w:r w:rsidRPr="003C3AB3">
        <w:rPr>
          <w:iCs/>
          <w:color w:val="000000"/>
        </w:rPr>
        <w:t>Изпълнението на приходите и помощите по консолидираната фискална програма спрямо актуализираните годишни разчети за 2015 г. е 101,7 %, а по държавния бюджет – 99,2 %.</w:t>
      </w:r>
    </w:p>
    <w:p w:rsidR="003C3AB3" w:rsidRPr="003C3AB3" w:rsidRDefault="003C3AB3" w:rsidP="003C3AB3">
      <w:pPr>
        <w:numPr>
          <w:ilvl w:val="0"/>
          <w:numId w:val="8"/>
        </w:numPr>
        <w:tabs>
          <w:tab w:val="clear" w:pos="2160"/>
          <w:tab w:val="num" w:pos="360"/>
        </w:tabs>
        <w:ind w:left="0" w:firstLine="426"/>
        <w:jc w:val="both"/>
        <w:rPr>
          <w:iCs/>
          <w:color w:val="000000"/>
        </w:rPr>
      </w:pPr>
      <w:r w:rsidRPr="003C3AB3">
        <w:rPr>
          <w:iCs/>
          <w:color w:val="000000"/>
        </w:rPr>
        <w:t>Общите разходи (вкл. вноската на България в общия бюджет на ЕС) по КФП за годината представляват 100,5 % от актуализираните разчети към ЗДБРБ за 2015 г., а по държавния бюджет разходите, трансферите и вноската за бюджета на ЕС представляват 98,1 % от планираните за годината. Превишение на разчетите за разходите има основно при сметките за средства от Европейския съюз, което обуславя по-високия размер на разходите по консолидираната фискална програма.</w:t>
      </w:r>
    </w:p>
    <w:p w:rsidR="003C3AB3" w:rsidRPr="003C3AB3" w:rsidRDefault="003C3AB3" w:rsidP="003C3AB3">
      <w:pPr>
        <w:numPr>
          <w:ilvl w:val="0"/>
          <w:numId w:val="8"/>
        </w:numPr>
        <w:tabs>
          <w:tab w:val="clear" w:pos="2160"/>
          <w:tab w:val="num" w:pos="360"/>
        </w:tabs>
        <w:ind w:left="0" w:firstLine="426"/>
        <w:jc w:val="both"/>
        <w:rPr>
          <w:iCs/>
          <w:color w:val="000000"/>
        </w:rPr>
      </w:pPr>
      <w:r w:rsidRPr="00032A4F">
        <w:rPr>
          <w:bCs/>
        </w:rPr>
        <w:t>Общият размер на касовите постъпления от ЕС (от Структурните и Кохезионния фондове, от</w:t>
      </w:r>
      <w:r w:rsidRPr="00032A4F">
        <w:t xml:space="preserve"> ЕЗФРСР и ЕФР</w:t>
      </w:r>
      <w:r w:rsidRPr="00032A4F">
        <w:rPr>
          <w:bCs/>
        </w:rPr>
        <w:t>, от средства за директни плащания към земеделските производители и плащания по пазарни мерки и др.) за 2015 г. е 5</w:t>
      </w:r>
      <w:r w:rsidR="002B73EE">
        <w:rPr>
          <w:bCs/>
        </w:rPr>
        <w:t> </w:t>
      </w:r>
      <w:r w:rsidRPr="00032A4F">
        <w:rPr>
          <w:bCs/>
        </w:rPr>
        <w:t>16</w:t>
      </w:r>
      <w:r w:rsidR="002B73EE">
        <w:rPr>
          <w:bCs/>
        </w:rPr>
        <w:t>3,7</w:t>
      </w:r>
      <w:r w:rsidRPr="00032A4F">
        <w:rPr>
          <w:bCs/>
        </w:rPr>
        <w:t xml:space="preserve"> млн. лв.</w:t>
      </w:r>
      <w:r w:rsidRPr="00032A4F">
        <w:t xml:space="preserve"> </w:t>
      </w:r>
      <w:r w:rsidRPr="00032A4F">
        <w:rPr>
          <w:bCs/>
        </w:rPr>
        <w:t>Нетните постъпления от ЕС към 31.12.2015 г. (касови постъпления от ЕС, намалени с вноската в общия бюджет на ЕС) са в размер на 4 21</w:t>
      </w:r>
      <w:r w:rsidR="002B73EE">
        <w:rPr>
          <w:bCs/>
        </w:rPr>
        <w:t>7</w:t>
      </w:r>
      <w:r w:rsidRPr="00032A4F">
        <w:rPr>
          <w:bCs/>
        </w:rPr>
        <w:t>,4 млн. лева</w:t>
      </w:r>
      <w:r w:rsidRPr="00032A4F">
        <w:t>.</w:t>
      </w:r>
    </w:p>
    <w:p w:rsidR="003C3AB3" w:rsidRPr="003C3AB3" w:rsidRDefault="003C3AB3" w:rsidP="003C3AB3">
      <w:pPr>
        <w:numPr>
          <w:ilvl w:val="0"/>
          <w:numId w:val="8"/>
        </w:numPr>
        <w:tabs>
          <w:tab w:val="clear" w:pos="2160"/>
          <w:tab w:val="num" w:pos="360"/>
        </w:tabs>
        <w:ind w:left="0" w:firstLine="426"/>
        <w:jc w:val="both"/>
        <w:rPr>
          <w:iCs/>
          <w:color w:val="000000"/>
        </w:rPr>
      </w:pPr>
      <w:r w:rsidRPr="003C3AB3">
        <w:rPr>
          <w:color w:val="000000"/>
        </w:rPr>
        <w:t>Фискалният резерв</w:t>
      </w:r>
      <w:r w:rsidRPr="003C3AB3">
        <w:rPr>
          <w:color w:val="000000"/>
          <w:lang w:val="en-US"/>
        </w:rPr>
        <w:t xml:space="preserve"> </w:t>
      </w:r>
      <w:r w:rsidRPr="003C3AB3">
        <w:rPr>
          <w:color w:val="000000"/>
        </w:rPr>
        <w:t>към 31.12.2015 г.</w:t>
      </w:r>
      <w:r w:rsidRPr="001F6421">
        <w:rPr>
          <w:color w:val="0070C0"/>
        </w:rPr>
        <w:t xml:space="preserve"> </w:t>
      </w:r>
      <w:r w:rsidRPr="00324ABE">
        <w:t>е в размер на</w:t>
      </w:r>
      <w:r w:rsidRPr="00324ABE">
        <w:rPr>
          <w:b/>
        </w:rPr>
        <w:t xml:space="preserve"> </w:t>
      </w:r>
      <w:r w:rsidRPr="00032A4F">
        <w:rPr>
          <w:bCs/>
        </w:rPr>
        <w:t>7,9 млрд. лв</w:t>
      </w:r>
      <w:r w:rsidRPr="00324ABE">
        <w:rPr>
          <w:bCs/>
        </w:rPr>
        <w:t xml:space="preserve">., в т.ч. 6,8 млрд. лв. депозити на фискалния резерв в БНБ и банки и 1,1 млрд. лв. вземания от фондовете на </w:t>
      </w:r>
      <w:r w:rsidRPr="003C3AB3">
        <w:rPr>
          <w:bCs/>
          <w:color w:val="000000"/>
        </w:rPr>
        <w:t xml:space="preserve">Европейския съюз за сертифицирани разходи, аванси и други. Фискалният резерв към края на годината е над определения в чл. 65 на ЗДБРБ за 2015 г. минимален размер от 4,5 млрд. лева. </w:t>
      </w:r>
    </w:p>
    <w:p w:rsidR="00666D9F" w:rsidRPr="001F6421" w:rsidRDefault="00666D9F" w:rsidP="002E1B84">
      <w:pPr>
        <w:ind w:firstLine="629"/>
        <w:jc w:val="both"/>
        <w:rPr>
          <w:color w:val="0070C0"/>
          <w:sz w:val="6"/>
          <w:szCs w:val="6"/>
        </w:rPr>
      </w:pPr>
    </w:p>
    <w:p w:rsidR="00666D9F" w:rsidRPr="001F6421" w:rsidRDefault="00666D9F" w:rsidP="00A07585">
      <w:pPr>
        <w:ind w:firstLine="540"/>
        <w:jc w:val="both"/>
        <w:rPr>
          <w:color w:val="0070C0"/>
          <w:sz w:val="8"/>
          <w:szCs w:val="8"/>
        </w:rPr>
      </w:pPr>
    </w:p>
    <w:p w:rsidR="00666D9F" w:rsidRPr="001F6421" w:rsidRDefault="00666D9F" w:rsidP="00A07585">
      <w:pPr>
        <w:ind w:firstLine="540"/>
        <w:jc w:val="both"/>
        <w:rPr>
          <w:color w:val="0070C0"/>
          <w:sz w:val="8"/>
          <w:szCs w:val="8"/>
        </w:rPr>
      </w:pPr>
    </w:p>
    <w:p w:rsidR="00666D9F" w:rsidRPr="001F6421" w:rsidRDefault="00666D9F" w:rsidP="00A07585">
      <w:pPr>
        <w:ind w:firstLine="540"/>
        <w:jc w:val="both"/>
        <w:rPr>
          <w:color w:val="0070C0"/>
          <w:sz w:val="8"/>
          <w:szCs w:val="8"/>
        </w:rPr>
      </w:pPr>
    </w:p>
    <w:p w:rsidR="00666D9F" w:rsidRPr="001F6421" w:rsidRDefault="00666D9F" w:rsidP="00A07585">
      <w:pPr>
        <w:ind w:firstLine="540"/>
        <w:jc w:val="both"/>
        <w:rPr>
          <w:color w:val="0070C0"/>
          <w:sz w:val="8"/>
          <w:szCs w:val="8"/>
        </w:rPr>
      </w:pPr>
    </w:p>
    <w:p w:rsidR="00666D9F" w:rsidRPr="00A243D8" w:rsidRDefault="00666D9F" w:rsidP="00A07585">
      <w:pPr>
        <w:ind w:left="2520" w:hanging="2520"/>
        <w:jc w:val="both"/>
        <w:rPr>
          <w:b/>
          <w:color w:val="000000" w:themeColor="text1"/>
        </w:rPr>
      </w:pPr>
      <w:r w:rsidRPr="00A243D8">
        <w:rPr>
          <w:b/>
          <w:bCs/>
          <w:color w:val="000000" w:themeColor="text1"/>
          <w:sz w:val="28"/>
          <w:szCs w:val="28"/>
          <w:lang w:eastAsia="en-US"/>
        </w:rPr>
        <w:t>ПРИЛОЖЕНИЯ</w:t>
      </w:r>
      <w:r w:rsidRPr="00A243D8">
        <w:rPr>
          <w:b/>
          <w:color w:val="000000" w:themeColor="text1"/>
        </w:rPr>
        <w:t xml:space="preserve">:  </w:t>
      </w:r>
    </w:p>
    <w:p w:rsidR="00666D9F" w:rsidRPr="00A243D8" w:rsidRDefault="00666D9F" w:rsidP="007D5E67">
      <w:pPr>
        <w:ind w:left="2340" w:hanging="180"/>
        <w:rPr>
          <w:color w:val="000000" w:themeColor="text1"/>
        </w:rPr>
      </w:pPr>
      <w:r w:rsidRPr="00A243D8">
        <w:rPr>
          <w:color w:val="000000" w:themeColor="text1"/>
        </w:rPr>
        <w:t>1.Отчет за изпълнението на държавния бюджет на Република България за 201</w:t>
      </w:r>
      <w:r w:rsidR="00A243D8" w:rsidRPr="00A243D8">
        <w:rPr>
          <w:color w:val="000000" w:themeColor="text1"/>
          <w:lang w:val="en-US"/>
        </w:rPr>
        <w:t>5</w:t>
      </w:r>
      <w:r w:rsidRPr="00A243D8">
        <w:rPr>
          <w:color w:val="000000" w:themeColor="text1"/>
        </w:rPr>
        <w:t xml:space="preserve"> г.</w:t>
      </w:r>
    </w:p>
    <w:p w:rsidR="00666D9F" w:rsidRPr="00A243D8" w:rsidRDefault="00666D9F" w:rsidP="007D5E67">
      <w:pPr>
        <w:ind w:firstLine="2160"/>
        <w:rPr>
          <w:b/>
          <w:color w:val="000000" w:themeColor="text1"/>
        </w:rPr>
      </w:pPr>
      <w:r w:rsidRPr="00A243D8">
        <w:rPr>
          <w:color w:val="000000" w:themeColor="text1"/>
        </w:rPr>
        <w:t>2.Отчет на консолидираната фискална програма за 201</w:t>
      </w:r>
      <w:r w:rsidR="00A243D8" w:rsidRPr="00A243D8">
        <w:rPr>
          <w:color w:val="000000" w:themeColor="text1"/>
          <w:lang w:val="en-US"/>
        </w:rPr>
        <w:t>5</w:t>
      </w:r>
      <w:r w:rsidRPr="00A243D8">
        <w:rPr>
          <w:color w:val="000000" w:themeColor="text1"/>
        </w:rPr>
        <w:t xml:space="preserve"> г.</w:t>
      </w:r>
    </w:p>
    <w:p w:rsidR="001A2E45" w:rsidRPr="001F6421" w:rsidRDefault="001A2E45" w:rsidP="007D5E67">
      <w:pPr>
        <w:ind w:left="2340" w:hanging="180"/>
        <w:rPr>
          <w:color w:val="0070C0"/>
        </w:rPr>
      </w:pPr>
    </w:p>
    <w:p w:rsidR="001A2E45" w:rsidRPr="001F6421" w:rsidRDefault="001A2E45" w:rsidP="007D5E67">
      <w:pPr>
        <w:ind w:left="2340" w:hanging="180"/>
        <w:rPr>
          <w:color w:val="0070C0"/>
        </w:rPr>
      </w:pPr>
    </w:p>
    <w:p w:rsidR="005D386E" w:rsidRPr="001F6421" w:rsidRDefault="005D386E" w:rsidP="005D386E">
      <w:pPr>
        <w:ind w:left="2520" w:right="72" w:hanging="360"/>
        <w:jc w:val="both"/>
        <w:rPr>
          <w:color w:val="0070C0"/>
        </w:rPr>
      </w:pPr>
    </w:p>
    <w:sectPr w:rsidR="005D386E" w:rsidRPr="001F6421" w:rsidSect="003E460E">
      <w:pgSz w:w="11906" w:h="16838"/>
      <w:pgMar w:top="1258" w:right="1106"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2A8A" w:rsidRDefault="00B22A8A">
      <w:r>
        <w:separator/>
      </w:r>
    </w:p>
  </w:endnote>
  <w:endnote w:type="continuationSeparator" w:id="0">
    <w:p w:rsidR="00B22A8A" w:rsidRDefault="00B22A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Futura Bk">
    <w:altName w:val="Century Gothic"/>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DejaVu Sans">
    <w:altName w:val="MS Mincho"/>
    <w:panose1 w:val="00000000000000000000"/>
    <w:charset w:val="80"/>
    <w:family w:val="auto"/>
    <w:notTrueType/>
    <w:pitch w:val="variable"/>
    <w:sig w:usb0="00000001" w:usb1="08070000" w:usb2="00000010" w:usb3="00000000" w:csb0="00020000" w:csb1="00000000"/>
  </w:font>
  <w:font w:name="TimesNewRomanPSMT">
    <w:altName w:val="MS Mincho"/>
    <w:panose1 w:val="00000000000000000000"/>
    <w:charset w:val="80"/>
    <w:family w:val="auto"/>
    <w:notTrueType/>
    <w:pitch w:val="default"/>
    <w:sig w:usb0="00000003" w:usb1="08070000" w:usb2="00000010" w:usb3="00000000" w:csb0="00020001" w:csb1="00000000"/>
  </w:font>
  <w:font w:name="ArialNarrow">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2A8A" w:rsidRDefault="00B22A8A" w:rsidP="00CC2AF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22A8A" w:rsidRDefault="00B22A8A" w:rsidP="00C21101">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2A8A" w:rsidRDefault="00B22A8A" w:rsidP="00CC2AFC">
    <w:pPr>
      <w:pStyle w:val="Footer"/>
      <w:framePr w:wrap="around" w:vAnchor="text" w:hAnchor="margin" w:xAlign="right" w:y="1"/>
      <w:jc w:val="right"/>
      <w:rPr>
        <w:rStyle w:val="PageNumber"/>
      </w:rPr>
    </w:pPr>
    <w:r>
      <w:rPr>
        <w:rStyle w:val="PageNumber"/>
      </w:rPr>
      <w:fldChar w:fldCharType="begin"/>
    </w:r>
    <w:r>
      <w:rPr>
        <w:rStyle w:val="PageNumber"/>
      </w:rPr>
      <w:instrText xml:space="preserve">PAGE  </w:instrText>
    </w:r>
    <w:r>
      <w:rPr>
        <w:rStyle w:val="PageNumber"/>
      </w:rPr>
      <w:fldChar w:fldCharType="separate"/>
    </w:r>
    <w:r w:rsidR="0087145C">
      <w:rPr>
        <w:rStyle w:val="PageNumber"/>
        <w:noProof/>
      </w:rPr>
      <w:t>160</w:t>
    </w:r>
    <w:r>
      <w:rPr>
        <w:rStyle w:val="PageNumber"/>
      </w:rPr>
      <w:fldChar w:fldCharType="end"/>
    </w:r>
  </w:p>
  <w:p w:rsidR="00B22A8A" w:rsidRDefault="00B22A8A" w:rsidP="00CC2AFC">
    <w:pPr>
      <w:pStyle w:val="Footer"/>
      <w:framePr w:wrap="around" w:vAnchor="text" w:hAnchor="margin" w:xAlign="right" w:y="1"/>
      <w:ind w:right="360"/>
      <w:rPr>
        <w:rStyle w:val="PageNumber"/>
      </w:rPr>
    </w:pPr>
  </w:p>
  <w:p w:rsidR="00B22A8A" w:rsidRDefault="00B22A8A" w:rsidP="00797BA4">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2A8A" w:rsidRDefault="00B22A8A">
      <w:r>
        <w:separator/>
      </w:r>
    </w:p>
  </w:footnote>
  <w:footnote w:type="continuationSeparator" w:id="0">
    <w:p w:rsidR="00B22A8A" w:rsidRDefault="00B22A8A">
      <w:r>
        <w:continuationSeparator/>
      </w:r>
    </w:p>
  </w:footnote>
  <w:footnote w:id="1">
    <w:p w:rsidR="00B22A8A" w:rsidRPr="00567B1D" w:rsidRDefault="00B22A8A" w:rsidP="00163C90">
      <w:pPr>
        <w:pStyle w:val="FootnoteText"/>
      </w:pPr>
      <w:r w:rsidRPr="00567B1D">
        <w:rPr>
          <w:rStyle w:val="FootnoteReference"/>
        </w:rPr>
        <w:footnoteRef/>
      </w:r>
      <w:r w:rsidRPr="00567B1D">
        <w:t xml:space="preserve"> Данните в таблицата и прилежащият анализ са актуални към 11.04.2016 г.</w:t>
      </w:r>
    </w:p>
  </w:footnote>
  <w:footnote w:id="2">
    <w:p w:rsidR="00B22A8A" w:rsidRPr="0051270B" w:rsidRDefault="00B22A8A" w:rsidP="00163C90">
      <w:pPr>
        <w:pStyle w:val="FootnoteText"/>
      </w:pPr>
      <w:r w:rsidRPr="0051270B">
        <w:rPr>
          <w:rStyle w:val="FootnoteReference"/>
        </w:rPr>
        <w:footnoteRef/>
      </w:r>
      <w:r w:rsidRPr="0051270B">
        <w:t xml:space="preserve"> </w:t>
      </w:r>
      <w:r w:rsidRPr="0051270B">
        <w:rPr>
          <w:sz w:val="18"/>
          <w:szCs w:val="18"/>
        </w:rPr>
        <w:t>Съгласно данните по ЕСС 2010.</w:t>
      </w:r>
    </w:p>
  </w:footnote>
  <w:footnote w:id="3">
    <w:p w:rsidR="00B22A8A" w:rsidRPr="009455BA" w:rsidRDefault="00B22A8A" w:rsidP="00163C90">
      <w:pPr>
        <w:pStyle w:val="FootnoteText"/>
      </w:pPr>
      <w:r w:rsidRPr="0051270B">
        <w:rPr>
          <w:rStyle w:val="FootnoteReference"/>
        </w:rPr>
        <w:footnoteRef/>
      </w:r>
      <w:r w:rsidRPr="0051270B">
        <w:t xml:space="preserve"> </w:t>
      </w:r>
      <w:r w:rsidRPr="0051270B">
        <w:rPr>
          <w:sz w:val="18"/>
          <w:szCs w:val="18"/>
        </w:rPr>
        <w:t>Динамиката на заетостта е представена съгласно отрасловата класификация по 10 икономически дейности.</w:t>
      </w:r>
    </w:p>
  </w:footnote>
  <w:footnote w:id="4">
    <w:p w:rsidR="00B22A8A" w:rsidRPr="0051270B" w:rsidRDefault="00B22A8A" w:rsidP="00163C90">
      <w:pPr>
        <w:pStyle w:val="FootnoteText"/>
      </w:pPr>
      <w:r w:rsidRPr="0051270B">
        <w:rPr>
          <w:rStyle w:val="FootnoteReference"/>
        </w:rPr>
        <w:footnoteRef/>
      </w:r>
      <w:r w:rsidRPr="0051270B">
        <w:t xml:space="preserve"> </w:t>
      </w:r>
      <w:r w:rsidRPr="0051270B">
        <w:rPr>
          <w:sz w:val="18"/>
          <w:szCs w:val="18"/>
        </w:rPr>
        <w:t>По данни от Наблюдението на работната сила.</w:t>
      </w:r>
    </w:p>
  </w:footnote>
  <w:footnote w:id="5">
    <w:p w:rsidR="00B22A8A" w:rsidRPr="0051270B" w:rsidRDefault="00B22A8A" w:rsidP="00163C90">
      <w:pPr>
        <w:pStyle w:val="FootnoteText"/>
      </w:pPr>
      <w:r w:rsidRPr="0051270B">
        <w:rPr>
          <w:rStyle w:val="FootnoteReference"/>
        </w:rPr>
        <w:footnoteRef/>
      </w:r>
      <w:r w:rsidRPr="0051270B">
        <w:t xml:space="preserve"> БВП по постоянни цени на един зает.</w:t>
      </w:r>
    </w:p>
  </w:footnote>
  <w:footnote w:id="6">
    <w:p w:rsidR="00B22A8A" w:rsidRPr="0051270B" w:rsidRDefault="00B22A8A" w:rsidP="00163C90">
      <w:pPr>
        <w:pStyle w:val="FootnoteText"/>
      </w:pPr>
      <w:r w:rsidRPr="0051270B">
        <w:rPr>
          <w:rStyle w:val="FootnoteReference"/>
        </w:rPr>
        <w:footnoteRef/>
      </w:r>
      <w:r w:rsidRPr="0051270B">
        <w:t xml:space="preserve"> Отношение между компенсации на един нает и БВП на един зает.</w:t>
      </w:r>
    </w:p>
  </w:footnote>
  <w:footnote w:id="7">
    <w:p w:rsidR="00B22A8A" w:rsidRPr="0051270B" w:rsidRDefault="00B22A8A" w:rsidP="00163C90">
      <w:pPr>
        <w:pStyle w:val="FootnoteText"/>
      </w:pPr>
      <w:r w:rsidRPr="0051270B">
        <w:rPr>
          <w:rStyle w:val="FootnoteReference"/>
        </w:rPr>
        <w:footnoteRef/>
      </w:r>
      <w:r w:rsidRPr="0051270B">
        <w:t xml:space="preserve"> По данни от Годишната статистика на заетостта и разходите за труд.</w:t>
      </w:r>
    </w:p>
  </w:footnote>
  <w:footnote w:id="8">
    <w:p w:rsidR="00B22A8A" w:rsidRPr="0051270B" w:rsidRDefault="00B22A8A" w:rsidP="00163C90">
      <w:pPr>
        <w:pStyle w:val="FootnoteText"/>
        <w:rPr>
          <w:lang w:val="ru-RU"/>
        </w:rPr>
      </w:pPr>
      <w:r w:rsidRPr="0051270B">
        <w:rPr>
          <w:rStyle w:val="FootnoteReference"/>
        </w:rPr>
        <w:footnoteRef/>
      </w:r>
      <w:r w:rsidRPr="0051270B">
        <w:t xml:space="preserve"> Дефлирана с ХИПЦ</w:t>
      </w:r>
      <w:r w:rsidRPr="0051270B">
        <w:rPr>
          <w:lang w:val="ru-RU"/>
        </w:rPr>
        <w:t>.</w:t>
      </w:r>
    </w:p>
  </w:footnote>
  <w:footnote w:id="9">
    <w:p w:rsidR="00B22A8A" w:rsidRDefault="00B22A8A">
      <w:pPr>
        <w:pStyle w:val="FootnoteText"/>
      </w:pPr>
      <w:r>
        <w:rPr>
          <w:rStyle w:val="FootnoteReference"/>
        </w:rPr>
        <w:footnoteRef/>
      </w:r>
      <w:r>
        <w:t xml:space="preserve"> Текстът е разработен в съответствие с данните за платежния баланс, изготвен съгласно V-то издание на Ръководството по платежен баланс и международна инвестиционна позиция.</w:t>
      </w:r>
    </w:p>
  </w:footnote>
  <w:footnote w:id="10">
    <w:p w:rsidR="00B22A8A" w:rsidRPr="0051270B" w:rsidRDefault="00B22A8A" w:rsidP="00163C90">
      <w:pPr>
        <w:pStyle w:val="FootnoteText"/>
      </w:pPr>
      <w:r w:rsidRPr="0051270B">
        <w:rPr>
          <w:rStyle w:val="FootnoteReference"/>
        </w:rPr>
        <w:footnoteRef/>
      </w:r>
      <w:r w:rsidRPr="0051270B">
        <w:t xml:space="preserve"> Аналитично представяне на платежния баланс.</w:t>
      </w:r>
    </w:p>
  </w:footnote>
  <w:footnote w:id="11">
    <w:p w:rsidR="00B22A8A" w:rsidRDefault="00B22A8A" w:rsidP="004C1158">
      <w:pPr>
        <w:pStyle w:val="FootnoteText"/>
      </w:pPr>
      <w:r>
        <w:rPr>
          <w:rStyle w:val="FootnoteReference"/>
        </w:rPr>
        <w:footnoteRef/>
      </w:r>
      <w:r>
        <w:t xml:space="preserve"> </w:t>
      </w:r>
      <w:r w:rsidRPr="00330B0F">
        <w:t>Депозитите включени в паричен агрегат М3</w:t>
      </w:r>
      <w:r>
        <w:t>.</w:t>
      </w:r>
    </w:p>
  </w:footnote>
  <w:footnote w:id="12">
    <w:p w:rsidR="00B22A8A" w:rsidRPr="009B0A5B" w:rsidRDefault="00B22A8A" w:rsidP="0029530C">
      <w:pPr>
        <w:pStyle w:val="FootnoteText"/>
      </w:pPr>
      <w:r w:rsidRPr="009B0A5B">
        <w:rPr>
          <w:rStyle w:val="FootnoteReference"/>
        </w:rPr>
        <w:footnoteRef/>
      </w:r>
      <w:r w:rsidRPr="009B0A5B">
        <w:t xml:space="preserve"> Оценка на МВФ (Световен икономически преглед от </w:t>
      </w:r>
      <w:r w:rsidRPr="00E8540D">
        <w:t xml:space="preserve">април </w:t>
      </w:r>
      <w:r w:rsidRPr="009B0A5B">
        <w:t>2016 г.)</w:t>
      </w:r>
    </w:p>
  </w:footnote>
  <w:footnote w:id="13">
    <w:p w:rsidR="00B22A8A" w:rsidRPr="00CF6C76" w:rsidRDefault="00B22A8A" w:rsidP="00E41152">
      <w:pPr>
        <w:pStyle w:val="FootnoteText"/>
        <w:rPr>
          <w:sz w:val="18"/>
          <w:szCs w:val="18"/>
        </w:rPr>
      </w:pPr>
      <w:r w:rsidRPr="00CF6C76">
        <w:rPr>
          <w:rStyle w:val="FootnoteReference"/>
        </w:rPr>
        <w:footnoteRef/>
      </w:r>
      <w:r w:rsidRPr="00CF6C76">
        <w:t xml:space="preserve"> </w:t>
      </w:r>
      <w:r w:rsidRPr="00CF6C76">
        <w:rPr>
          <w:sz w:val="18"/>
          <w:szCs w:val="18"/>
        </w:rPr>
        <w:t xml:space="preserve">Средства от ЕС и национално съфинансиране  </w:t>
      </w:r>
    </w:p>
  </w:footnote>
  <w:footnote w:id="14">
    <w:p w:rsidR="00B22A8A" w:rsidRPr="00E34C3B" w:rsidRDefault="00B22A8A" w:rsidP="00E41152">
      <w:pPr>
        <w:pStyle w:val="FootnoteText"/>
        <w:jc w:val="both"/>
      </w:pPr>
      <w:r w:rsidRPr="00E34C3B">
        <w:rPr>
          <w:rStyle w:val="FootnoteReference"/>
        </w:rPr>
        <w:footnoteRef/>
      </w:r>
      <w:r w:rsidRPr="00E34C3B">
        <w:rPr>
          <w:sz w:val="18"/>
          <w:szCs w:val="18"/>
        </w:rPr>
        <w:t xml:space="preserve">Включват средствата по оперативни програми от Кохезионния и Структурните фондове на ЕС, Европейския земеделски фонд за развитие на селските райони и Европейския фонд за рибарство, както и други програми и проекти, финансирани от фондове и институции на ЕС. </w:t>
      </w:r>
    </w:p>
  </w:footnote>
  <w:footnote w:id="15">
    <w:p w:rsidR="00B22A8A" w:rsidRDefault="00B22A8A" w:rsidP="00272671">
      <w:pPr>
        <w:pStyle w:val="FootnoteText"/>
      </w:pPr>
      <w:r>
        <w:rPr>
          <w:rStyle w:val="FootnoteReference"/>
        </w:rPr>
        <w:footnoteRef/>
      </w:r>
      <w:r>
        <w:t xml:space="preserve"> БВП за 201</w:t>
      </w:r>
      <w:r>
        <w:rPr>
          <w:lang w:val="en-US"/>
        </w:rPr>
        <w:t>5</w:t>
      </w:r>
      <w:r>
        <w:t xml:space="preserve"> г. по текущи цени по предварителни данни на НСИ е в размер на 8</w:t>
      </w:r>
      <w:r>
        <w:rPr>
          <w:lang w:val="en-US"/>
        </w:rPr>
        <w:t>6 373</w:t>
      </w:r>
      <w:r>
        <w:t xml:space="preserve"> млн. лв. </w:t>
      </w:r>
    </w:p>
  </w:footnote>
  <w:footnote w:id="16">
    <w:p w:rsidR="00B22A8A" w:rsidRDefault="00B22A8A" w:rsidP="00272671">
      <w:pPr>
        <w:pStyle w:val="FootnoteText"/>
      </w:pPr>
      <w:r>
        <w:rPr>
          <w:rStyle w:val="FootnoteReference"/>
        </w:rPr>
        <w:footnoteRef/>
      </w:r>
      <w:r>
        <w:t xml:space="preserve"> В съответствие с § 1, т. 41 от Допълнителните разпоредби на Закона за публичните финанси</w:t>
      </w:r>
    </w:p>
  </w:footnote>
  <w:footnote w:id="17">
    <w:p w:rsidR="00B22A8A" w:rsidRDefault="00B22A8A" w:rsidP="00295445">
      <w:pPr>
        <w:pStyle w:val="FootnoteText"/>
        <w:jc w:val="both"/>
      </w:pPr>
      <w:r>
        <w:rPr>
          <w:rStyle w:val="FootnoteReference"/>
        </w:rPr>
        <w:footnoteRef/>
      </w:r>
      <w:r w:rsidRPr="00C667A6">
        <w:rPr>
          <w:sz w:val="18"/>
          <w:szCs w:val="18"/>
        </w:rPr>
        <w:t>Обхваща държавния бюджет и бюджетите на общините, социалноосигурителните фондове, ДВУ, БАН, БНР, БНТ, БТА</w:t>
      </w:r>
      <w:r w:rsidRPr="00C667A6">
        <w:rPr>
          <w:sz w:val="18"/>
          <w:szCs w:val="18"/>
          <w:lang w:val="ru-RU"/>
        </w:rPr>
        <w:t>, бюджетите по чл.13, ал.4 от ЗПФ,</w:t>
      </w:r>
      <w:r w:rsidRPr="00C667A6">
        <w:rPr>
          <w:sz w:val="18"/>
          <w:szCs w:val="18"/>
        </w:rPr>
        <w:t xml:space="preserve">  както и сметките за средства от ЕС и сметките за чужди средства на бюджетните организации.</w:t>
      </w:r>
      <w:r w:rsidRPr="00362312">
        <w:rPr>
          <w:sz w:val="18"/>
          <w:szCs w:val="18"/>
        </w:rPr>
        <w:t xml:space="preserve"> </w:t>
      </w:r>
    </w:p>
  </w:footnote>
  <w:footnote w:id="18">
    <w:p w:rsidR="00B22A8A" w:rsidRDefault="00B22A8A" w:rsidP="005328CD">
      <w:pPr>
        <w:pStyle w:val="FootnoteText"/>
        <w:jc w:val="both"/>
      </w:pPr>
      <w:r w:rsidRPr="00362312">
        <w:rPr>
          <w:rStyle w:val="FootnoteReference"/>
          <w:sz w:val="18"/>
          <w:szCs w:val="18"/>
        </w:rPr>
        <w:footnoteRef/>
      </w:r>
      <w:r w:rsidRPr="00362312">
        <w:rPr>
          <w:sz w:val="18"/>
          <w:szCs w:val="18"/>
        </w:rPr>
        <w:t xml:space="preserve"> Поради закръгление в млн. лв., някои сумарни позиции в таблиците не се изчерпват от съставните им </w:t>
      </w:r>
      <w:r>
        <w:rPr>
          <w:sz w:val="18"/>
          <w:szCs w:val="18"/>
        </w:rPr>
        <w:t>ч</w:t>
      </w:r>
      <w:r w:rsidRPr="00362312">
        <w:rPr>
          <w:sz w:val="18"/>
          <w:szCs w:val="18"/>
        </w:rPr>
        <w:t>исла</w:t>
      </w:r>
      <w:r>
        <w:rPr>
          <w:sz w:val="18"/>
          <w:szCs w:val="18"/>
        </w:rPr>
        <w:t>.</w:t>
      </w:r>
    </w:p>
  </w:footnote>
  <w:footnote w:id="19">
    <w:p w:rsidR="00B22A8A" w:rsidRPr="00362312" w:rsidRDefault="00B22A8A" w:rsidP="005328CD">
      <w:pPr>
        <w:pStyle w:val="FootnoteText"/>
        <w:jc w:val="both"/>
        <w:rPr>
          <w:sz w:val="18"/>
          <w:szCs w:val="18"/>
          <w:lang w:val="ru-RU"/>
        </w:rPr>
      </w:pPr>
      <w:r w:rsidRPr="00362312">
        <w:rPr>
          <w:rStyle w:val="FootnoteReference"/>
          <w:sz w:val="18"/>
          <w:szCs w:val="18"/>
        </w:rPr>
        <w:footnoteRef/>
      </w:r>
      <w:r w:rsidRPr="00362312">
        <w:rPr>
          <w:sz w:val="18"/>
          <w:szCs w:val="18"/>
        </w:rPr>
        <w:t xml:space="preserve"> С оглед съпоставимост с отчетните данни на показателите по КФП по програмата за 20</w:t>
      </w:r>
      <w:r w:rsidRPr="00362312">
        <w:rPr>
          <w:sz w:val="18"/>
          <w:szCs w:val="18"/>
          <w:lang w:val="ru-RU"/>
        </w:rPr>
        <w:t>1</w:t>
      </w:r>
      <w:r>
        <w:rPr>
          <w:sz w:val="18"/>
          <w:szCs w:val="18"/>
          <w:lang w:val="ru-RU"/>
        </w:rPr>
        <w:t>5</w:t>
      </w:r>
      <w:r w:rsidRPr="00362312">
        <w:rPr>
          <w:sz w:val="18"/>
          <w:szCs w:val="18"/>
        </w:rPr>
        <w:t xml:space="preserve"> г.:</w:t>
      </w:r>
    </w:p>
    <w:p w:rsidR="00B22A8A" w:rsidRPr="00362312" w:rsidRDefault="00B22A8A" w:rsidP="005328CD">
      <w:pPr>
        <w:pStyle w:val="FootnoteText"/>
        <w:jc w:val="both"/>
        <w:rPr>
          <w:sz w:val="18"/>
          <w:szCs w:val="18"/>
          <w:lang w:val="ru-RU"/>
        </w:rPr>
      </w:pPr>
      <w:r w:rsidRPr="00362312">
        <w:rPr>
          <w:sz w:val="18"/>
          <w:szCs w:val="18"/>
          <w:lang w:val="en-US"/>
        </w:rPr>
        <w:t>i</w:t>
      </w:r>
      <w:r w:rsidRPr="00362312">
        <w:rPr>
          <w:sz w:val="18"/>
          <w:szCs w:val="18"/>
        </w:rPr>
        <w:t>) разчетите в позицията „Резерв за непредвидени</w:t>
      </w:r>
      <w:r>
        <w:rPr>
          <w:sz w:val="18"/>
          <w:szCs w:val="18"/>
        </w:rPr>
        <w:t xml:space="preserve"> </w:t>
      </w:r>
      <w:r w:rsidRPr="00362312">
        <w:rPr>
          <w:sz w:val="18"/>
          <w:szCs w:val="18"/>
        </w:rPr>
        <w:t>и</w:t>
      </w:r>
      <w:r>
        <w:rPr>
          <w:sz w:val="18"/>
          <w:szCs w:val="18"/>
        </w:rPr>
        <w:t>/или</w:t>
      </w:r>
      <w:r w:rsidRPr="00362312">
        <w:rPr>
          <w:sz w:val="18"/>
          <w:szCs w:val="18"/>
        </w:rPr>
        <w:t xml:space="preserve"> неотложни разходи” са отнесени в съответните разходни позиции според основното предназначение на планираните средства</w:t>
      </w:r>
      <w:r w:rsidRPr="00362312">
        <w:rPr>
          <w:sz w:val="18"/>
          <w:szCs w:val="18"/>
          <w:lang w:val="ru-RU"/>
        </w:rPr>
        <w:t>;</w:t>
      </w:r>
    </w:p>
    <w:p w:rsidR="00B22A8A" w:rsidRDefault="00B22A8A" w:rsidP="005328CD">
      <w:pPr>
        <w:pStyle w:val="FootnoteText"/>
        <w:jc w:val="both"/>
      </w:pPr>
      <w:r w:rsidRPr="00362312">
        <w:rPr>
          <w:sz w:val="18"/>
          <w:szCs w:val="18"/>
          <w:lang w:val="en-US"/>
        </w:rPr>
        <w:t>ii</w:t>
      </w:r>
      <w:r w:rsidRPr="00362312">
        <w:rPr>
          <w:sz w:val="18"/>
          <w:szCs w:val="18"/>
        </w:rPr>
        <w:t>) Нетния</w:t>
      </w:r>
      <w:r>
        <w:rPr>
          <w:sz w:val="18"/>
          <w:szCs w:val="18"/>
        </w:rPr>
        <w:t>т</w:t>
      </w:r>
      <w:r w:rsidRPr="00362312">
        <w:rPr>
          <w:sz w:val="18"/>
          <w:szCs w:val="18"/>
        </w:rPr>
        <w:t xml:space="preserve"> прираст на държавния резерв е отнесен в позицията „Капиталови разходи”.</w:t>
      </w:r>
    </w:p>
  </w:footnote>
  <w:footnote w:id="20">
    <w:p w:rsidR="00B22A8A" w:rsidRDefault="00B22A8A" w:rsidP="00B24ED2">
      <w:pPr>
        <w:pStyle w:val="FootnoteText"/>
        <w:rPr>
          <w:sz w:val="18"/>
          <w:szCs w:val="18"/>
        </w:rPr>
      </w:pPr>
      <w:r>
        <w:rPr>
          <w:rStyle w:val="FootnoteReference"/>
          <w:sz w:val="18"/>
          <w:szCs w:val="18"/>
        </w:rPr>
        <w:footnoteRef/>
      </w:r>
      <w:r>
        <w:rPr>
          <w:sz w:val="18"/>
          <w:szCs w:val="18"/>
        </w:rPr>
        <w:t xml:space="preserve"> Годишни разчети към ЗДБРБ за 2015 г. след промените, приети със ЗДБРБ за 2016 г.,</w:t>
      </w:r>
      <w:r>
        <w:rPr>
          <w:sz w:val="18"/>
          <w:szCs w:val="18"/>
          <w:lang w:val="en-US"/>
        </w:rPr>
        <w:t xml:space="preserve"> </w:t>
      </w:r>
      <w:r>
        <w:rPr>
          <w:sz w:val="18"/>
          <w:szCs w:val="18"/>
        </w:rPr>
        <w:t>Обн. ДВ, бр. 9</w:t>
      </w:r>
      <w:r>
        <w:rPr>
          <w:sz w:val="18"/>
          <w:szCs w:val="18"/>
          <w:lang w:val="en-US"/>
        </w:rPr>
        <w:t>6</w:t>
      </w:r>
      <w:r>
        <w:rPr>
          <w:sz w:val="18"/>
          <w:szCs w:val="18"/>
        </w:rPr>
        <w:t>/</w:t>
      </w:r>
      <w:r>
        <w:rPr>
          <w:sz w:val="18"/>
          <w:szCs w:val="18"/>
          <w:lang w:val="en-US"/>
        </w:rPr>
        <w:t>09</w:t>
      </w:r>
      <w:r>
        <w:rPr>
          <w:sz w:val="18"/>
          <w:szCs w:val="18"/>
        </w:rPr>
        <w:t>.1</w:t>
      </w:r>
      <w:r>
        <w:rPr>
          <w:sz w:val="18"/>
          <w:szCs w:val="18"/>
          <w:lang w:val="en-US"/>
        </w:rPr>
        <w:t>2</w:t>
      </w:r>
      <w:r>
        <w:rPr>
          <w:sz w:val="18"/>
          <w:szCs w:val="18"/>
        </w:rPr>
        <w:t>.201</w:t>
      </w:r>
      <w:r>
        <w:rPr>
          <w:sz w:val="18"/>
          <w:szCs w:val="18"/>
          <w:lang w:val="en-US"/>
        </w:rPr>
        <w:t>5</w:t>
      </w:r>
      <w:r>
        <w:rPr>
          <w:sz w:val="18"/>
          <w:szCs w:val="18"/>
        </w:rPr>
        <w:t xml:space="preserve"> г.</w:t>
      </w:r>
    </w:p>
  </w:footnote>
  <w:footnote w:id="21">
    <w:p w:rsidR="00B22A8A" w:rsidRDefault="00B22A8A" w:rsidP="00FF13FA">
      <w:pPr>
        <w:pStyle w:val="FootnoteText"/>
        <w:jc w:val="both"/>
      </w:pPr>
      <w:r>
        <w:rPr>
          <w:rStyle w:val="FootnoteReference"/>
          <w:sz w:val="18"/>
          <w:szCs w:val="18"/>
        </w:rPr>
        <w:footnoteRef/>
      </w:r>
      <w:r>
        <w:rPr>
          <w:sz w:val="18"/>
          <w:szCs w:val="18"/>
        </w:rPr>
        <w:t xml:space="preserve"> В разходите по функции не е включена Вноската на Република България в общия бюджет на ЕС.</w:t>
      </w:r>
    </w:p>
  </w:footnote>
  <w:footnote w:id="22">
    <w:p w:rsidR="00B22A8A" w:rsidRDefault="00B22A8A" w:rsidP="00FF13FA">
      <w:pPr>
        <w:rPr>
          <w:sz w:val="2"/>
          <w:szCs w:val="2"/>
        </w:rPr>
      </w:pPr>
    </w:p>
  </w:footnote>
  <w:footnote w:id="23">
    <w:p w:rsidR="00B22A8A" w:rsidRDefault="00B22A8A" w:rsidP="00FF13FA">
      <w:pPr>
        <w:pStyle w:val="FootnoteText"/>
        <w:jc w:val="both"/>
        <w:rPr>
          <w:sz w:val="18"/>
          <w:szCs w:val="18"/>
        </w:rPr>
      </w:pPr>
      <w:r>
        <w:rPr>
          <w:rStyle w:val="FootnoteReference"/>
          <w:sz w:val="18"/>
          <w:szCs w:val="18"/>
        </w:rPr>
        <w:footnoteRef/>
      </w:r>
      <w:r>
        <w:rPr>
          <w:sz w:val="18"/>
          <w:szCs w:val="18"/>
        </w:rPr>
        <w:t xml:space="preserve"> С оглед постигането на съпоставимост на данните, в разчетите към ЗДБРБ за 20</w:t>
      </w:r>
      <w:r>
        <w:rPr>
          <w:sz w:val="18"/>
          <w:szCs w:val="18"/>
          <w:lang w:val="ru-RU"/>
        </w:rPr>
        <w:t>1</w:t>
      </w:r>
      <w:r>
        <w:rPr>
          <w:sz w:val="18"/>
          <w:szCs w:val="18"/>
          <w:lang w:val="en-US"/>
        </w:rPr>
        <w:t>5</w:t>
      </w:r>
      <w:r>
        <w:rPr>
          <w:sz w:val="18"/>
          <w:szCs w:val="18"/>
        </w:rPr>
        <w:t xml:space="preserve"> г.:</w:t>
      </w:r>
    </w:p>
    <w:p w:rsidR="00B22A8A" w:rsidRDefault="00B22A8A" w:rsidP="00FF13FA">
      <w:pPr>
        <w:pStyle w:val="FootnoteText"/>
        <w:jc w:val="both"/>
        <w:rPr>
          <w:sz w:val="18"/>
          <w:szCs w:val="18"/>
        </w:rPr>
      </w:pPr>
      <w:r>
        <w:rPr>
          <w:sz w:val="18"/>
          <w:szCs w:val="18"/>
        </w:rPr>
        <w:t xml:space="preserve">- резервът за структурна реформа е прекласифициран от </w:t>
      </w:r>
      <w:r>
        <w:rPr>
          <w:sz w:val="18"/>
          <w:szCs w:val="18"/>
          <w:lang w:val="en-US"/>
        </w:rPr>
        <w:t>IX</w:t>
      </w:r>
      <w:r>
        <w:rPr>
          <w:sz w:val="18"/>
          <w:szCs w:val="18"/>
        </w:rPr>
        <w:t>-та функция по съответната функция според основното предназначение на планираните средства;</w:t>
      </w:r>
    </w:p>
    <w:p w:rsidR="00B22A8A" w:rsidRDefault="00B22A8A" w:rsidP="00FF13FA">
      <w:pPr>
        <w:pStyle w:val="FootnoteText"/>
        <w:jc w:val="both"/>
      </w:pPr>
      <w:r>
        <w:rPr>
          <w:sz w:val="18"/>
          <w:szCs w:val="18"/>
        </w:rPr>
        <w:t xml:space="preserve">- резервът за преодоляване и ликвидиране на последствията от стихийни бедствия и аварии е прекласифициран от </w:t>
      </w:r>
      <w:r>
        <w:rPr>
          <w:sz w:val="18"/>
          <w:szCs w:val="18"/>
          <w:lang w:val="en-US"/>
        </w:rPr>
        <w:t>IX</w:t>
      </w:r>
      <w:r>
        <w:rPr>
          <w:sz w:val="18"/>
          <w:szCs w:val="18"/>
        </w:rPr>
        <w:t xml:space="preserve">-та функция във </w:t>
      </w:r>
      <w:r>
        <w:rPr>
          <w:sz w:val="18"/>
          <w:szCs w:val="18"/>
          <w:lang w:val="en-US"/>
        </w:rPr>
        <w:t>II</w:t>
      </w:r>
      <w:r>
        <w:rPr>
          <w:sz w:val="18"/>
          <w:szCs w:val="18"/>
        </w:rPr>
        <w:t>-ра функция, група Д</w:t>
      </w:r>
      <w:r>
        <w:rPr>
          <w:sz w:val="18"/>
          <w:szCs w:val="18"/>
          <w:lang w:val="en-US"/>
        </w:rPr>
        <w:t xml:space="preserve"> </w:t>
      </w:r>
      <w:r>
        <w:rPr>
          <w:sz w:val="18"/>
          <w:szCs w:val="18"/>
        </w:rPr>
        <w:t>”Защита на населението, управление и дейности при, стихийни бедствия и аварии</w:t>
      </w:r>
      <w:r>
        <w:rPr>
          <w:sz w:val="18"/>
          <w:szCs w:val="18"/>
          <w:lang w:val="ru-RU"/>
        </w:rPr>
        <w:t>”</w:t>
      </w:r>
      <w:r>
        <w:rPr>
          <w:sz w:val="18"/>
          <w:szCs w:val="18"/>
        </w:rPr>
        <w:t xml:space="preserve">, където са и отчетени усвоените средства. </w:t>
      </w:r>
    </w:p>
  </w:footnote>
  <w:footnote w:id="24">
    <w:p w:rsidR="00B22A8A" w:rsidRDefault="00B22A8A" w:rsidP="00F85C67">
      <w:pPr>
        <w:pStyle w:val="FootnoteText"/>
        <w:jc w:val="both"/>
      </w:pPr>
      <w:r>
        <w:rPr>
          <w:rStyle w:val="FootnoteReference"/>
        </w:rPr>
        <w:footnoteRef/>
      </w:r>
      <w:r>
        <w:t xml:space="preserve"> В разходите по функции не е включена Вноската на Република България в общия бюджет на ЕС</w:t>
      </w:r>
    </w:p>
  </w:footnote>
  <w:footnote w:id="25">
    <w:p w:rsidR="00B22A8A" w:rsidRDefault="00B22A8A" w:rsidP="006E5AE0">
      <w:pPr>
        <w:pStyle w:val="FootnoteText"/>
        <w:jc w:val="both"/>
        <w:rPr>
          <w:sz w:val="18"/>
          <w:szCs w:val="18"/>
        </w:rPr>
      </w:pPr>
      <w:r>
        <w:rPr>
          <w:rStyle w:val="FootnoteReference"/>
          <w:sz w:val="18"/>
          <w:szCs w:val="18"/>
        </w:rPr>
        <w:footnoteRef/>
      </w:r>
      <w:r>
        <w:rPr>
          <w:sz w:val="18"/>
          <w:szCs w:val="18"/>
        </w:rPr>
        <w:t>Средствата  по други международни програми и договори са получени по международни програми и договори извън средствата от Европейския съюз.</w:t>
      </w:r>
    </w:p>
  </w:footnote>
  <w:footnote w:id="26">
    <w:p w:rsidR="00B22A8A" w:rsidRDefault="00B22A8A" w:rsidP="006E5AE0">
      <w:pPr>
        <w:pStyle w:val="FootnoteText"/>
        <w:jc w:val="both"/>
        <w:rPr>
          <w:lang w:val="en-US"/>
        </w:rPr>
      </w:pPr>
      <w:r>
        <w:rPr>
          <w:rStyle w:val="FootnoteReference"/>
          <w:sz w:val="18"/>
          <w:szCs w:val="18"/>
        </w:rPr>
        <w:footnoteRef/>
      </w:r>
      <w:r>
        <w:rPr>
          <w:sz w:val="18"/>
          <w:szCs w:val="18"/>
        </w:rPr>
        <w:t xml:space="preserve">Средствата от Европейския съюз са предоставени от фондове и институции на Европейския съюз. Те включват разходите по програмите, съфинансирани по Структурните и Кохезионния фондове на ЕС, </w:t>
      </w:r>
      <w:r w:rsidRPr="00E51CC5">
        <w:rPr>
          <w:sz w:val="18"/>
          <w:szCs w:val="18"/>
        </w:rPr>
        <w:t>Европейския земеделски фонд за развитие на селските райони и Европейския фонд за рибарство</w:t>
      </w:r>
      <w:r>
        <w:rPr>
          <w:sz w:val="18"/>
          <w:szCs w:val="18"/>
        </w:rPr>
        <w:t>, както и други програми и проекти, финансирани от фондове и институции на ЕС, вкл. националното съфинансиране</w:t>
      </w:r>
      <w:r>
        <w:rPr>
          <w:sz w:val="18"/>
          <w:szCs w:val="18"/>
          <w:lang w:val="en-US"/>
        </w:rPr>
        <w:t>.</w:t>
      </w:r>
    </w:p>
  </w:footnote>
  <w:footnote w:id="27">
    <w:p w:rsidR="00B22A8A" w:rsidRPr="00B70BD3" w:rsidRDefault="00B22A8A" w:rsidP="00D87054">
      <w:pPr>
        <w:ind w:left="34"/>
        <w:jc w:val="both"/>
        <w:rPr>
          <w:sz w:val="18"/>
          <w:szCs w:val="18"/>
          <w:lang w:val="en-US"/>
        </w:rPr>
      </w:pPr>
      <w:r w:rsidRPr="00B70BD3">
        <w:rPr>
          <w:rStyle w:val="FootnoteReference"/>
          <w:sz w:val="18"/>
          <w:szCs w:val="18"/>
        </w:rPr>
        <w:footnoteRef/>
      </w:r>
      <w:r w:rsidRPr="00B70BD3">
        <w:rPr>
          <w:sz w:val="18"/>
          <w:szCs w:val="18"/>
        </w:rPr>
        <w:t xml:space="preserve"> Годишни разчети към ЗДБРБ за 2015 г. след промените, приети със ЗДБРБ за 2016 г.,</w:t>
      </w:r>
      <w:r w:rsidRPr="00B70BD3">
        <w:rPr>
          <w:sz w:val="18"/>
          <w:szCs w:val="18"/>
          <w:lang w:val="en-US"/>
        </w:rPr>
        <w:t xml:space="preserve"> </w:t>
      </w:r>
      <w:r w:rsidRPr="00B70BD3">
        <w:rPr>
          <w:sz w:val="18"/>
          <w:szCs w:val="18"/>
        </w:rPr>
        <w:t>Обн. ДВ, бр. 9</w:t>
      </w:r>
      <w:r w:rsidRPr="00B70BD3">
        <w:rPr>
          <w:sz w:val="18"/>
          <w:szCs w:val="18"/>
          <w:lang w:val="en-US"/>
        </w:rPr>
        <w:t>6</w:t>
      </w:r>
      <w:r w:rsidRPr="00B70BD3">
        <w:rPr>
          <w:sz w:val="18"/>
          <w:szCs w:val="18"/>
        </w:rPr>
        <w:t>/</w:t>
      </w:r>
      <w:r w:rsidRPr="00B70BD3">
        <w:rPr>
          <w:sz w:val="18"/>
          <w:szCs w:val="18"/>
          <w:lang w:val="en-US"/>
        </w:rPr>
        <w:t>09</w:t>
      </w:r>
      <w:r w:rsidRPr="00B70BD3">
        <w:rPr>
          <w:sz w:val="18"/>
          <w:szCs w:val="18"/>
        </w:rPr>
        <w:t>.1</w:t>
      </w:r>
      <w:r w:rsidRPr="00B70BD3">
        <w:rPr>
          <w:sz w:val="18"/>
          <w:szCs w:val="18"/>
          <w:lang w:val="en-US"/>
        </w:rPr>
        <w:t>2</w:t>
      </w:r>
      <w:r w:rsidRPr="00B70BD3">
        <w:rPr>
          <w:sz w:val="18"/>
          <w:szCs w:val="18"/>
        </w:rPr>
        <w:t>.201</w:t>
      </w:r>
      <w:r w:rsidRPr="00B70BD3">
        <w:rPr>
          <w:sz w:val="18"/>
          <w:szCs w:val="18"/>
          <w:lang w:val="en-US"/>
        </w:rPr>
        <w:t>5</w:t>
      </w:r>
      <w:r w:rsidRPr="00B70BD3">
        <w:rPr>
          <w:sz w:val="18"/>
          <w:szCs w:val="18"/>
        </w:rPr>
        <w:t xml:space="preserve"> г.</w:t>
      </w:r>
    </w:p>
    <w:p w:rsidR="00B22A8A" w:rsidRDefault="00B22A8A" w:rsidP="00D87054">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2A8A" w:rsidRPr="00483166" w:rsidRDefault="00B22A8A" w:rsidP="00497D9C">
    <w:pPr>
      <w:pStyle w:val="Header"/>
      <w:tabs>
        <w:tab w:val="left" w:pos="5910"/>
        <w:tab w:val="left" w:pos="6015"/>
        <w:tab w:val="right" w:pos="9203"/>
      </w:tabs>
      <w:rPr>
        <w:rFonts w:ascii="Times New Roman Bold" w:hAnsi="Times New Roman Bold"/>
        <w:sz w:val="10"/>
        <w:szCs w:val="10"/>
      </w:rPr>
    </w:pPr>
    <w:r w:rsidRPr="00483166">
      <w:rPr>
        <w:rFonts w:ascii="Times New Roman Bold" w:hAnsi="Times New Roman Bold"/>
        <w:sz w:val="10"/>
        <w:szCs w:val="10"/>
      </w:rPr>
      <w:tab/>
    </w:r>
    <w:r w:rsidRPr="00483166">
      <w:rPr>
        <w:rFonts w:ascii="Times New Roman Bold" w:hAnsi="Times New Roman Bold"/>
        <w:sz w:val="10"/>
        <w:szCs w:val="10"/>
      </w:rPr>
      <w:tab/>
    </w:r>
    <w:r w:rsidRPr="00483166">
      <w:rPr>
        <w:rFonts w:ascii="Times New Roman Bold" w:hAnsi="Times New Roman Bold"/>
        <w:sz w:val="10"/>
        <w:szCs w:val="10"/>
      </w:rPr>
      <w:tab/>
    </w:r>
    <w:r w:rsidRPr="00483166">
      <w:rPr>
        <w:rFonts w:ascii="Times New Roman Bold" w:hAnsi="Times New Roman Bold"/>
        <w:sz w:val="10"/>
        <w:szCs w:val="10"/>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A07AF"/>
    <w:multiLevelType w:val="hybridMultilevel"/>
    <w:tmpl w:val="10B689E6"/>
    <w:lvl w:ilvl="0" w:tplc="F0442AD2">
      <w:start w:val="1"/>
      <w:numFmt w:val="bullet"/>
      <w:lvlText w:val="-"/>
      <w:lvlJc w:val="left"/>
      <w:pPr>
        <w:tabs>
          <w:tab w:val="num" w:pos="1069"/>
        </w:tabs>
        <w:ind w:left="1069" w:hanging="360"/>
      </w:pPr>
      <w:rPr>
        <w:rFonts w:ascii="Times New Roman" w:eastAsia="Times New Roman" w:hAnsi="Times New Roman" w:cs="Times New Roman" w:hint="default"/>
      </w:rPr>
    </w:lvl>
    <w:lvl w:ilvl="1" w:tplc="04020003" w:tentative="1">
      <w:start w:val="1"/>
      <w:numFmt w:val="bullet"/>
      <w:lvlText w:val="o"/>
      <w:lvlJc w:val="left"/>
      <w:pPr>
        <w:tabs>
          <w:tab w:val="num" w:pos="1789"/>
        </w:tabs>
        <w:ind w:left="1789" w:hanging="360"/>
      </w:pPr>
      <w:rPr>
        <w:rFonts w:ascii="Courier New" w:hAnsi="Courier New" w:cs="Courier New" w:hint="default"/>
      </w:rPr>
    </w:lvl>
    <w:lvl w:ilvl="2" w:tplc="04020005" w:tentative="1">
      <w:start w:val="1"/>
      <w:numFmt w:val="bullet"/>
      <w:lvlText w:val=""/>
      <w:lvlJc w:val="left"/>
      <w:pPr>
        <w:tabs>
          <w:tab w:val="num" w:pos="2509"/>
        </w:tabs>
        <w:ind w:left="2509" w:hanging="360"/>
      </w:pPr>
      <w:rPr>
        <w:rFonts w:ascii="Wingdings" w:hAnsi="Wingdings" w:hint="default"/>
      </w:rPr>
    </w:lvl>
    <w:lvl w:ilvl="3" w:tplc="04020001" w:tentative="1">
      <w:start w:val="1"/>
      <w:numFmt w:val="bullet"/>
      <w:lvlText w:val=""/>
      <w:lvlJc w:val="left"/>
      <w:pPr>
        <w:tabs>
          <w:tab w:val="num" w:pos="3229"/>
        </w:tabs>
        <w:ind w:left="3229" w:hanging="360"/>
      </w:pPr>
      <w:rPr>
        <w:rFonts w:ascii="Symbol" w:hAnsi="Symbol" w:hint="default"/>
      </w:rPr>
    </w:lvl>
    <w:lvl w:ilvl="4" w:tplc="04020003" w:tentative="1">
      <w:start w:val="1"/>
      <w:numFmt w:val="bullet"/>
      <w:lvlText w:val="o"/>
      <w:lvlJc w:val="left"/>
      <w:pPr>
        <w:tabs>
          <w:tab w:val="num" w:pos="3949"/>
        </w:tabs>
        <w:ind w:left="3949" w:hanging="360"/>
      </w:pPr>
      <w:rPr>
        <w:rFonts w:ascii="Courier New" w:hAnsi="Courier New" w:cs="Courier New" w:hint="default"/>
      </w:rPr>
    </w:lvl>
    <w:lvl w:ilvl="5" w:tplc="04020005" w:tentative="1">
      <w:start w:val="1"/>
      <w:numFmt w:val="bullet"/>
      <w:lvlText w:val=""/>
      <w:lvlJc w:val="left"/>
      <w:pPr>
        <w:tabs>
          <w:tab w:val="num" w:pos="4669"/>
        </w:tabs>
        <w:ind w:left="4669" w:hanging="360"/>
      </w:pPr>
      <w:rPr>
        <w:rFonts w:ascii="Wingdings" w:hAnsi="Wingdings" w:hint="default"/>
      </w:rPr>
    </w:lvl>
    <w:lvl w:ilvl="6" w:tplc="04020001" w:tentative="1">
      <w:start w:val="1"/>
      <w:numFmt w:val="bullet"/>
      <w:lvlText w:val=""/>
      <w:lvlJc w:val="left"/>
      <w:pPr>
        <w:tabs>
          <w:tab w:val="num" w:pos="5389"/>
        </w:tabs>
        <w:ind w:left="5389" w:hanging="360"/>
      </w:pPr>
      <w:rPr>
        <w:rFonts w:ascii="Symbol" w:hAnsi="Symbol" w:hint="default"/>
      </w:rPr>
    </w:lvl>
    <w:lvl w:ilvl="7" w:tplc="04020003" w:tentative="1">
      <w:start w:val="1"/>
      <w:numFmt w:val="bullet"/>
      <w:lvlText w:val="o"/>
      <w:lvlJc w:val="left"/>
      <w:pPr>
        <w:tabs>
          <w:tab w:val="num" w:pos="6109"/>
        </w:tabs>
        <w:ind w:left="6109" w:hanging="360"/>
      </w:pPr>
      <w:rPr>
        <w:rFonts w:ascii="Courier New" w:hAnsi="Courier New" w:cs="Courier New" w:hint="default"/>
      </w:rPr>
    </w:lvl>
    <w:lvl w:ilvl="8" w:tplc="04020005" w:tentative="1">
      <w:start w:val="1"/>
      <w:numFmt w:val="bullet"/>
      <w:lvlText w:val=""/>
      <w:lvlJc w:val="left"/>
      <w:pPr>
        <w:tabs>
          <w:tab w:val="num" w:pos="6829"/>
        </w:tabs>
        <w:ind w:left="6829" w:hanging="360"/>
      </w:pPr>
      <w:rPr>
        <w:rFonts w:ascii="Wingdings" w:hAnsi="Wingdings" w:hint="default"/>
      </w:rPr>
    </w:lvl>
  </w:abstractNum>
  <w:abstractNum w:abstractNumId="1">
    <w:nsid w:val="05801DBB"/>
    <w:multiLevelType w:val="multilevel"/>
    <w:tmpl w:val="CCF08B70"/>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
    <w:nsid w:val="05D91319"/>
    <w:multiLevelType w:val="multilevel"/>
    <w:tmpl w:val="821ABD8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6E7018B"/>
    <w:multiLevelType w:val="multilevel"/>
    <w:tmpl w:val="C374E266"/>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
    <w:nsid w:val="089D24CD"/>
    <w:multiLevelType w:val="hybridMultilevel"/>
    <w:tmpl w:val="62CCA462"/>
    <w:lvl w:ilvl="0" w:tplc="04020001">
      <w:start w:val="1"/>
      <w:numFmt w:val="bullet"/>
      <w:lvlText w:val=""/>
      <w:lvlJc w:val="left"/>
      <w:pPr>
        <w:ind w:left="107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
    <w:nsid w:val="08EA2B61"/>
    <w:multiLevelType w:val="hybridMultilevel"/>
    <w:tmpl w:val="D60E80DC"/>
    <w:lvl w:ilvl="0" w:tplc="CC72A724">
      <w:start w:val="1"/>
      <w:numFmt w:val="bullet"/>
      <w:lvlText w:val=""/>
      <w:lvlJc w:val="left"/>
      <w:pPr>
        <w:tabs>
          <w:tab w:val="num" w:pos="720"/>
        </w:tabs>
        <w:ind w:left="720" w:hanging="360"/>
      </w:pPr>
      <w:rPr>
        <w:rFonts w:ascii="Wingdings" w:hAnsi="Wingdings" w:hint="default"/>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
    <w:nsid w:val="09A5249C"/>
    <w:multiLevelType w:val="hybridMultilevel"/>
    <w:tmpl w:val="0B200D50"/>
    <w:lvl w:ilvl="0" w:tplc="0F7C68D6">
      <w:start w:val="1"/>
      <w:numFmt w:val="bullet"/>
      <w:lvlText w:val=""/>
      <w:lvlJc w:val="left"/>
      <w:pPr>
        <w:tabs>
          <w:tab w:val="num" w:pos="720"/>
        </w:tabs>
        <w:ind w:left="720" w:hanging="360"/>
      </w:pPr>
      <w:rPr>
        <w:rFonts w:ascii="Symbol" w:hAnsi="Symbol" w:hint="default"/>
        <w:color w:val="auto"/>
      </w:rPr>
    </w:lvl>
    <w:lvl w:ilvl="1" w:tplc="04020001">
      <w:start w:val="1"/>
      <w:numFmt w:val="bullet"/>
      <w:lvlText w:val=""/>
      <w:lvlJc w:val="left"/>
      <w:pPr>
        <w:tabs>
          <w:tab w:val="num" w:pos="1440"/>
        </w:tabs>
        <w:ind w:left="1440" w:hanging="360"/>
      </w:pPr>
      <w:rPr>
        <w:rFonts w:ascii="Symbol" w:hAnsi="Symbol" w:hint="default"/>
        <w:color w:val="auto"/>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7">
    <w:nsid w:val="09AE0EEB"/>
    <w:multiLevelType w:val="hybridMultilevel"/>
    <w:tmpl w:val="45C856CE"/>
    <w:lvl w:ilvl="0" w:tplc="0402000D">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8">
    <w:nsid w:val="0E9948C9"/>
    <w:multiLevelType w:val="hybridMultilevel"/>
    <w:tmpl w:val="256E3314"/>
    <w:lvl w:ilvl="0" w:tplc="0402000B">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9">
    <w:nsid w:val="0FDE70AE"/>
    <w:multiLevelType w:val="multilevel"/>
    <w:tmpl w:val="293C37D6"/>
    <w:lvl w:ilvl="0">
      <w:start w:val="1"/>
      <w:numFmt w:val="decimal"/>
      <w:lvlText w:val="%1"/>
      <w:lvlJc w:val="left"/>
      <w:pPr>
        <w:ind w:left="360" w:hanging="360"/>
      </w:pPr>
      <w:rPr>
        <w:rFonts w:hint="default"/>
      </w:rPr>
    </w:lvl>
    <w:lvl w:ilvl="1">
      <w:start w:val="4"/>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0">
    <w:nsid w:val="132C218C"/>
    <w:multiLevelType w:val="hybridMultilevel"/>
    <w:tmpl w:val="68DAEDA4"/>
    <w:lvl w:ilvl="0" w:tplc="54C466F6">
      <w:numFmt w:val="bullet"/>
      <w:lvlText w:val="-"/>
      <w:lvlJc w:val="left"/>
      <w:pPr>
        <w:ind w:left="1429" w:hanging="360"/>
      </w:pPr>
      <w:rPr>
        <w:rFonts w:ascii="Times New Roman" w:eastAsia="Times New Roman" w:hAnsi="Times New Roman"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1">
    <w:nsid w:val="141821C7"/>
    <w:multiLevelType w:val="multilevel"/>
    <w:tmpl w:val="FD72B840"/>
    <w:lvl w:ilvl="0">
      <w:start w:val="2"/>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12">
    <w:nsid w:val="14646AC5"/>
    <w:multiLevelType w:val="hybridMultilevel"/>
    <w:tmpl w:val="8B8CF1E6"/>
    <w:lvl w:ilvl="0" w:tplc="04020001">
      <w:start w:val="1"/>
      <w:numFmt w:val="bullet"/>
      <w:lvlText w:val=""/>
      <w:lvlJc w:val="left"/>
      <w:pPr>
        <w:ind w:left="1260" w:hanging="360"/>
      </w:pPr>
      <w:rPr>
        <w:rFonts w:ascii="Symbol" w:hAnsi="Symbol" w:hint="default"/>
      </w:rPr>
    </w:lvl>
    <w:lvl w:ilvl="1" w:tplc="04020003" w:tentative="1">
      <w:start w:val="1"/>
      <w:numFmt w:val="bullet"/>
      <w:lvlText w:val="o"/>
      <w:lvlJc w:val="left"/>
      <w:pPr>
        <w:ind w:left="1980" w:hanging="360"/>
      </w:pPr>
      <w:rPr>
        <w:rFonts w:ascii="Courier New" w:hAnsi="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13">
    <w:nsid w:val="188020B7"/>
    <w:multiLevelType w:val="hybridMultilevel"/>
    <w:tmpl w:val="6E8EA22C"/>
    <w:lvl w:ilvl="0" w:tplc="04266EAE">
      <w:start w:val="1"/>
      <w:numFmt w:val="bullet"/>
      <w:lvlText w:val="♦"/>
      <w:lvlJc w:val="left"/>
      <w:pPr>
        <w:tabs>
          <w:tab w:val="num" w:pos="2160"/>
        </w:tabs>
        <w:ind w:left="2160" w:hanging="360"/>
      </w:pPr>
      <w:rPr>
        <w:rFonts w:ascii="Courier New" w:hAnsi="Courier New" w:hint="default"/>
        <w:color w:val="000000"/>
        <w:sz w:val="28"/>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4">
    <w:nsid w:val="18F06D21"/>
    <w:multiLevelType w:val="hybridMultilevel"/>
    <w:tmpl w:val="9A46F348"/>
    <w:lvl w:ilvl="0" w:tplc="54C466F6">
      <w:numFmt w:val="bullet"/>
      <w:lvlText w:val="-"/>
      <w:lvlJc w:val="left"/>
      <w:pPr>
        <w:ind w:left="1429" w:hanging="360"/>
      </w:pPr>
      <w:rPr>
        <w:rFonts w:ascii="Times New Roman" w:eastAsia="Times New Roman" w:hAnsi="Times New Roman"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5">
    <w:nsid w:val="1AE50893"/>
    <w:multiLevelType w:val="hybridMultilevel"/>
    <w:tmpl w:val="4480699A"/>
    <w:lvl w:ilvl="0" w:tplc="CC72A724">
      <w:start w:val="1"/>
      <w:numFmt w:val="bullet"/>
      <w:lvlText w:val=""/>
      <w:lvlJc w:val="left"/>
      <w:pPr>
        <w:tabs>
          <w:tab w:val="num" w:pos="720"/>
        </w:tabs>
        <w:ind w:left="720" w:hanging="360"/>
      </w:pPr>
      <w:rPr>
        <w:rFonts w:ascii="Wingdings" w:hAnsi="Wingdings"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nsid w:val="1B1F35F4"/>
    <w:multiLevelType w:val="multilevel"/>
    <w:tmpl w:val="565C6C8A"/>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
    <w:nsid w:val="1BE856D1"/>
    <w:multiLevelType w:val="hybridMultilevel"/>
    <w:tmpl w:val="A5646F06"/>
    <w:lvl w:ilvl="0" w:tplc="B8089F6A">
      <w:start w:val="1"/>
      <w:numFmt w:val="bullet"/>
      <w:lvlText w:val=""/>
      <w:lvlJc w:val="left"/>
      <w:pPr>
        <w:tabs>
          <w:tab w:val="num" w:pos="1137"/>
        </w:tabs>
        <w:ind w:left="1137" w:hanging="357"/>
      </w:pPr>
      <w:rPr>
        <w:rFonts w:ascii="Wingdings" w:hAnsi="Wingdings" w:hint="default"/>
        <w:color w:val="auto"/>
        <w:sz w:val="28"/>
        <w:u w:color="FFFFFF"/>
      </w:rPr>
    </w:lvl>
    <w:lvl w:ilvl="1" w:tplc="04020003" w:tentative="1">
      <w:start w:val="1"/>
      <w:numFmt w:val="bullet"/>
      <w:lvlText w:val="o"/>
      <w:lvlJc w:val="left"/>
      <w:pPr>
        <w:tabs>
          <w:tab w:val="num" w:pos="2220"/>
        </w:tabs>
        <w:ind w:left="2220" w:hanging="360"/>
      </w:pPr>
      <w:rPr>
        <w:rFonts w:ascii="Courier New" w:hAnsi="Courier New" w:hint="default"/>
      </w:rPr>
    </w:lvl>
    <w:lvl w:ilvl="2" w:tplc="04020005" w:tentative="1">
      <w:start w:val="1"/>
      <w:numFmt w:val="bullet"/>
      <w:lvlText w:val=""/>
      <w:lvlJc w:val="left"/>
      <w:pPr>
        <w:tabs>
          <w:tab w:val="num" w:pos="2940"/>
        </w:tabs>
        <w:ind w:left="2940" w:hanging="360"/>
      </w:pPr>
      <w:rPr>
        <w:rFonts w:ascii="Wingdings" w:hAnsi="Wingdings" w:hint="default"/>
      </w:rPr>
    </w:lvl>
    <w:lvl w:ilvl="3" w:tplc="04020001" w:tentative="1">
      <w:start w:val="1"/>
      <w:numFmt w:val="bullet"/>
      <w:lvlText w:val=""/>
      <w:lvlJc w:val="left"/>
      <w:pPr>
        <w:tabs>
          <w:tab w:val="num" w:pos="3660"/>
        </w:tabs>
        <w:ind w:left="3660" w:hanging="360"/>
      </w:pPr>
      <w:rPr>
        <w:rFonts w:ascii="Symbol" w:hAnsi="Symbol" w:hint="default"/>
      </w:rPr>
    </w:lvl>
    <w:lvl w:ilvl="4" w:tplc="04020003" w:tentative="1">
      <w:start w:val="1"/>
      <w:numFmt w:val="bullet"/>
      <w:lvlText w:val="o"/>
      <w:lvlJc w:val="left"/>
      <w:pPr>
        <w:tabs>
          <w:tab w:val="num" w:pos="4380"/>
        </w:tabs>
        <w:ind w:left="4380" w:hanging="360"/>
      </w:pPr>
      <w:rPr>
        <w:rFonts w:ascii="Courier New" w:hAnsi="Courier New" w:hint="default"/>
      </w:rPr>
    </w:lvl>
    <w:lvl w:ilvl="5" w:tplc="04020005" w:tentative="1">
      <w:start w:val="1"/>
      <w:numFmt w:val="bullet"/>
      <w:lvlText w:val=""/>
      <w:lvlJc w:val="left"/>
      <w:pPr>
        <w:tabs>
          <w:tab w:val="num" w:pos="5100"/>
        </w:tabs>
        <w:ind w:left="5100" w:hanging="360"/>
      </w:pPr>
      <w:rPr>
        <w:rFonts w:ascii="Wingdings" w:hAnsi="Wingdings" w:hint="default"/>
      </w:rPr>
    </w:lvl>
    <w:lvl w:ilvl="6" w:tplc="04020001" w:tentative="1">
      <w:start w:val="1"/>
      <w:numFmt w:val="bullet"/>
      <w:lvlText w:val=""/>
      <w:lvlJc w:val="left"/>
      <w:pPr>
        <w:tabs>
          <w:tab w:val="num" w:pos="5820"/>
        </w:tabs>
        <w:ind w:left="5820" w:hanging="360"/>
      </w:pPr>
      <w:rPr>
        <w:rFonts w:ascii="Symbol" w:hAnsi="Symbol" w:hint="default"/>
      </w:rPr>
    </w:lvl>
    <w:lvl w:ilvl="7" w:tplc="04020003" w:tentative="1">
      <w:start w:val="1"/>
      <w:numFmt w:val="bullet"/>
      <w:lvlText w:val="o"/>
      <w:lvlJc w:val="left"/>
      <w:pPr>
        <w:tabs>
          <w:tab w:val="num" w:pos="6540"/>
        </w:tabs>
        <w:ind w:left="6540" w:hanging="360"/>
      </w:pPr>
      <w:rPr>
        <w:rFonts w:ascii="Courier New" w:hAnsi="Courier New" w:hint="default"/>
      </w:rPr>
    </w:lvl>
    <w:lvl w:ilvl="8" w:tplc="04020005" w:tentative="1">
      <w:start w:val="1"/>
      <w:numFmt w:val="bullet"/>
      <w:lvlText w:val=""/>
      <w:lvlJc w:val="left"/>
      <w:pPr>
        <w:tabs>
          <w:tab w:val="num" w:pos="7260"/>
        </w:tabs>
        <w:ind w:left="7260" w:hanging="360"/>
      </w:pPr>
      <w:rPr>
        <w:rFonts w:ascii="Wingdings" w:hAnsi="Wingdings" w:hint="default"/>
      </w:rPr>
    </w:lvl>
  </w:abstractNum>
  <w:abstractNum w:abstractNumId="18">
    <w:nsid w:val="1F76309A"/>
    <w:multiLevelType w:val="hybridMultilevel"/>
    <w:tmpl w:val="64DA724A"/>
    <w:lvl w:ilvl="0" w:tplc="04020001">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19">
    <w:nsid w:val="1FE30D72"/>
    <w:multiLevelType w:val="hybridMultilevel"/>
    <w:tmpl w:val="0FC2E638"/>
    <w:lvl w:ilvl="0" w:tplc="0F7C68D6">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20">
    <w:nsid w:val="215D2256"/>
    <w:multiLevelType w:val="hybridMultilevel"/>
    <w:tmpl w:val="37E6C9DA"/>
    <w:lvl w:ilvl="0" w:tplc="33FCD5E2">
      <w:start w:val="1"/>
      <w:numFmt w:val="bullet"/>
      <w:lvlText w:val=""/>
      <w:lvlJc w:val="left"/>
      <w:pPr>
        <w:ind w:left="1440" w:hanging="360"/>
      </w:pPr>
      <w:rPr>
        <w:rFonts w:ascii="Symbol" w:hAnsi="Symbol" w:hint="default"/>
        <w:color w:val="auto"/>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1">
    <w:nsid w:val="21D35379"/>
    <w:multiLevelType w:val="hybridMultilevel"/>
    <w:tmpl w:val="00E6CAA0"/>
    <w:lvl w:ilvl="0" w:tplc="F73A176E">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2">
    <w:nsid w:val="2235759E"/>
    <w:multiLevelType w:val="hybridMultilevel"/>
    <w:tmpl w:val="3C2A7D62"/>
    <w:lvl w:ilvl="0" w:tplc="0402000D">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23">
    <w:nsid w:val="2292005F"/>
    <w:multiLevelType w:val="hybridMultilevel"/>
    <w:tmpl w:val="E59C11B8"/>
    <w:lvl w:ilvl="0" w:tplc="EB7EEB3E">
      <w:start w:val="1"/>
      <w:numFmt w:val="bullet"/>
      <w:lvlText w:val=""/>
      <w:lvlJc w:val="left"/>
      <w:pPr>
        <w:tabs>
          <w:tab w:val="num" w:pos="898"/>
        </w:tabs>
        <w:ind w:left="0" w:firstLine="360"/>
      </w:pPr>
      <w:rPr>
        <w:rFonts w:ascii="Symbol" w:hAnsi="Symbol" w:hint="default"/>
        <w:color w:val="auto"/>
      </w:rPr>
    </w:lvl>
    <w:lvl w:ilvl="1" w:tplc="04020007">
      <w:start w:val="1"/>
      <w:numFmt w:val="bullet"/>
      <w:lvlText w:val=""/>
      <w:lvlJc w:val="left"/>
      <w:pPr>
        <w:tabs>
          <w:tab w:val="num" w:pos="2148"/>
        </w:tabs>
        <w:ind w:left="2148" w:hanging="360"/>
      </w:pPr>
      <w:rPr>
        <w:rFonts w:ascii="Symbol" w:hAnsi="Symbol" w:hint="default"/>
        <w:color w:val="auto"/>
      </w:rPr>
    </w:lvl>
    <w:lvl w:ilvl="2" w:tplc="F73A176E">
      <w:numFmt w:val="bullet"/>
      <w:lvlText w:val="-"/>
      <w:lvlJc w:val="left"/>
      <w:pPr>
        <w:tabs>
          <w:tab w:val="num" w:pos="2868"/>
        </w:tabs>
        <w:ind w:left="2868" w:hanging="360"/>
      </w:pPr>
      <w:rPr>
        <w:rFonts w:ascii="Times New Roman" w:eastAsia="Times New Roman" w:hAnsi="Times New Roman" w:cs="Times New Roman" w:hint="default"/>
      </w:rPr>
    </w:lvl>
    <w:lvl w:ilvl="3" w:tplc="04020001" w:tentative="1">
      <w:start w:val="1"/>
      <w:numFmt w:val="bullet"/>
      <w:lvlText w:val=""/>
      <w:lvlJc w:val="left"/>
      <w:pPr>
        <w:tabs>
          <w:tab w:val="num" w:pos="3588"/>
        </w:tabs>
        <w:ind w:left="3588" w:hanging="360"/>
      </w:pPr>
      <w:rPr>
        <w:rFonts w:ascii="Symbol" w:hAnsi="Symbol" w:hint="default"/>
      </w:rPr>
    </w:lvl>
    <w:lvl w:ilvl="4" w:tplc="04020003" w:tentative="1">
      <w:start w:val="1"/>
      <w:numFmt w:val="bullet"/>
      <w:lvlText w:val="o"/>
      <w:lvlJc w:val="left"/>
      <w:pPr>
        <w:tabs>
          <w:tab w:val="num" w:pos="4308"/>
        </w:tabs>
        <w:ind w:left="4308" w:hanging="360"/>
      </w:pPr>
      <w:rPr>
        <w:rFonts w:ascii="Courier New" w:hAnsi="Courier New" w:cs="Courier New" w:hint="default"/>
      </w:rPr>
    </w:lvl>
    <w:lvl w:ilvl="5" w:tplc="04020005" w:tentative="1">
      <w:start w:val="1"/>
      <w:numFmt w:val="bullet"/>
      <w:lvlText w:val=""/>
      <w:lvlJc w:val="left"/>
      <w:pPr>
        <w:tabs>
          <w:tab w:val="num" w:pos="5028"/>
        </w:tabs>
        <w:ind w:left="5028" w:hanging="360"/>
      </w:pPr>
      <w:rPr>
        <w:rFonts w:ascii="Wingdings" w:hAnsi="Wingdings" w:hint="default"/>
      </w:rPr>
    </w:lvl>
    <w:lvl w:ilvl="6" w:tplc="04020001" w:tentative="1">
      <w:start w:val="1"/>
      <w:numFmt w:val="bullet"/>
      <w:lvlText w:val=""/>
      <w:lvlJc w:val="left"/>
      <w:pPr>
        <w:tabs>
          <w:tab w:val="num" w:pos="5748"/>
        </w:tabs>
        <w:ind w:left="5748" w:hanging="360"/>
      </w:pPr>
      <w:rPr>
        <w:rFonts w:ascii="Symbol" w:hAnsi="Symbol" w:hint="default"/>
      </w:rPr>
    </w:lvl>
    <w:lvl w:ilvl="7" w:tplc="04020003" w:tentative="1">
      <w:start w:val="1"/>
      <w:numFmt w:val="bullet"/>
      <w:lvlText w:val="o"/>
      <w:lvlJc w:val="left"/>
      <w:pPr>
        <w:tabs>
          <w:tab w:val="num" w:pos="6468"/>
        </w:tabs>
        <w:ind w:left="6468" w:hanging="360"/>
      </w:pPr>
      <w:rPr>
        <w:rFonts w:ascii="Courier New" w:hAnsi="Courier New" w:cs="Courier New" w:hint="default"/>
      </w:rPr>
    </w:lvl>
    <w:lvl w:ilvl="8" w:tplc="04020005" w:tentative="1">
      <w:start w:val="1"/>
      <w:numFmt w:val="bullet"/>
      <w:lvlText w:val=""/>
      <w:lvlJc w:val="left"/>
      <w:pPr>
        <w:tabs>
          <w:tab w:val="num" w:pos="7188"/>
        </w:tabs>
        <w:ind w:left="7188" w:hanging="360"/>
      </w:pPr>
      <w:rPr>
        <w:rFonts w:ascii="Wingdings" w:hAnsi="Wingdings" w:hint="default"/>
      </w:rPr>
    </w:lvl>
  </w:abstractNum>
  <w:abstractNum w:abstractNumId="24">
    <w:nsid w:val="23867FD7"/>
    <w:multiLevelType w:val="hybridMultilevel"/>
    <w:tmpl w:val="39142C30"/>
    <w:lvl w:ilvl="0" w:tplc="54C466F6">
      <w:numFmt w:val="bullet"/>
      <w:lvlText w:val="-"/>
      <w:lvlJc w:val="left"/>
      <w:pPr>
        <w:ind w:left="1429" w:hanging="360"/>
      </w:pPr>
      <w:rPr>
        <w:rFonts w:ascii="Times New Roman" w:eastAsia="Times New Roman" w:hAnsi="Times New Roman"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5">
    <w:nsid w:val="240F0E88"/>
    <w:multiLevelType w:val="multilevel"/>
    <w:tmpl w:val="49E41F0A"/>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nsid w:val="250201CB"/>
    <w:multiLevelType w:val="hybridMultilevel"/>
    <w:tmpl w:val="F35A6750"/>
    <w:lvl w:ilvl="0" w:tplc="04020001">
      <w:start w:val="1"/>
      <w:numFmt w:val="bullet"/>
      <w:lvlText w:val=""/>
      <w:lvlJc w:val="left"/>
      <w:pPr>
        <w:ind w:left="1521" w:hanging="360"/>
      </w:pPr>
      <w:rPr>
        <w:rFonts w:ascii="Symbol" w:hAnsi="Symbol" w:hint="default"/>
      </w:rPr>
    </w:lvl>
    <w:lvl w:ilvl="1" w:tplc="04020003">
      <w:start w:val="1"/>
      <w:numFmt w:val="bullet"/>
      <w:lvlText w:val="o"/>
      <w:lvlJc w:val="left"/>
      <w:pPr>
        <w:ind w:left="2241" w:hanging="360"/>
      </w:pPr>
      <w:rPr>
        <w:rFonts w:ascii="Courier New" w:hAnsi="Courier New" w:cs="Courier New" w:hint="default"/>
      </w:rPr>
    </w:lvl>
    <w:lvl w:ilvl="2" w:tplc="04020005">
      <w:start w:val="1"/>
      <w:numFmt w:val="bullet"/>
      <w:lvlText w:val=""/>
      <w:lvlJc w:val="left"/>
      <w:pPr>
        <w:ind w:left="2961" w:hanging="360"/>
      </w:pPr>
      <w:rPr>
        <w:rFonts w:ascii="Wingdings" w:hAnsi="Wingdings" w:hint="default"/>
      </w:rPr>
    </w:lvl>
    <w:lvl w:ilvl="3" w:tplc="04020001">
      <w:start w:val="1"/>
      <w:numFmt w:val="bullet"/>
      <w:lvlText w:val=""/>
      <w:lvlJc w:val="left"/>
      <w:pPr>
        <w:ind w:left="3681" w:hanging="360"/>
      </w:pPr>
      <w:rPr>
        <w:rFonts w:ascii="Symbol" w:hAnsi="Symbol" w:hint="default"/>
      </w:rPr>
    </w:lvl>
    <w:lvl w:ilvl="4" w:tplc="04020003">
      <w:start w:val="1"/>
      <w:numFmt w:val="bullet"/>
      <w:lvlText w:val="o"/>
      <w:lvlJc w:val="left"/>
      <w:pPr>
        <w:ind w:left="4401" w:hanging="360"/>
      </w:pPr>
      <w:rPr>
        <w:rFonts w:ascii="Courier New" w:hAnsi="Courier New" w:cs="Courier New" w:hint="default"/>
      </w:rPr>
    </w:lvl>
    <w:lvl w:ilvl="5" w:tplc="04020005">
      <w:start w:val="1"/>
      <w:numFmt w:val="bullet"/>
      <w:lvlText w:val=""/>
      <w:lvlJc w:val="left"/>
      <w:pPr>
        <w:ind w:left="5121" w:hanging="360"/>
      </w:pPr>
      <w:rPr>
        <w:rFonts w:ascii="Wingdings" w:hAnsi="Wingdings" w:hint="default"/>
      </w:rPr>
    </w:lvl>
    <w:lvl w:ilvl="6" w:tplc="04020001">
      <w:start w:val="1"/>
      <w:numFmt w:val="bullet"/>
      <w:lvlText w:val=""/>
      <w:lvlJc w:val="left"/>
      <w:pPr>
        <w:ind w:left="5841" w:hanging="360"/>
      </w:pPr>
      <w:rPr>
        <w:rFonts w:ascii="Symbol" w:hAnsi="Symbol" w:hint="default"/>
      </w:rPr>
    </w:lvl>
    <w:lvl w:ilvl="7" w:tplc="04020003">
      <w:start w:val="1"/>
      <w:numFmt w:val="bullet"/>
      <w:lvlText w:val="o"/>
      <w:lvlJc w:val="left"/>
      <w:pPr>
        <w:ind w:left="6561" w:hanging="360"/>
      </w:pPr>
      <w:rPr>
        <w:rFonts w:ascii="Courier New" w:hAnsi="Courier New" w:cs="Courier New" w:hint="default"/>
      </w:rPr>
    </w:lvl>
    <w:lvl w:ilvl="8" w:tplc="04020005">
      <w:start w:val="1"/>
      <w:numFmt w:val="bullet"/>
      <w:lvlText w:val=""/>
      <w:lvlJc w:val="left"/>
      <w:pPr>
        <w:ind w:left="7281" w:hanging="360"/>
      </w:pPr>
      <w:rPr>
        <w:rFonts w:ascii="Wingdings" w:hAnsi="Wingdings" w:hint="default"/>
      </w:rPr>
    </w:lvl>
  </w:abstractNum>
  <w:abstractNum w:abstractNumId="27">
    <w:nsid w:val="25A20358"/>
    <w:multiLevelType w:val="hybridMultilevel"/>
    <w:tmpl w:val="E1D8CE2E"/>
    <w:lvl w:ilvl="0" w:tplc="B8369D36">
      <w:start w:val="1"/>
      <w:numFmt w:val="bullet"/>
      <w:lvlText w:val=""/>
      <w:lvlJc w:val="left"/>
      <w:pPr>
        <w:tabs>
          <w:tab w:val="num" w:pos="898"/>
        </w:tabs>
        <w:ind w:firstLine="360"/>
      </w:pPr>
      <w:rPr>
        <w:rFonts w:ascii="Symbol" w:hAnsi="Symbol" w:hint="default"/>
        <w:color w:val="auto"/>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8">
    <w:nsid w:val="26803780"/>
    <w:multiLevelType w:val="hybridMultilevel"/>
    <w:tmpl w:val="D2A6B9FA"/>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29">
    <w:nsid w:val="2B936403"/>
    <w:multiLevelType w:val="hybridMultilevel"/>
    <w:tmpl w:val="4364C2CC"/>
    <w:lvl w:ilvl="0" w:tplc="0402000B">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0">
    <w:nsid w:val="2D135C79"/>
    <w:multiLevelType w:val="hybridMultilevel"/>
    <w:tmpl w:val="A852D7D2"/>
    <w:lvl w:ilvl="0" w:tplc="0402000D">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F7F4720"/>
    <w:multiLevelType w:val="hybridMultilevel"/>
    <w:tmpl w:val="0CFA38B2"/>
    <w:lvl w:ilvl="0" w:tplc="B8089F6A">
      <w:start w:val="1"/>
      <w:numFmt w:val="bullet"/>
      <w:lvlText w:val=""/>
      <w:lvlJc w:val="left"/>
      <w:pPr>
        <w:tabs>
          <w:tab w:val="num" w:pos="1547"/>
        </w:tabs>
        <w:ind w:left="1185" w:firstLine="96"/>
      </w:pPr>
      <w:rPr>
        <w:rFonts w:ascii="Wingdings" w:hAnsi="Wingdings"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2">
    <w:nsid w:val="300F721A"/>
    <w:multiLevelType w:val="hybridMultilevel"/>
    <w:tmpl w:val="90A23CF2"/>
    <w:lvl w:ilvl="0" w:tplc="C70A4C3A">
      <w:start w:val="1"/>
      <w:numFmt w:val="bullet"/>
      <w:lvlText w:val=""/>
      <w:lvlJc w:val="left"/>
      <w:pPr>
        <w:tabs>
          <w:tab w:val="num" w:pos="1440"/>
        </w:tabs>
        <w:ind w:left="1440" w:hanging="360"/>
      </w:pPr>
      <w:rPr>
        <w:rFonts w:ascii="Symbol" w:hAnsi="Symbol" w:hint="default"/>
        <w:color w:val="auto"/>
      </w:rPr>
    </w:lvl>
    <w:lvl w:ilvl="1" w:tplc="54C466F6">
      <w:numFmt w:val="bullet"/>
      <w:lvlText w:val="-"/>
      <w:lvlJc w:val="left"/>
      <w:pPr>
        <w:tabs>
          <w:tab w:val="num" w:pos="2160"/>
        </w:tabs>
        <w:ind w:left="2160" w:hanging="360"/>
      </w:pPr>
      <w:rPr>
        <w:rFonts w:ascii="Times New Roman" w:eastAsia="Times New Roman" w:hAnsi="Times New Roman" w:hint="default"/>
        <w:color w:val="auto"/>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33">
    <w:nsid w:val="30905154"/>
    <w:multiLevelType w:val="hybridMultilevel"/>
    <w:tmpl w:val="94749AF2"/>
    <w:lvl w:ilvl="0" w:tplc="C6C87552">
      <w:numFmt w:val="bullet"/>
      <w:lvlText w:val="-"/>
      <w:lvlJc w:val="left"/>
      <w:pPr>
        <w:tabs>
          <w:tab w:val="num" w:pos="1870"/>
        </w:tabs>
        <w:ind w:left="1870" w:hanging="360"/>
      </w:pPr>
      <w:rPr>
        <w:rFonts w:ascii="Times New Roman" w:eastAsia="Times New Roman" w:hAnsi="Times New Roman" w:hint="default"/>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4">
    <w:nsid w:val="34100F19"/>
    <w:multiLevelType w:val="hybridMultilevel"/>
    <w:tmpl w:val="95C6421A"/>
    <w:lvl w:ilvl="0" w:tplc="B8089F6A">
      <w:start w:val="1"/>
      <w:numFmt w:val="bullet"/>
      <w:lvlText w:val=""/>
      <w:lvlJc w:val="left"/>
      <w:pPr>
        <w:tabs>
          <w:tab w:val="num" w:pos="2157"/>
        </w:tabs>
        <w:ind w:left="2157" w:hanging="357"/>
      </w:pPr>
      <w:rPr>
        <w:rFonts w:ascii="Wingdings" w:hAnsi="Wingdings" w:hint="default"/>
        <w:color w:val="auto"/>
        <w:sz w:val="28"/>
        <w:u w:color="FFFFFF"/>
      </w:rPr>
    </w:lvl>
    <w:lvl w:ilvl="1" w:tplc="0402000B">
      <w:start w:val="1"/>
      <w:numFmt w:val="bullet"/>
      <w:lvlText w:val=""/>
      <w:lvlJc w:val="left"/>
      <w:pPr>
        <w:tabs>
          <w:tab w:val="num" w:pos="1440"/>
        </w:tabs>
        <w:ind w:left="1440" w:hanging="360"/>
      </w:pPr>
      <w:rPr>
        <w:rFonts w:ascii="Wingdings" w:hAnsi="Wingdings" w:hint="default"/>
        <w:color w:val="auto"/>
        <w:sz w:val="28"/>
        <w:u w:color="FFFFFF"/>
      </w:rPr>
    </w:lvl>
    <w:lvl w:ilvl="2" w:tplc="04020005">
      <w:start w:val="1"/>
      <w:numFmt w:val="bullet"/>
      <w:lvlText w:val=""/>
      <w:lvlJc w:val="left"/>
      <w:pPr>
        <w:tabs>
          <w:tab w:val="num" w:pos="2160"/>
        </w:tabs>
        <w:ind w:left="2160" w:hanging="360"/>
      </w:pPr>
      <w:rPr>
        <w:rFonts w:ascii="Wingdings" w:hAnsi="Wingdings" w:hint="default"/>
      </w:rPr>
    </w:lvl>
    <w:lvl w:ilvl="3" w:tplc="04020001">
      <w:start w:val="1"/>
      <w:numFmt w:val="bullet"/>
      <w:lvlText w:val=""/>
      <w:lvlJc w:val="left"/>
      <w:pPr>
        <w:tabs>
          <w:tab w:val="num" w:pos="2880"/>
        </w:tabs>
        <w:ind w:left="2880" w:hanging="360"/>
      </w:pPr>
      <w:rPr>
        <w:rFonts w:ascii="Symbol" w:hAnsi="Symbol" w:hint="default"/>
      </w:rPr>
    </w:lvl>
    <w:lvl w:ilvl="4" w:tplc="04020003">
      <w:start w:val="1"/>
      <w:numFmt w:val="bullet"/>
      <w:lvlText w:val="o"/>
      <w:lvlJc w:val="left"/>
      <w:pPr>
        <w:tabs>
          <w:tab w:val="num" w:pos="3600"/>
        </w:tabs>
        <w:ind w:left="3600" w:hanging="360"/>
      </w:pPr>
      <w:rPr>
        <w:rFonts w:ascii="Courier New" w:hAnsi="Courier New" w:cs="Courier New" w:hint="default"/>
      </w:rPr>
    </w:lvl>
    <w:lvl w:ilvl="5" w:tplc="04020005">
      <w:start w:val="1"/>
      <w:numFmt w:val="bullet"/>
      <w:lvlText w:val=""/>
      <w:lvlJc w:val="left"/>
      <w:pPr>
        <w:tabs>
          <w:tab w:val="num" w:pos="4320"/>
        </w:tabs>
        <w:ind w:left="4320" w:hanging="360"/>
      </w:pPr>
      <w:rPr>
        <w:rFonts w:ascii="Wingdings" w:hAnsi="Wingdings" w:hint="default"/>
      </w:rPr>
    </w:lvl>
    <w:lvl w:ilvl="6" w:tplc="04020001">
      <w:start w:val="1"/>
      <w:numFmt w:val="bullet"/>
      <w:lvlText w:val=""/>
      <w:lvlJc w:val="left"/>
      <w:pPr>
        <w:tabs>
          <w:tab w:val="num" w:pos="5040"/>
        </w:tabs>
        <w:ind w:left="5040" w:hanging="360"/>
      </w:pPr>
      <w:rPr>
        <w:rFonts w:ascii="Symbol" w:hAnsi="Symbol" w:hint="default"/>
      </w:rPr>
    </w:lvl>
    <w:lvl w:ilvl="7" w:tplc="04020003">
      <w:start w:val="1"/>
      <w:numFmt w:val="bullet"/>
      <w:lvlText w:val="o"/>
      <w:lvlJc w:val="left"/>
      <w:pPr>
        <w:tabs>
          <w:tab w:val="num" w:pos="5760"/>
        </w:tabs>
        <w:ind w:left="5760" w:hanging="360"/>
      </w:pPr>
      <w:rPr>
        <w:rFonts w:ascii="Courier New" w:hAnsi="Courier New" w:cs="Courier New" w:hint="default"/>
      </w:rPr>
    </w:lvl>
    <w:lvl w:ilvl="8" w:tplc="04020005">
      <w:start w:val="1"/>
      <w:numFmt w:val="bullet"/>
      <w:lvlText w:val=""/>
      <w:lvlJc w:val="left"/>
      <w:pPr>
        <w:tabs>
          <w:tab w:val="num" w:pos="6480"/>
        </w:tabs>
        <w:ind w:left="6480" w:hanging="360"/>
      </w:pPr>
      <w:rPr>
        <w:rFonts w:ascii="Wingdings" w:hAnsi="Wingdings" w:hint="default"/>
      </w:rPr>
    </w:lvl>
  </w:abstractNum>
  <w:abstractNum w:abstractNumId="35">
    <w:nsid w:val="34850308"/>
    <w:multiLevelType w:val="hybridMultilevel"/>
    <w:tmpl w:val="F53CAB0A"/>
    <w:lvl w:ilvl="0" w:tplc="B8089F6A">
      <w:start w:val="1"/>
      <w:numFmt w:val="bullet"/>
      <w:lvlText w:val=""/>
      <w:lvlJc w:val="left"/>
      <w:pPr>
        <w:tabs>
          <w:tab w:val="num" w:pos="1260"/>
        </w:tabs>
        <w:ind w:left="1260" w:hanging="360"/>
      </w:pPr>
      <w:rPr>
        <w:rFonts w:ascii="Symbol" w:hAnsi="Symbol" w:hint="default"/>
        <w:color w:val="auto"/>
      </w:rPr>
    </w:lvl>
    <w:lvl w:ilvl="1" w:tplc="04020003">
      <w:start w:val="1"/>
      <w:numFmt w:val="bullet"/>
      <w:lvlText w:val="o"/>
      <w:lvlJc w:val="left"/>
      <w:pPr>
        <w:tabs>
          <w:tab w:val="num" w:pos="1980"/>
        </w:tabs>
        <w:ind w:left="1980" w:hanging="360"/>
      </w:pPr>
      <w:rPr>
        <w:rFonts w:ascii="Courier New" w:hAnsi="Courier New" w:hint="default"/>
        <w:color w:val="auto"/>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36">
    <w:nsid w:val="37BD1B85"/>
    <w:multiLevelType w:val="hybridMultilevel"/>
    <w:tmpl w:val="DA00C15A"/>
    <w:lvl w:ilvl="0" w:tplc="04020001">
      <w:start w:val="1"/>
      <w:numFmt w:val="bullet"/>
      <w:lvlText w:val=""/>
      <w:lvlJc w:val="left"/>
      <w:pPr>
        <w:ind w:left="1571" w:hanging="360"/>
      </w:pPr>
      <w:rPr>
        <w:rFonts w:ascii="Symbol" w:hAnsi="Symbol" w:hint="default"/>
      </w:rPr>
    </w:lvl>
    <w:lvl w:ilvl="1" w:tplc="04020003">
      <w:start w:val="1"/>
      <w:numFmt w:val="bullet"/>
      <w:lvlText w:val="o"/>
      <w:lvlJc w:val="left"/>
      <w:pPr>
        <w:ind w:left="2291" w:hanging="360"/>
      </w:pPr>
      <w:rPr>
        <w:rFonts w:ascii="Courier New" w:hAnsi="Courier New" w:cs="Courier New" w:hint="default"/>
      </w:rPr>
    </w:lvl>
    <w:lvl w:ilvl="2" w:tplc="04020005">
      <w:start w:val="1"/>
      <w:numFmt w:val="bullet"/>
      <w:lvlText w:val=""/>
      <w:lvlJc w:val="left"/>
      <w:pPr>
        <w:ind w:left="3011" w:hanging="360"/>
      </w:pPr>
      <w:rPr>
        <w:rFonts w:ascii="Wingdings" w:hAnsi="Wingdings" w:hint="default"/>
      </w:rPr>
    </w:lvl>
    <w:lvl w:ilvl="3" w:tplc="04020001">
      <w:start w:val="1"/>
      <w:numFmt w:val="bullet"/>
      <w:lvlText w:val=""/>
      <w:lvlJc w:val="left"/>
      <w:pPr>
        <w:ind w:left="3731" w:hanging="360"/>
      </w:pPr>
      <w:rPr>
        <w:rFonts w:ascii="Symbol" w:hAnsi="Symbol" w:hint="default"/>
      </w:rPr>
    </w:lvl>
    <w:lvl w:ilvl="4" w:tplc="04020003">
      <w:start w:val="1"/>
      <w:numFmt w:val="bullet"/>
      <w:lvlText w:val="o"/>
      <w:lvlJc w:val="left"/>
      <w:pPr>
        <w:ind w:left="4451" w:hanging="360"/>
      </w:pPr>
      <w:rPr>
        <w:rFonts w:ascii="Courier New" w:hAnsi="Courier New" w:cs="Courier New" w:hint="default"/>
      </w:rPr>
    </w:lvl>
    <w:lvl w:ilvl="5" w:tplc="04020005">
      <w:start w:val="1"/>
      <w:numFmt w:val="bullet"/>
      <w:lvlText w:val=""/>
      <w:lvlJc w:val="left"/>
      <w:pPr>
        <w:ind w:left="5171" w:hanging="360"/>
      </w:pPr>
      <w:rPr>
        <w:rFonts w:ascii="Wingdings" w:hAnsi="Wingdings" w:hint="default"/>
      </w:rPr>
    </w:lvl>
    <w:lvl w:ilvl="6" w:tplc="04020001">
      <w:start w:val="1"/>
      <w:numFmt w:val="bullet"/>
      <w:lvlText w:val=""/>
      <w:lvlJc w:val="left"/>
      <w:pPr>
        <w:ind w:left="5891" w:hanging="360"/>
      </w:pPr>
      <w:rPr>
        <w:rFonts w:ascii="Symbol" w:hAnsi="Symbol" w:hint="default"/>
      </w:rPr>
    </w:lvl>
    <w:lvl w:ilvl="7" w:tplc="04020003">
      <w:start w:val="1"/>
      <w:numFmt w:val="bullet"/>
      <w:lvlText w:val="o"/>
      <w:lvlJc w:val="left"/>
      <w:pPr>
        <w:ind w:left="6611" w:hanging="360"/>
      </w:pPr>
      <w:rPr>
        <w:rFonts w:ascii="Courier New" w:hAnsi="Courier New" w:cs="Courier New" w:hint="default"/>
      </w:rPr>
    </w:lvl>
    <w:lvl w:ilvl="8" w:tplc="04020005">
      <w:start w:val="1"/>
      <w:numFmt w:val="bullet"/>
      <w:lvlText w:val=""/>
      <w:lvlJc w:val="left"/>
      <w:pPr>
        <w:ind w:left="7331" w:hanging="360"/>
      </w:pPr>
      <w:rPr>
        <w:rFonts w:ascii="Wingdings" w:hAnsi="Wingdings" w:hint="default"/>
      </w:rPr>
    </w:lvl>
  </w:abstractNum>
  <w:abstractNum w:abstractNumId="37">
    <w:nsid w:val="3B340A55"/>
    <w:multiLevelType w:val="hybridMultilevel"/>
    <w:tmpl w:val="1B060E06"/>
    <w:lvl w:ilvl="0" w:tplc="04020001">
      <w:start w:val="1"/>
      <w:numFmt w:val="bullet"/>
      <w:lvlText w:val=""/>
      <w:lvlJc w:val="left"/>
      <w:pPr>
        <w:ind w:left="360" w:hanging="360"/>
      </w:pPr>
      <w:rPr>
        <w:rFonts w:ascii="Symbol" w:hAnsi="Symbol" w:hint="default"/>
      </w:rPr>
    </w:lvl>
    <w:lvl w:ilvl="1" w:tplc="04020003">
      <w:start w:val="1"/>
      <w:numFmt w:val="bullet"/>
      <w:lvlText w:val="o"/>
      <w:lvlJc w:val="left"/>
      <w:pPr>
        <w:ind w:left="1080" w:hanging="360"/>
      </w:pPr>
      <w:rPr>
        <w:rFonts w:ascii="Courier New" w:hAnsi="Courier New" w:cs="Courier New" w:hint="default"/>
      </w:rPr>
    </w:lvl>
    <w:lvl w:ilvl="2" w:tplc="04020005">
      <w:start w:val="1"/>
      <w:numFmt w:val="bullet"/>
      <w:lvlText w:val=""/>
      <w:lvlJc w:val="left"/>
      <w:pPr>
        <w:ind w:left="1800" w:hanging="360"/>
      </w:pPr>
      <w:rPr>
        <w:rFonts w:ascii="Wingdings" w:hAnsi="Wingdings" w:hint="default"/>
      </w:rPr>
    </w:lvl>
    <w:lvl w:ilvl="3" w:tplc="04020001">
      <w:start w:val="1"/>
      <w:numFmt w:val="bullet"/>
      <w:lvlText w:val=""/>
      <w:lvlJc w:val="left"/>
      <w:pPr>
        <w:ind w:left="2520" w:hanging="360"/>
      </w:pPr>
      <w:rPr>
        <w:rFonts w:ascii="Symbol" w:hAnsi="Symbol" w:hint="default"/>
      </w:rPr>
    </w:lvl>
    <w:lvl w:ilvl="4" w:tplc="04020003">
      <w:start w:val="1"/>
      <w:numFmt w:val="bullet"/>
      <w:lvlText w:val="o"/>
      <w:lvlJc w:val="left"/>
      <w:pPr>
        <w:ind w:left="3240" w:hanging="360"/>
      </w:pPr>
      <w:rPr>
        <w:rFonts w:ascii="Courier New" w:hAnsi="Courier New" w:cs="Courier New" w:hint="default"/>
      </w:rPr>
    </w:lvl>
    <w:lvl w:ilvl="5" w:tplc="04020005">
      <w:start w:val="1"/>
      <w:numFmt w:val="bullet"/>
      <w:lvlText w:val=""/>
      <w:lvlJc w:val="left"/>
      <w:pPr>
        <w:ind w:left="3960" w:hanging="360"/>
      </w:pPr>
      <w:rPr>
        <w:rFonts w:ascii="Wingdings" w:hAnsi="Wingdings" w:hint="default"/>
      </w:rPr>
    </w:lvl>
    <w:lvl w:ilvl="6" w:tplc="04020001">
      <w:start w:val="1"/>
      <w:numFmt w:val="bullet"/>
      <w:lvlText w:val=""/>
      <w:lvlJc w:val="left"/>
      <w:pPr>
        <w:ind w:left="4680" w:hanging="360"/>
      </w:pPr>
      <w:rPr>
        <w:rFonts w:ascii="Symbol" w:hAnsi="Symbol" w:hint="default"/>
      </w:rPr>
    </w:lvl>
    <w:lvl w:ilvl="7" w:tplc="04020003">
      <w:start w:val="1"/>
      <w:numFmt w:val="bullet"/>
      <w:lvlText w:val="o"/>
      <w:lvlJc w:val="left"/>
      <w:pPr>
        <w:ind w:left="5400" w:hanging="360"/>
      </w:pPr>
      <w:rPr>
        <w:rFonts w:ascii="Courier New" w:hAnsi="Courier New" w:cs="Courier New" w:hint="default"/>
      </w:rPr>
    </w:lvl>
    <w:lvl w:ilvl="8" w:tplc="04020005">
      <w:start w:val="1"/>
      <w:numFmt w:val="bullet"/>
      <w:lvlText w:val=""/>
      <w:lvlJc w:val="left"/>
      <w:pPr>
        <w:ind w:left="6120" w:hanging="360"/>
      </w:pPr>
      <w:rPr>
        <w:rFonts w:ascii="Wingdings" w:hAnsi="Wingdings" w:hint="default"/>
      </w:rPr>
    </w:lvl>
  </w:abstractNum>
  <w:abstractNum w:abstractNumId="38">
    <w:nsid w:val="3C4D11E1"/>
    <w:multiLevelType w:val="hybridMultilevel"/>
    <w:tmpl w:val="65D6544E"/>
    <w:lvl w:ilvl="0" w:tplc="104229B6">
      <w:numFmt w:val="bullet"/>
      <w:lvlText w:val="-"/>
      <w:lvlJc w:val="left"/>
      <w:pPr>
        <w:tabs>
          <w:tab w:val="num" w:pos="1870"/>
        </w:tabs>
        <w:ind w:left="1870" w:hanging="360"/>
      </w:pPr>
      <w:rPr>
        <w:rFonts w:ascii="Times New Roman" w:eastAsia="Times New Roman" w:hAnsi="Times New Roman" w:hint="default"/>
        <w:b w:val="0"/>
      </w:rPr>
    </w:lvl>
    <w:lvl w:ilvl="1" w:tplc="9098928A">
      <w:start w:val="1"/>
      <w:numFmt w:val="decimal"/>
      <w:lvlText w:val="%2."/>
      <w:lvlJc w:val="left"/>
      <w:pPr>
        <w:tabs>
          <w:tab w:val="num" w:pos="1150"/>
        </w:tabs>
        <w:ind w:left="1150" w:hanging="360"/>
      </w:pPr>
      <w:rPr>
        <w:rFonts w:cs="Times New Roman" w:hint="default"/>
        <w:b/>
      </w:rPr>
    </w:lvl>
    <w:lvl w:ilvl="2" w:tplc="04020005" w:tentative="1">
      <w:start w:val="1"/>
      <w:numFmt w:val="lowerRoman"/>
      <w:lvlText w:val="%3."/>
      <w:lvlJc w:val="right"/>
      <w:pPr>
        <w:tabs>
          <w:tab w:val="num" w:pos="1870"/>
        </w:tabs>
        <w:ind w:left="1870" w:hanging="180"/>
      </w:pPr>
      <w:rPr>
        <w:rFonts w:cs="Times New Roman"/>
      </w:rPr>
    </w:lvl>
    <w:lvl w:ilvl="3" w:tplc="04020001" w:tentative="1">
      <w:start w:val="1"/>
      <w:numFmt w:val="decimal"/>
      <w:lvlText w:val="%4."/>
      <w:lvlJc w:val="left"/>
      <w:pPr>
        <w:tabs>
          <w:tab w:val="num" w:pos="2590"/>
        </w:tabs>
        <w:ind w:left="2590" w:hanging="360"/>
      </w:pPr>
      <w:rPr>
        <w:rFonts w:cs="Times New Roman"/>
      </w:rPr>
    </w:lvl>
    <w:lvl w:ilvl="4" w:tplc="04020003" w:tentative="1">
      <w:start w:val="1"/>
      <w:numFmt w:val="lowerLetter"/>
      <w:lvlText w:val="%5."/>
      <w:lvlJc w:val="left"/>
      <w:pPr>
        <w:tabs>
          <w:tab w:val="num" w:pos="3310"/>
        </w:tabs>
        <w:ind w:left="3310" w:hanging="360"/>
      </w:pPr>
      <w:rPr>
        <w:rFonts w:cs="Times New Roman"/>
      </w:rPr>
    </w:lvl>
    <w:lvl w:ilvl="5" w:tplc="04020005" w:tentative="1">
      <w:start w:val="1"/>
      <w:numFmt w:val="lowerRoman"/>
      <w:lvlText w:val="%6."/>
      <w:lvlJc w:val="right"/>
      <w:pPr>
        <w:tabs>
          <w:tab w:val="num" w:pos="4030"/>
        </w:tabs>
        <w:ind w:left="4030" w:hanging="180"/>
      </w:pPr>
      <w:rPr>
        <w:rFonts w:cs="Times New Roman"/>
      </w:rPr>
    </w:lvl>
    <w:lvl w:ilvl="6" w:tplc="04020001" w:tentative="1">
      <w:start w:val="1"/>
      <w:numFmt w:val="decimal"/>
      <w:lvlText w:val="%7."/>
      <w:lvlJc w:val="left"/>
      <w:pPr>
        <w:tabs>
          <w:tab w:val="num" w:pos="4750"/>
        </w:tabs>
        <w:ind w:left="4750" w:hanging="360"/>
      </w:pPr>
      <w:rPr>
        <w:rFonts w:cs="Times New Roman"/>
      </w:rPr>
    </w:lvl>
    <w:lvl w:ilvl="7" w:tplc="04020003" w:tentative="1">
      <w:start w:val="1"/>
      <w:numFmt w:val="lowerLetter"/>
      <w:lvlText w:val="%8."/>
      <w:lvlJc w:val="left"/>
      <w:pPr>
        <w:tabs>
          <w:tab w:val="num" w:pos="5470"/>
        </w:tabs>
        <w:ind w:left="5470" w:hanging="360"/>
      </w:pPr>
      <w:rPr>
        <w:rFonts w:cs="Times New Roman"/>
      </w:rPr>
    </w:lvl>
    <w:lvl w:ilvl="8" w:tplc="04020005" w:tentative="1">
      <w:start w:val="1"/>
      <w:numFmt w:val="lowerRoman"/>
      <w:lvlText w:val="%9."/>
      <w:lvlJc w:val="right"/>
      <w:pPr>
        <w:tabs>
          <w:tab w:val="num" w:pos="6190"/>
        </w:tabs>
        <w:ind w:left="6190" w:hanging="180"/>
      </w:pPr>
      <w:rPr>
        <w:rFonts w:cs="Times New Roman"/>
      </w:rPr>
    </w:lvl>
  </w:abstractNum>
  <w:abstractNum w:abstractNumId="39">
    <w:nsid w:val="3D095497"/>
    <w:multiLevelType w:val="hybridMultilevel"/>
    <w:tmpl w:val="EBE6556E"/>
    <w:lvl w:ilvl="0" w:tplc="04020003">
      <w:start w:val="1"/>
      <w:numFmt w:val="bullet"/>
      <w:lvlText w:val="o"/>
      <w:lvlJc w:val="left"/>
      <w:pPr>
        <w:ind w:left="360" w:hanging="360"/>
      </w:pPr>
      <w:rPr>
        <w:rFonts w:ascii="Courier New" w:hAnsi="Courier New" w:cs="Courier New" w:hint="default"/>
      </w:rPr>
    </w:lvl>
    <w:lvl w:ilvl="1" w:tplc="04020003">
      <w:start w:val="1"/>
      <w:numFmt w:val="bullet"/>
      <w:lvlText w:val="o"/>
      <w:lvlJc w:val="left"/>
      <w:pPr>
        <w:ind w:left="1080" w:hanging="360"/>
      </w:pPr>
      <w:rPr>
        <w:rFonts w:ascii="Courier New" w:hAnsi="Courier New" w:cs="Courier New" w:hint="default"/>
      </w:rPr>
    </w:lvl>
    <w:lvl w:ilvl="2" w:tplc="04020005">
      <w:start w:val="1"/>
      <w:numFmt w:val="bullet"/>
      <w:lvlText w:val=""/>
      <w:lvlJc w:val="left"/>
      <w:pPr>
        <w:ind w:left="1800" w:hanging="360"/>
      </w:pPr>
      <w:rPr>
        <w:rFonts w:ascii="Wingdings" w:hAnsi="Wingdings" w:hint="default"/>
      </w:rPr>
    </w:lvl>
    <w:lvl w:ilvl="3" w:tplc="04020001">
      <w:start w:val="1"/>
      <w:numFmt w:val="bullet"/>
      <w:lvlText w:val=""/>
      <w:lvlJc w:val="left"/>
      <w:pPr>
        <w:ind w:left="2520" w:hanging="360"/>
      </w:pPr>
      <w:rPr>
        <w:rFonts w:ascii="Symbol" w:hAnsi="Symbol" w:hint="default"/>
      </w:rPr>
    </w:lvl>
    <w:lvl w:ilvl="4" w:tplc="04020003">
      <w:start w:val="1"/>
      <w:numFmt w:val="bullet"/>
      <w:lvlText w:val="o"/>
      <w:lvlJc w:val="left"/>
      <w:pPr>
        <w:ind w:left="3240" w:hanging="360"/>
      </w:pPr>
      <w:rPr>
        <w:rFonts w:ascii="Courier New" w:hAnsi="Courier New" w:cs="Courier New" w:hint="default"/>
      </w:rPr>
    </w:lvl>
    <w:lvl w:ilvl="5" w:tplc="04020005">
      <w:start w:val="1"/>
      <w:numFmt w:val="bullet"/>
      <w:lvlText w:val=""/>
      <w:lvlJc w:val="left"/>
      <w:pPr>
        <w:ind w:left="3960" w:hanging="360"/>
      </w:pPr>
      <w:rPr>
        <w:rFonts w:ascii="Wingdings" w:hAnsi="Wingdings" w:hint="default"/>
      </w:rPr>
    </w:lvl>
    <w:lvl w:ilvl="6" w:tplc="04020001">
      <w:start w:val="1"/>
      <w:numFmt w:val="bullet"/>
      <w:lvlText w:val=""/>
      <w:lvlJc w:val="left"/>
      <w:pPr>
        <w:ind w:left="4680" w:hanging="360"/>
      </w:pPr>
      <w:rPr>
        <w:rFonts w:ascii="Symbol" w:hAnsi="Symbol" w:hint="default"/>
      </w:rPr>
    </w:lvl>
    <w:lvl w:ilvl="7" w:tplc="04020003">
      <w:start w:val="1"/>
      <w:numFmt w:val="bullet"/>
      <w:lvlText w:val="o"/>
      <w:lvlJc w:val="left"/>
      <w:pPr>
        <w:ind w:left="5400" w:hanging="360"/>
      </w:pPr>
      <w:rPr>
        <w:rFonts w:ascii="Courier New" w:hAnsi="Courier New" w:cs="Courier New" w:hint="default"/>
      </w:rPr>
    </w:lvl>
    <w:lvl w:ilvl="8" w:tplc="04020005">
      <w:start w:val="1"/>
      <w:numFmt w:val="bullet"/>
      <w:lvlText w:val=""/>
      <w:lvlJc w:val="left"/>
      <w:pPr>
        <w:ind w:left="6120" w:hanging="360"/>
      </w:pPr>
      <w:rPr>
        <w:rFonts w:ascii="Wingdings" w:hAnsi="Wingdings" w:hint="default"/>
      </w:rPr>
    </w:lvl>
  </w:abstractNum>
  <w:abstractNum w:abstractNumId="40">
    <w:nsid w:val="40083A30"/>
    <w:multiLevelType w:val="multilevel"/>
    <w:tmpl w:val="9A763DD2"/>
    <w:lvl w:ilvl="0">
      <w:start w:val="1"/>
      <w:numFmt w:val="decimal"/>
      <w:lvlText w:val="%1."/>
      <w:lvlJc w:val="left"/>
      <w:pPr>
        <w:tabs>
          <w:tab w:val="num" w:pos="360"/>
        </w:tabs>
        <w:ind w:left="360" w:hanging="360"/>
      </w:pPr>
      <w:rPr>
        <w:rFonts w:cs="Times New Roman" w:hint="default"/>
      </w:rPr>
    </w:lvl>
    <w:lvl w:ilvl="1">
      <w:start w:val="1"/>
      <w:numFmt w:val="none"/>
      <w:lvlText w:val="1.1"/>
      <w:lvlJc w:val="left"/>
      <w:pPr>
        <w:tabs>
          <w:tab w:val="num" w:pos="792"/>
        </w:tabs>
        <w:ind w:left="792" w:hanging="432"/>
      </w:pPr>
      <w:rPr>
        <w:rFonts w:ascii="Times New Roman" w:hAnsi="Times New Roman" w:cs="Times New Roman" w:hint="default"/>
        <w:b/>
        <w:i w:val="0"/>
        <w:sz w:val="24"/>
        <w:szCs w:val="24"/>
      </w:rPr>
    </w:lvl>
    <w:lvl w:ilvl="2">
      <w:start w:val="1"/>
      <w:numFmt w:val="none"/>
      <w:lvlText w:val="3.2.3."/>
      <w:lvlJc w:val="left"/>
      <w:pPr>
        <w:tabs>
          <w:tab w:val="num" w:pos="1224"/>
        </w:tabs>
        <w:ind w:left="1224" w:hanging="504"/>
      </w:pPr>
      <w:rPr>
        <w:rFonts w:ascii="Times New Roman" w:hAnsi="Times New Roman" w:cs="Times New Roman" w:hint="default"/>
        <w:b/>
        <w:sz w:val="24"/>
        <w:szCs w:val="24"/>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1">
    <w:nsid w:val="41010141"/>
    <w:multiLevelType w:val="hybridMultilevel"/>
    <w:tmpl w:val="A7EA3324"/>
    <w:lvl w:ilvl="0" w:tplc="04020001">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cs="Courier New" w:hint="default"/>
      </w:rPr>
    </w:lvl>
    <w:lvl w:ilvl="2" w:tplc="04020005">
      <w:start w:val="1"/>
      <w:numFmt w:val="bullet"/>
      <w:lvlText w:val=""/>
      <w:lvlJc w:val="left"/>
      <w:pPr>
        <w:ind w:left="2880" w:hanging="360"/>
      </w:pPr>
      <w:rPr>
        <w:rFonts w:ascii="Wingdings" w:hAnsi="Wingdings" w:hint="default"/>
      </w:rPr>
    </w:lvl>
    <w:lvl w:ilvl="3" w:tplc="04020001">
      <w:start w:val="1"/>
      <w:numFmt w:val="bullet"/>
      <w:lvlText w:val=""/>
      <w:lvlJc w:val="left"/>
      <w:pPr>
        <w:ind w:left="3600" w:hanging="360"/>
      </w:pPr>
      <w:rPr>
        <w:rFonts w:ascii="Symbol" w:hAnsi="Symbol" w:hint="default"/>
      </w:rPr>
    </w:lvl>
    <w:lvl w:ilvl="4" w:tplc="04020003">
      <w:start w:val="1"/>
      <w:numFmt w:val="bullet"/>
      <w:lvlText w:val="o"/>
      <w:lvlJc w:val="left"/>
      <w:pPr>
        <w:ind w:left="4320" w:hanging="360"/>
      </w:pPr>
      <w:rPr>
        <w:rFonts w:ascii="Courier New" w:hAnsi="Courier New" w:cs="Courier New" w:hint="default"/>
      </w:rPr>
    </w:lvl>
    <w:lvl w:ilvl="5" w:tplc="04020005">
      <w:start w:val="1"/>
      <w:numFmt w:val="bullet"/>
      <w:lvlText w:val=""/>
      <w:lvlJc w:val="left"/>
      <w:pPr>
        <w:ind w:left="5040" w:hanging="360"/>
      </w:pPr>
      <w:rPr>
        <w:rFonts w:ascii="Wingdings" w:hAnsi="Wingdings" w:hint="default"/>
      </w:rPr>
    </w:lvl>
    <w:lvl w:ilvl="6" w:tplc="04020001">
      <w:start w:val="1"/>
      <w:numFmt w:val="bullet"/>
      <w:lvlText w:val=""/>
      <w:lvlJc w:val="left"/>
      <w:pPr>
        <w:ind w:left="5760" w:hanging="360"/>
      </w:pPr>
      <w:rPr>
        <w:rFonts w:ascii="Symbol" w:hAnsi="Symbol" w:hint="default"/>
      </w:rPr>
    </w:lvl>
    <w:lvl w:ilvl="7" w:tplc="04020003">
      <w:start w:val="1"/>
      <w:numFmt w:val="bullet"/>
      <w:lvlText w:val="o"/>
      <w:lvlJc w:val="left"/>
      <w:pPr>
        <w:ind w:left="6480" w:hanging="360"/>
      </w:pPr>
      <w:rPr>
        <w:rFonts w:ascii="Courier New" w:hAnsi="Courier New" w:cs="Courier New" w:hint="default"/>
      </w:rPr>
    </w:lvl>
    <w:lvl w:ilvl="8" w:tplc="04020005">
      <w:start w:val="1"/>
      <w:numFmt w:val="bullet"/>
      <w:lvlText w:val=""/>
      <w:lvlJc w:val="left"/>
      <w:pPr>
        <w:ind w:left="7200" w:hanging="360"/>
      </w:pPr>
      <w:rPr>
        <w:rFonts w:ascii="Wingdings" w:hAnsi="Wingdings" w:hint="default"/>
      </w:rPr>
    </w:lvl>
  </w:abstractNum>
  <w:abstractNum w:abstractNumId="42">
    <w:nsid w:val="419D5F20"/>
    <w:multiLevelType w:val="hybridMultilevel"/>
    <w:tmpl w:val="3140E7FA"/>
    <w:lvl w:ilvl="0" w:tplc="FFFFFFFF">
      <w:start w:val="1"/>
      <w:numFmt w:val="bullet"/>
      <w:lvlText w:val=""/>
      <w:lvlJc w:val="left"/>
      <w:pPr>
        <w:tabs>
          <w:tab w:val="num" w:pos="2157"/>
        </w:tabs>
        <w:ind w:left="2157" w:hanging="357"/>
      </w:pPr>
      <w:rPr>
        <w:rFonts w:ascii="Wingdings" w:hAnsi="Wingdings" w:hint="default"/>
        <w:color w:val="auto"/>
        <w:sz w:val="28"/>
        <w:u w:color="FFFFFF"/>
      </w:rPr>
    </w:lvl>
    <w:lvl w:ilvl="1" w:tplc="FFFFFFFF" w:tentative="1">
      <w:start w:val="1"/>
      <w:numFmt w:val="bullet"/>
      <w:lvlText w:val="o"/>
      <w:lvlJc w:val="left"/>
      <w:pPr>
        <w:tabs>
          <w:tab w:val="num" w:pos="2520"/>
        </w:tabs>
        <w:ind w:left="2520" w:hanging="360"/>
      </w:pPr>
      <w:rPr>
        <w:rFonts w:ascii="Courier New" w:hAnsi="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43">
    <w:nsid w:val="4416401D"/>
    <w:multiLevelType w:val="hybridMultilevel"/>
    <w:tmpl w:val="9DB250B4"/>
    <w:lvl w:ilvl="0" w:tplc="C6F2B98C">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44">
    <w:nsid w:val="44C87FDD"/>
    <w:multiLevelType w:val="hybridMultilevel"/>
    <w:tmpl w:val="2048F66E"/>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nsid w:val="46AB40F6"/>
    <w:multiLevelType w:val="hybridMultilevel"/>
    <w:tmpl w:val="8F56685A"/>
    <w:lvl w:ilvl="0" w:tplc="3B28C328">
      <w:start w:val="1"/>
      <w:numFmt w:val="bullet"/>
      <w:lvlText w:val=""/>
      <w:lvlJc w:val="left"/>
      <w:pPr>
        <w:tabs>
          <w:tab w:val="num" w:pos="1635"/>
        </w:tabs>
        <w:ind w:left="1635" w:hanging="360"/>
      </w:pPr>
      <w:rPr>
        <w:rFonts w:ascii="Symbol" w:hAnsi="Symbol" w:hint="default"/>
      </w:rPr>
    </w:lvl>
    <w:lvl w:ilvl="1" w:tplc="04020003">
      <w:start w:val="1"/>
      <w:numFmt w:val="bullet"/>
      <w:lvlText w:val="o"/>
      <w:lvlJc w:val="left"/>
      <w:pPr>
        <w:tabs>
          <w:tab w:val="num" w:pos="2355"/>
        </w:tabs>
        <w:ind w:left="2355" w:hanging="360"/>
      </w:pPr>
      <w:rPr>
        <w:rFonts w:ascii="Courier New" w:hAnsi="Courier New" w:hint="default"/>
      </w:rPr>
    </w:lvl>
    <w:lvl w:ilvl="2" w:tplc="04020005" w:tentative="1">
      <w:start w:val="1"/>
      <w:numFmt w:val="bullet"/>
      <w:lvlText w:val=""/>
      <w:lvlJc w:val="left"/>
      <w:pPr>
        <w:tabs>
          <w:tab w:val="num" w:pos="3075"/>
        </w:tabs>
        <w:ind w:left="3075" w:hanging="360"/>
      </w:pPr>
      <w:rPr>
        <w:rFonts w:ascii="Wingdings" w:hAnsi="Wingdings" w:hint="default"/>
      </w:rPr>
    </w:lvl>
    <w:lvl w:ilvl="3" w:tplc="04020001" w:tentative="1">
      <w:start w:val="1"/>
      <w:numFmt w:val="bullet"/>
      <w:lvlText w:val=""/>
      <w:lvlJc w:val="left"/>
      <w:pPr>
        <w:tabs>
          <w:tab w:val="num" w:pos="3795"/>
        </w:tabs>
        <w:ind w:left="3795" w:hanging="360"/>
      </w:pPr>
      <w:rPr>
        <w:rFonts w:ascii="Symbol" w:hAnsi="Symbol" w:hint="default"/>
      </w:rPr>
    </w:lvl>
    <w:lvl w:ilvl="4" w:tplc="04020003" w:tentative="1">
      <w:start w:val="1"/>
      <w:numFmt w:val="bullet"/>
      <w:lvlText w:val="o"/>
      <w:lvlJc w:val="left"/>
      <w:pPr>
        <w:tabs>
          <w:tab w:val="num" w:pos="4515"/>
        </w:tabs>
        <w:ind w:left="4515" w:hanging="360"/>
      </w:pPr>
      <w:rPr>
        <w:rFonts w:ascii="Courier New" w:hAnsi="Courier New" w:hint="default"/>
      </w:rPr>
    </w:lvl>
    <w:lvl w:ilvl="5" w:tplc="04020005" w:tentative="1">
      <w:start w:val="1"/>
      <w:numFmt w:val="bullet"/>
      <w:lvlText w:val=""/>
      <w:lvlJc w:val="left"/>
      <w:pPr>
        <w:tabs>
          <w:tab w:val="num" w:pos="5235"/>
        </w:tabs>
        <w:ind w:left="5235" w:hanging="360"/>
      </w:pPr>
      <w:rPr>
        <w:rFonts w:ascii="Wingdings" w:hAnsi="Wingdings" w:hint="default"/>
      </w:rPr>
    </w:lvl>
    <w:lvl w:ilvl="6" w:tplc="04020001" w:tentative="1">
      <w:start w:val="1"/>
      <w:numFmt w:val="bullet"/>
      <w:lvlText w:val=""/>
      <w:lvlJc w:val="left"/>
      <w:pPr>
        <w:tabs>
          <w:tab w:val="num" w:pos="5955"/>
        </w:tabs>
        <w:ind w:left="5955" w:hanging="360"/>
      </w:pPr>
      <w:rPr>
        <w:rFonts w:ascii="Symbol" w:hAnsi="Symbol" w:hint="default"/>
      </w:rPr>
    </w:lvl>
    <w:lvl w:ilvl="7" w:tplc="04020003" w:tentative="1">
      <w:start w:val="1"/>
      <w:numFmt w:val="bullet"/>
      <w:lvlText w:val="o"/>
      <w:lvlJc w:val="left"/>
      <w:pPr>
        <w:tabs>
          <w:tab w:val="num" w:pos="6675"/>
        </w:tabs>
        <w:ind w:left="6675" w:hanging="360"/>
      </w:pPr>
      <w:rPr>
        <w:rFonts w:ascii="Courier New" w:hAnsi="Courier New" w:hint="default"/>
      </w:rPr>
    </w:lvl>
    <w:lvl w:ilvl="8" w:tplc="04020005" w:tentative="1">
      <w:start w:val="1"/>
      <w:numFmt w:val="bullet"/>
      <w:lvlText w:val=""/>
      <w:lvlJc w:val="left"/>
      <w:pPr>
        <w:tabs>
          <w:tab w:val="num" w:pos="7395"/>
        </w:tabs>
        <w:ind w:left="7395" w:hanging="360"/>
      </w:pPr>
      <w:rPr>
        <w:rFonts w:ascii="Wingdings" w:hAnsi="Wingdings" w:hint="default"/>
      </w:rPr>
    </w:lvl>
  </w:abstractNum>
  <w:abstractNum w:abstractNumId="46">
    <w:nsid w:val="46EE6C15"/>
    <w:multiLevelType w:val="hybridMultilevel"/>
    <w:tmpl w:val="49849BA4"/>
    <w:lvl w:ilvl="0" w:tplc="54C466F6">
      <w:numFmt w:val="bullet"/>
      <w:lvlText w:val="-"/>
      <w:lvlJc w:val="left"/>
      <w:pPr>
        <w:ind w:left="1429" w:hanging="360"/>
      </w:pPr>
      <w:rPr>
        <w:rFonts w:ascii="Times New Roman" w:eastAsia="Times New Roman" w:hAnsi="Times New Roman"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7">
    <w:nsid w:val="47BC3825"/>
    <w:multiLevelType w:val="hybridMultilevel"/>
    <w:tmpl w:val="80D022DA"/>
    <w:lvl w:ilvl="0" w:tplc="5C78D074">
      <w:numFmt w:val="bullet"/>
      <w:lvlText w:val="-"/>
      <w:lvlJc w:val="left"/>
      <w:pPr>
        <w:tabs>
          <w:tab w:val="num" w:pos="720"/>
        </w:tabs>
        <w:ind w:left="720" w:hanging="360"/>
      </w:pPr>
      <w:rPr>
        <w:rFonts w:ascii="Times New Roman" w:eastAsia="Times New Roman" w:hAnsi="Times New Roman" w:hint="default"/>
        <w:i w:val="0"/>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48">
    <w:nsid w:val="47DB5466"/>
    <w:multiLevelType w:val="hybridMultilevel"/>
    <w:tmpl w:val="21144BEE"/>
    <w:lvl w:ilvl="0" w:tplc="54C466F6">
      <w:numFmt w:val="bullet"/>
      <w:lvlText w:val="-"/>
      <w:lvlJc w:val="left"/>
      <w:pPr>
        <w:ind w:left="1429" w:hanging="360"/>
      </w:pPr>
      <w:rPr>
        <w:rFonts w:ascii="Times New Roman" w:eastAsia="Times New Roman" w:hAnsi="Times New Roman"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9">
    <w:nsid w:val="488B2EBC"/>
    <w:multiLevelType w:val="hybridMultilevel"/>
    <w:tmpl w:val="4766AA5C"/>
    <w:lvl w:ilvl="0" w:tplc="963E3A96">
      <w:start w:val="1"/>
      <w:numFmt w:val="bullet"/>
      <w:lvlText w:val=""/>
      <w:lvlJc w:val="left"/>
      <w:pPr>
        <w:ind w:left="1854" w:hanging="360"/>
      </w:pPr>
      <w:rPr>
        <w:rFonts w:ascii="Wingdings" w:hAnsi="Wingdings" w:hint="default"/>
        <w:color w:val="000000"/>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50">
    <w:nsid w:val="490501F8"/>
    <w:multiLevelType w:val="hybridMultilevel"/>
    <w:tmpl w:val="640203B8"/>
    <w:lvl w:ilvl="0" w:tplc="04020001">
      <w:start w:val="1"/>
      <w:numFmt w:val="bullet"/>
      <w:lvlText w:val=""/>
      <w:lvlJc w:val="left"/>
      <w:pPr>
        <w:ind w:left="1260" w:hanging="360"/>
      </w:pPr>
      <w:rPr>
        <w:rFonts w:ascii="Symbol" w:hAnsi="Symbol" w:hint="default"/>
      </w:rPr>
    </w:lvl>
    <w:lvl w:ilvl="1" w:tplc="04020003" w:tentative="1">
      <w:start w:val="1"/>
      <w:numFmt w:val="bullet"/>
      <w:lvlText w:val="o"/>
      <w:lvlJc w:val="left"/>
      <w:pPr>
        <w:ind w:left="1980" w:hanging="360"/>
      </w:pPr>
      <w:rPr>
        <w:rFonts w:ascii="Courier New" w:hAnsi="Courier New" w:hint="default"/>
      </w:rPr>
    </w:lvl>
    <w:lvl w:ilvl="2" w:tplc="04020005" w:tentative="1">
      <w:start w:val="1"/>
      <w:numFmt w:val="bullet"/>
      <w:lvlText w:val=""/>
      <w:lvlJc w:val="left"/>
      <w:pPr>
        <w:ind w:left="2700" w:hanging="360"/>
      </w:pPr>
      <w:rPr>
        <w:rFonts w:ascii="Wingdings" w:hAnsi="Wingdings" w:hint="default"/>
      </w:rPr>
    </w:lvl>
    <w:lvl w:ilvl="3" w:tplc="04020001" w:tentative="1">
      <w:start w:val="1"/>
      <w:numFmt w:val="bullet"/>
      <w:lvlText w:val=""/>
      <w:lvlJc w:val="left"/>
      <w:pPr>
        <w:ind w:left="3420" w:hanging="360"/>
      </w:pPr>
      <w:rPr>
        <w:rFonts w:ascii="Symbol" w:hAnsi="Symbol" w:hint="default"/>
      </w:rPr>
    </w:lvl>
    <w:lvl w:ilvl="4" w:tplc="04020003" w:tentative="1">
      <w:start w:val="1"/>
      <w:numFmt w:val="bullet"/>
      <w:lvlText w:val="o"/>
      <w:lvlJc w:val="left"/>
      <w:pPr>
        <w:ind w:left="4140" w:hanging="360"/>
      </w:pPr>
      <w:rPr>
        <w:rFonts w:ascii="Courier New" w:hAnsi="Courier New" w:hint="default"/>
      </w:rPr>
    </w:lvl>
    <w:lvl w:ilvl="5" w:tplc="04020005" w:tentative="1">
      <w:start w:val="1"/>
      <w:numFmt w:val="bullet"/>
      <w:lvlText w:val=""/>
      <w:lvlJc w:val="left"/>
      <w:pPr>
        <w:ind w:left="4860" w:hanging="360"/>
      </w:pPr>
      <w:rPr>
        <w:rFonts w:ascii="Wingdings" w:hAnsi="Wingdings" w:hint="default"/>
      </w:rPr>
    </w:lvl>
    <w:lvl w:ilvl="6" w:tplc="04020001" w:tentative="1">
      <w:start w:val="1"/>
      <w:numFmt w:val="bullet"/>
      <w:lvlText w:val=""/>
      <w:lvlJc w:val="left"/>
      <w:pPr>
        <w:ind w:left="5580" w:hanging="360"/>
      </w:pPr>
      <w:rPr>
        <w:rFonts w:ascii="Symbol" w:hAnsi="Symbol" w:hint="default"/>
      </w:rPr>
    </w:lvl>
    <w:lvl w:ilvl="7" w:tplc="04020003" w:tentative="1">
      <w:start w:val="1"/>
      <w:numFmt w:val="bullet"/>
      <w:lvlText w:val="o"/>
      <w:lvlJc w:val="left"/>
      <w:pPr>
        <w:ind w:left="6300" w:hanging="360"/>
      </w:pPr>
      <w:rPr>
        <w:rFonts w:ascii="Courier New" w:hAnsi="Courier New" w:hint="default"/>
      </w:rPr>
    </w:lvl>
    <w:lvl w:ilvl="8" w:tplc="04020005" w:tentative="1">
      <w:start w:val="1"/>
      <w:numFmt w:val="bullet"/>
      <w:lvlText w:val=""/>
      <w:lvlJc w:val="left"/>
      <w:pPr>
        <w:ind w:left="7020" w:hanging="360"/>
      </w:pPr>
      <w:rPr>
        <w:rFonts w:ascii="Wingdings" w:hAnsi="Wingdings" w:hint="default"/>
      </w:rPr>
    </w:lvl>
  </w:abstractNum>
  <w:abstractNum w:abstractNumId="51">
    <w:nsid w:val="4CBE5950"/>
    <w:multiLevelType w:val="multilevel"/>
    <w:tmpl w:val="565C6C8A"/>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2">
    <w:nsid w:val="4DD767BA"/>
    <w:multiLevelType w:val="hybridMultilevel"/>
    <w:tmpl w:val="8458CD52"/>
    <w:lvl w:ilvl="0" w:tplc="2B82A932">
      <w:start w:val="1"/>
      <w:numFmt w:val="bullet"/>
      <w:lvlText w:val=""/>
      <w:lvlJc w:val="left"/>
      <w:pPr>
        <w:ind w:left="720" w:hanging="360"/>
      </w:pPr>
      <w:rPr>
        <w:rFonts w:ascii="Symbol" w:hAnsi="Symbol" w:hint="default"/>
        <w:color w:val="auto"/>
      </w:rPr>
    </w:lvl>
    <w:lvl w:ilvl="1" w:tplc="04020001">
      <w:start w:val="1"/>
      <w:numFmt w:val="bullet"/>
      <w:lvlText w:val=""/>
      <w:lvlJc w:val="left"/>
      <w:pPr>
        <w:tabs>
          <w:tab w:val="num" w:pos="1440"/>
        </w:tabs>
        <w:ind w:left="1440" w:hanging="360"/>
      </w:pPr>
      <w:rPr>
        <w:rFonts w:ascii="Symbol" w:hAnsi="Symbol" w:hint="default"/>
        <w:color w:val="auto"/>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nsid w:val="51DD51F6"/>
    <w:multiLevelType w:val="hybridMultilevel"/>
    <w:tmpl w:val="54BAF8A2"/>
    <w:lvl w:ilvl="0" w:tplc="0402000B">
      <w:start w:val="1"/>
      <w:numFmt w:val="bullet"/>
      <w:lvlText w:val=""/>
      <w:lvlJc w:val="left"/>
      <w:pPr>
        <w:tabs>
          <w:tab w:val="num" w:pos="720"/>
        </w:tabs>
        <w:ind w:left="720" w:hanging="360"/>
      </w:pPr>
      <w:rPr>
        <w:rFonts w:ascii="Wingdings" w:hAnsi="Wingdings" w:hint="default"/>
      </w:rPr>
    </w:lvl>
    <w:lvl w:ilvl="1" w:tplc="0402000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54">
    <w:nsid w:val="533F4D5C"/>
    <w:multiLevelType w:val="multilevel"/>
    <w:tmpl w:val="06C2B788"/>
    <w:lvl w:ilvl="0">
      <w:start w:val="1"/>
      <w:numFmt w:val="none"/>
      <w:lvlText w:val="3.2"/>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55">
    <w:nsid w:val="536919A4"/>
    <w:multiLevelType w:val="multilevel"/>
    <w:tmpl w:val="D35E6126"/>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56">
    <w:nsid w:val="547A1CD1"/>
    <w:multiLevelType w:val="hybridMultilevel"/>
    <w:tmpl w:val="53A09D38"/>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57">
    <w:nsid w:val="563577AE"/>
    <w:multiLevelType w:val="hybridMultilevel"/>
    <w:tmpl w:val="3A44A210"/>
    <w:lvl w:ilvl="0" w:tplc="FC68ACA8">
      <w:numFmt w:val="bullet"/>
      <w:lvlText w:val="-"/>
      <w:lvlJc w:val="left"/>
      <w:pPr>
        <w:ind w:left="1069" w:hanging="360"/>
      </w:pPr>
      <w:rPr>
        <w:rFonts w:ascii="Times New Roman" w:eastAsia="Times New Roman" w:hAnsi="Times New Roman" w:cs="Times New Roman" w:hint="default"/>
      </w:rPr>
    </w:lvl>
    <w:lvl w:ilvl="1" w:tplc="04020003">
      <w:start w:val="1"/>
      <w:numFmt w:val="bullet"/>
      <w:lvlText w:val="o"/>
      <w:lvlJc w:val="left"/>
      <w:pPr>
        <w:ind w:left="1789" w:hanging="360"/>
      </w:pPr>
      <w:rPr>
        <w:rFonts w:ascii="Courier New" w:hAnsi="Courier New" w:cs="Courier New" w:hint="default"/>
      </w:rPr>
    </w:lvl>
    <w:lvl w:ilvl="2" w:tplc="04020005">
      <w:start w:val="1"/>
      <w:numFmt w:val="bullet"/>
      <w:lvlText w:val=""/>
      <w:lvlJc w:val="left"/>
      <w:pPr>
        <w:ind w:left="2509" w:hanging="360"/>
      </w:pPr>
      <w:rPr>
        <w:rFonts w:ascii="Wingdings" w:hAnsi="Wingdings" w:hint="default"/>
      </w:rPr>
    </w:lvl>
    <w:lvl w:ilvl="3" w:tplc="04020001">
      <w:start w:val="1"/>
      <w:numFmt w:val="bullet"/>
      <w:lvlText w:val=""/>
      <w:lvlJc w:val="left"/>
      <w:pPr>
        <w:ind w:left="3229" w:hanging="360"/>
      </w:pPr>
      <w:rPr>
        <w:rFonts w:ascii="Symbol" w:hAnsi="Symbol" w:hint="default"/>
      </w:rPr>
    </w:lvl>
    <w:lvl w:ilvl="4" w:tplc="04020003">
      <w:start w:val="1"/>
      <w:numFmt w:val="bullet"/>
      <w:lvlText w:val="o"/>
      <w:lvlJc w:val="left"/>
      <w:pPr>
        <w:ind w:left="3949" w:hanging="360"/>
      </w:pPr>
      <w:rPr>
        <w:rFonts w:ascii="Courier New" w:hAnsi="Courier New" w:cs="Courier New" w:hint="default"/>
      </w:rPr>
    </w:lvl>
    <w:lvl w:ilvl="5" w:tplc="04020005">
      <w:start w:val="1"/>
      <w:numFmt w:val="bullet"/>
      <w:lvlText w:val=""/>
      <w:lvlJc w:val="left"/>
      <w:pPr>
        <w:ind w:left="4669" w:hanging="360"/>
      </w:pPr>
      <w:rPr>
        <w:rFonts w:ascii="Wingdings" w:hAnsi="Wingdings" w:hint="default"/>
      </w:rPr>
    </w:lvl>
    <w:lvl w:ilvl="6" w:tplc="04020001">
      <w:start w:val="1"/>
      <w:numFmt w:val="bullet"/>
      <w:lvlText w:val=""/>
      <w:lvlJc w:val="left"/>
      <w:pPr>
        <w:ind w:left="5389" w:hanging="360"/>
      </w:pPr>
      <w:rPr>
        <w:rFonts w:ascii="Symbol" w:hAnsi="Symbol" w:hint="default"/>
      </w:rPr>
    </w:lvl>
    <w:lvl w:ilvl="7" w:tplc="04020003">
      <w:start w:val="1"/>
      <w:numFmt w:val="bullet"/>
      <w:lvlText w:val="o"/>
      <w:lvlJc w:val="left"/>
      <w:pPr>
        <w:ind w:left="6109" w:hanging="360"/>
      </w:pPr>
      <w:rPr>
        <w:rFonts w:ascii="Courier New" w:hAnsi="Courier New" w:cs="Courier New" w:hint="default"/>
      </w:rPr>
    </w:lvl>
    <w:lvl w:ilvl="8" w:tplc="04020005">
      <w:start w:val="1"/>
      <w:numFmt w:val="bullet"/>
      <w:lvlText w:val=""/>
      <w:lvlJc w:val="left"/>
      <w:pPr>
        <w:ind w:left="6829" w:hanging="360"/>
      </w:pPr>
      <w:rPr>
        <w:rFonts w:ascii="Wingdings" w:hAnsi="Wingdings" w:hint="default"/>
      </w:rPr>
    </w:lvl>
  </w:abstractNum>
  <w:abstractNum w:abstractNumId="58">
    <w:nsid w:val="56972779"/>
    <w:multiLevelType w:val="hybridMultilevel"/>
    <w:tmpl w:val="1520CEAA"/>
    <w:lvl w:ilvl="0" w:tplc="54C466F6">
      <w:numFmt w:val="bullet"/>
      <w:lvlText w:val="-"/>
      <w:lvlJc w:val="left"/>
      <w:pPr>
        <w:ind w:left="1429" w:hanging="360"/>
      </w:pPr>
      <w:rPr>
        <w:rFonts w:ascii="Times New Roman" w:eastAsia="Times New Roman" w:hAnsi="Times New Roman"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59">
    <w:nsid w:val="584504CA"/>
    <w:multiLevelType w:val="hybridMultilevel"/>
    <w:tmpl w:val="D2C68804"/>
    <w:lvl w:ilvl="0" w:tplc="54C466F6">
      <w:numFmt w:val="bullet"/>
      <w:lvlText w:val="-"/>
      <w:lvlJc w:val="left"/>
      <w:pPr>
        <w:ind w:left="1429" w:hanging="360"/>
      </w:pPr>
      <w:rPr>
        <w:rFonts w:ascii="Times New Roman" w:eastAsia="Times New Roman" w:hAnsi="Times New Roman"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60">
    <w:nsid w:val="58947718"/>
    <w:multiLevelType w:val="hybridMultilevel"/>
    <w:tmpl w:val="3B1E7EA6"/>
    <w:lvl w:ilvl="0" w:tplc="05C22132">
      <w:numFmt w:val="bullet"/>
      <w:lvlText w:val="-"/>
      <w:lvlJc w:val="left"/>
      <w:pPr>
        <w:tabs>
          <w:tab w:val="num" w:pos="1429"/>
        </w:tabs>
        <w:ind w:left="1429" w:hanging="360"/>
      </w:pPr>
      <w:rPr>
        <w:rFonts w:ascii="Times New Roman" w:eastAsia="Times New Roman" w:hAnsi="Times New Roman" w:hint="default"/>
        <w:color w:val="auto"/>
      </w:rPr>
    </w:lvl>
    <w:lvl w:ilvl="1" w:tplc="04020003">
      <w:start w:val="1"/>
      <w:numFmt w:val="bullet"/>
      <w:lvlText w:val="o"/>
      <w:lvlJc w:val="left"/>
      <w:pPr>
        <w:tabs>
          <w:tab w:val="num" w:pos="2149"/>
        </w:tabs>
        <w:ind w:left="2149" w:hanging="360"/>
      </w:pPr>
      <w:rPr>
        <w:rFonts w:ascii="Courier New" w:hAnsi="Courier New" w:hint="default"/>
      </w:rPr>
    </w:lvl>
    <w:lvl w:ilvl="2" w:tplc="04020005" w:tentative="1">
      <w:start w:val="1"/>
      <w:numFmt w:val="bullet"/>
      <w:lvlText w:val=""/>
      <w:lvlJc w:val="left"/>
      <w:pPr>
        <w:tabs>
          <w:tab w:val="num" w:pos="2869"/>
        </w:tabs>
        <w:ind w:left="2869" w:hanging="360"/>
      </w:pPr>
      <w:rPr>
        <w:rFonts w:ascii="Wingdings" w:hAnsi="Wingdings" w:hint="default"/>
      </w:rPr>
    </w:lvl>
    <w:lvl w:ilvl="3" w:tplc="04020001" w:tentative="1">
      <w:start w:val="1"/>
      <w:numFmt w:val="bullet"/>
      <w:lvlText w:val=""/>
      <w:lvlJc w:val="left"/>
      <w:pPr>
        <w:tabs>
          <w:tab w:val="num" w:pos="3589"/>
        </w:tabs>
        <w:ind w:left="3589" w:hanging="360"/>
      </w:pPr>
      <w:rPr>
        <w:rFonts w:ascii="Symbol" w:hAnsi="Symbol" w:hint="default"/>
      </w:rPr>
    </w:lvl>
    <w:lvl w:ilvl="4" w:tplc="04020003" w:tentative="1">
      <w:start w:val="1"/>
      <w:numFmt w:val="bullet"/>
      <w:lvlText w:val="o"/>
      <w:lvlJc w:val="left"/>
      <w:pPr>
        <w:tabs>
          <w:tab w:val="num" w:pos="4309"/>
        </w:tabs>
        <w:ind w:left="4309" w:hanging="360"/>
      </w:pPr>
      <w:rPr>
        <w:rFonts w:ascii="Courier New" w:hAnsi="Courier New" w:hint="default"/>
      </w:rPr>
    </w:lvl>
    <w:lvl w:ilvl="5" w:tplc="04020005" w:tentative="1">
      <w:start w:val="1"/>
      <w:numFmt w:val="bullet"/>
      <w:lvlText w:val=""/>
      <w:lvlJc w:val="left"/>
      <w:pPr>
        <w:tabs>
          <w:tab w:val="num" w:pos="5029"/>
        </w:tabs>
        <w:ind w:left="5029" w:hanging="360"/>
      </w:pPr>
      <w:rPr>
        <w:rFonts w:ascii="Wingdings" w:hAnsi="Wingdings" w:hint="default"/>
      </w:rPr>
    </w:lvl>
    <w:lvl w:ilvl="6" w:tplc="04020001" w:tentative="1">
      <w:start w:val="1"/>
      <w:numFmt w:val="bullet"/>
      <w:lvlText w:val=""/>
      <w:lvlJc w:val="left"/>
      <w:pPr>
        <w:tabs>
          <w:tab w:val="num" w:pos="5749"/>
        </w:tabs>
        <w:ind w:left="5749" w:hanging="360"/>
      </w:pPr>
      <w:rPr>
        <w:rFonts w:ascii="Symbol" w:hAnsi="Symbol" w:hint="default"/>
      </w:rPr>
    </w:lvl>
    <w:lvl w:ilvl="7" w:tplc="04020003" w:tentative="1">
      <w:start w:val="1"/>
      <w:numFmt w:val="bullet"/>
      <w:lvlText w:val="o"/>
      <w:lvlJc w:val="left"/>
      <w:pPr>
        <w:tabs>
          <w:tab w:val="num" w:pos="6469"/>
        </w:tabs>
        <w:ind w:left="6469" w:hanging="360"/>
      </w:pPr>
      <w:rPr>
        <w:rFonts w:ascii="Courier New" w:hAnsi="Courier New" w:hint="default"/>
      </w:rPr>
    </w:lvl>
    <w:lvl w:ilvl="8" w:tplc="04020005" w:tentative="1">
      <w:start w:val="1"/>
      <w:numFmt w:val="bullet"/>
      <w:lvlText w:val=""/>
      <w:lvlJc w:val="left"/>
      <w:pPr>
        <w:tabs>
          <w:tab w:val="num" w:pos="7189"/>
        </w:tabs>
        <w:ind w:left="7189" w:hanging="360"/>
      </w:pPr>
      <w:rPr>
        <w:rFonts w:ascii="Wingdings" w:hAnsi="Wingdings" w:hint="default"/>
      </w:rPr>
    </w:lvl>
  </w:abstractNum>
  <w:abstractNum w:abstractNumId="61">
    <w:nsid w:val="5CDB7D88"/>
    <w:multiLevelType w:val="hybridMultilevel"/>
    <w:tmpl w:val="26E69D18"/>
    <w:lvl w:ilvl="0" w:tplc="54C466F6">
      <w:numFmt w:val="bullet"/>
      <w:lvlText w:val="-"/>
      <w:lvlJc w:val="left"/>
      <w:pPr>
        <w:ind w:left="1429" w:hanging="360"/>
      </w:pPr>
      <w:rPr>
        <w:rFonts w:ascii="Times New Roman" w:eastAsia="Times New Roman" w:hAnsi="Times New Roman" w:hint="default"/>
        <w:color w:val="auto"/>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62">
    <w:nsid w:val="5CDC2F63"/>
    <w:multiLevelType w:val="multilevel"/>
    <w:tmpl w:val="536A6A44"/>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3">
    <w:nsid w:val="5FCC59A9"/>
    <w:multiLevelType w:val="hybridMultilevel"/>
    <w:tmpl w:val="FD766532"/>
    <w:lvl w:ilvl="0" w:tplc="04020001">
      <w:start w:val="1"/>
      <w:numFmt w:val="bullet"/>
      <w:lvlText w:val=""/>
      <w:lvlJc w:val="left"/>
      <w:pPr>
        <w:ind w:left="1004" w:hanging="360"/>
      </w:pPr>
      <w:rPr>
        <w:rFonts w:ascii="Symbol" w:hAnsi="Symbol" w:hint="default"/>
      </w:rPr>
    </w:lvl>
    <w:lvl w:ilvl="1" w:tplc="04020003" w:tentative="1">
      <w:start w:val="1"/>
      <w:numFmt w:val="bullet"/>
      <w:lvlText w:val="o"/>
      <w:lvlJc w:val="left"/>
      <w:pPr>
        <w:ind w:left="1724" w:hanging="360"/>
      </w:pPr>
      <w:rPr>
        <w:rFonts w:ascii="Courier New" w:hAnsi="Courier New" w:cs="Courier New" w:hint="default"/>
      </w:rPr>
    </w:lvl>
    <w:lvl w:ilvl="2" w:tplc="04020005" w:tentative="1">
      <w:start w:val="1"/>
      <w:numFmt w:val="bullet"/>
      <w:lvlText w:val=""/>
      <w:lvlJc w:val="left"/>
      <w:pPr>
        <w:ind w:left="2444" w:hanging="360"/>
      </w:pPr>
      <w:rPr>
        <w:rFonts w:ascii="Wingdings" w:hAnsi="Wingdings" w:hint="default"/>
      </w:rPr>
    </w:lvl>
    <w:lvl w:ilvl="3" w:tplc="04020001" w:tentative="1">
      <w:start w:val="1"/>
      <w:numFmt w:val="bullet"/>
      <w:lvlText w:val=""/>
      <w:lvlJc w:val="left"/>
      <w:pPr>
        <w:ind w:left="3164" w:hanging="360"/>
      </w:pPr>
      <w:rPr>
        <w:rFonts w:ascii="Symbol" w:hAnsi="Symbol" w:hint="default"/>
      </w:rPr>
    </w:lvl>
    <w:lvl w:ilvl="4" w:tplc="04020003" w:tentative="1">
      <w:start w:val="1"/>
      <w:numFmt w:val="bullet"/>
      <w:lvlText w:val="o"/>
      <w:lvlJc w:val="left"/>
      <w:pPr>
        <w:ind w:left="3884" w:hanging="360"/>
      </w:pPr>
      <w:rPr>
        <w:rFonts w:ascii="Courier New" w:hAnsi="Courier New" w:cs="Courier New" w:hint="default"/>
      </w:rPr>
    </w:lvl>
    <w:lvl w:ilvl="5" w:tplc="04020005" w:tentative="1">
      <w:start w:val="1"/>
      <w:numFmt w:val="bullet"/>
      <w:lvlText w:val=""/>
      <w:lvlJc w:val="left"/>
      <w:pPr>
        <w:ind w:left="4604" w:hanging="360"/>
      </w:pPr>
      <w:rPr>
        <w:rFonts w:ascii="Wingdings" w:hAnsi="Wingdings" w:hint="default"/>
      </w:rPr>
    </w:lvl>
    <w:lvl w:ilvl="6" w:tplc="04020001" w:tentative="1">
      <w:start w:val="1"/>
      <w:numFmt w:val="bullet"/>
      <w:lvlText w:val=""/>
      <w:lvlJc w:val="left"/>
      <w:pPr>
        <w:ind w:left="5324" w:hanging="360"/>
      </w:pPr>
      <w:rPr>
        <w:rFonts w:ascii="Symbol" w:hAnsi="Symbol" w:hint="default"/>
      </w:rPr>
    </w:lvl>
    <w:lvl w:ilvl="7" w:tplc="04020003" w:tentative="1">
      <w:start w:val="1"/>
      <w:numFmt w:val="bullet"/>
      <w:lvlText w:val="o"/>
      <w:lvlJc w:val="left"/>
      <w:pPr>
        <w:ind w:left="6044" w:hanging="360"/>
      </w:pPr>
      <w:rPr>
        <w:rFonts w:ascii="Courier New" w:hAnsi="Courier New" w:cs="Courier New" w:hint="default"/>
      </w:rPr>
    </w:lvl>
    <w:lvl w:ilvl="8" w:tplc="04020005" w:tentative="1">
      <w:start w:val="1"/>
      <w:numFmt w:val="bullet"/>
      <w:lvlText w:val=""/>
      <w:lvlJc w:val="left"/>
      <w:pPr>
        <w:ind w:left="6764" w:hanging="360"/>
      </w:pPr>
      <w:rPr>
        <w:rFonts w:ascii="Wingdings" w:hAnsi="Wingdings" w:hint="default"/>
      </w:rPr>
    </w:lvl>
  </w:abstractNum>
  <w:abstractNum w:abstractNumId="64">
    <w:nsid w:val="60BE278E"/>
    <w:multiLevelType w:val="hybridMultilevel"/>
    <w:tmpl w:val="8392009C"/>
    <w:lvl w:ilvl="0" w:tplc="0F7C68D6">
      <w:start w:val="1"/>
      <w:numFmt w:val="bullet"/>
      <w:lvlText w:val=""/>
      <w:lvlJc w:val="left"/>
      <w:pPr>
        <w:tabs>
          <w:tab w:val="num" w:pos="1080"/>
        </w:tabs>
        <w:ind w:left="1080" w:hanging="360"/>
      </w:pPr>
      <w:rPr>
        <w:rFonts w:ascii="Symbol" w:hAnsi="Symbol" w:hint="default"/>
        <w:color w:val="auto"/>
      </w:rPr>
    </w:lvl>
    <w:lvl w:ilvl="1" w:tplc="04020003" w:tentative="1">
      <w:start w:val="1"/>
      <w:numFmt w:val="bullet"/>
      <w:lvlText w:val="o"/>
      <w:lvlJc w:val="left"/>
      <w:pPr>
        <w:tabs>
          <w:tab w:val="num" w:pos="1620"/>
        </w:tabs>
        <w:ind w:left="1620" w:hanging="360"/>
      </w:pPr>
      <w:rPr>
        <w:rFonts w:ascii="Courier New" w:hAnsi="Courier New" w:hint="default"/>
      </w:rPr>
    </w:lvl>
    <w:lvl w:ilvl="2" w:tplc="04020005" w:tentative="1">
      <w:start w:val="1"/>
      <w:numFmt w:val="bullet"/>
      <w:lvlText w:val=""/>
      <w:lvlJc w:val="left"/>
      <w:pPr>
        <w:tabs>
          <w:tab w:val="num" w:pos="2340"/>
        </w:tabs>
        <w:ind w:left="2340" w:hanging="360"/>
      </w:pPr>
      <w:rPr>
        <w:rFonts w:ascii="Wingdings" w:hAnsi="Wingdings" w:hint="default"/>
      </w:rPr>
    </w:lvl>
    <w:lvl w:ilvl="3" w:tplc="04020001" w:tentative="1">
      <w:start w:val="1"/>
      <w:numFmt w:val="bullet"/>
      <w:lvlText w:val=""/>
      <w:lvlJc w:val="left"/>
      <w:pPr>
        <w:tabs>
          <w:tab w:val="num" w:pos="3060"/>
        </w:tabs>
        <w:ind w:left="3060" w:hanging="360"/>
      </w:pPr>
      <w:rPr>
        <w:rFonts w:ascii="Symbol" w:hAnsi="Symbol" w:hint="default"/>
      </w:rPr>
    </w:lvl>
    <w:lvl w:ilvl="4" w:tplc="04020003" w:tentative="1">
      <w:start w:val="1"/>
      <w:numFmt w:val="bullet"/>
      <w:lvlText w:val="o"/>
      <w:lvlJc w:val="left"/>
      <w:pPr>
        <w:tabs>
          <w:tab w:val="num" w:pos="3780"/>
        </w:tabs>
        <w:ind w:left="3780" w:hanging="360"/>
      </w:pPr>
      <w:rPr>
        <w:rFonts w:ascii="Courier New" w:hAnsi="Courier New" w:hint="default"/>
      </w:rPr>
    </w:lvl>
    <w:lvl w:ilvl="5" w:tplc="04020005" w:tentative="1">
      <w:start w:val="1"/>
      <w:numFmt w:val="bullet"/>
      <w:lvlText w:val=""/>
      <w:lvlJc w:val="left"/>
      <w:pPr>
        <w:tabs>
          <w:tab w:val="num" w:pos="4500"/>
        </w:tabs>
        <w:ind w:left="4500" w:hanging="360"/>
      </w:pPr>
      <w:rPr>
        <w:rFonts w:ascii="Wingdings" w:hAnsi="Wingdings" w:hint="default"/>
      </w:rPr>
    </w:lvl>
    <w:lvl w:ilvl="6" w:tplc="04020001" w:tentative="1">
      <w:start w:val="1"/>
      <w:numFmt w:val="bullet"/>
      <w:lvlText w:val=""/>
      <w:lvlJc w:val="left"/>
      <w:pPr>
        <w:tabs>
          <w:tab w:val="num" w:pos="5220"/>
        </w:tabs>
        <w:ind w:left="5220" w:hanging="360"/>
      </w:pPr>
      <w:rPr>
        <w:rFonts w:ascii="Symbol" w:hAnsi="Symbol" w:hint="default"/>
      </w:rPr>
    </w:lvl>
    <w:lvl w:ilvl="7" w:tplc="04020003" w:tentative="1">
      <w:start w:val="1"/>
      <w:numFmt w:val="bullet"/>
      <w:lvlText w:val="o"/>
      <w:lvlJc w:val="left"/>
      <w:pPr>
        <w:tabs>
          <w:tab w:val="num" w:pos="5940"/>
        </w:tabs>
        <w:ind w:left="5940" w:hanging="360"/>
      </w:pPr>
      <w:rPr>
        <w:rFonts w:ascii="Courier New" w:hAnsi="Courier New" w:hint="default"/>
      </w:rPr>
    </w:lvl>
    <w:lvl w:ilvl="8" w:tplc="04020005" w:tentative="1">
      <w:start w:val="1"/>
      <w:numFmt w:val="bullet"/>
      <w:lvlText w:val=""/>
      <w:lvlJc w:val="left"/>
      <w:pPr>
        <w:tabs>
          <w:tab w:val="num" w:pos="6660"/>
        </w:tabs>
        <w:ind w:left="6660" w:hanging="360"/>
      </w:pPr>
      <w:rPr>
        <w:rFonts w:ascii="Wingdings" w:hAnsi="Wingdings" w:hint="default"/>
      </w:rPr>
    </w:lvl>
  </w:abstractNum>
  <w:abstractNum w:abstractNumId="65">
    <w:nsid w:val="60D06553"/>
    <w:multiLevelType w:val="hybridMultilevel"/>
    <w:tmpl w:val="BF1056B8"/>
    <w:lvl w:ilvl="0" w:tplc="04020001">
      <w:start w:val="1"/>
      <w:numFmt w:val="bullet"/>
      <w:lvlText w:val=""/>
      <w:lvlJc w:val="left"/>
      <w:pPr>
        <w:ind w:left="1004" w:hanging="360"/>
      </w:pPr>
      <w:rPr>
        <w:rFonts w:ascii="Symbol" w:hAnsi="Symbol" w:hint="default"/>
      </w:rPr>
    </w:lvl>
    <w:lvl w:ilvl="1" w:tplc="04020003" w:tentative="1">
      <w:start w:val="1"/>
      <w:numFmt w:val="bullet"/>
      <w:lvlText w:val="o"/>
      <w:lvlJc w:val="left"/>
      <w:pPr>
        <w:ind w:left="1724" w:hanging="360"/>
      </w:pPr>
      <w:rPr>
        <w:rFonts w:ascii="Courier New" w:hAnsi="Courier New" w:cs="Courier New" w:hint="default"/>
      </w:rPr>
    </w:lvl>
    <w:lvl w:ilvl="2" w:tplc="04020005" w:tentative="1">
      <w:start w:val="1"/>
      <w:numFmt w:val="bullet"/>
      <w:lvlText w:val=""/>
      <w:lvlJc w:val="left"/>
      <w:pPr>
        <w:ind w:left="2444" w:hanging="360"/>
      </w:pPr>
      <w:rPr>
        <w:rFonts w:ascii="Wingdings" w:hAnsi="Wingdings" w:hint="default"/>
      </w:rPr>
    </w:lvl>
    <w:lvl w:ilvl="3" w:tplc="04020001" w:tentative="1">
      <w:start w:val="1"/>
      <w:numFmt w:val="bullet"/>
      <w:lvlText w:val=""/>
      <w:lvlJc w:val="left"/>
      <w:pPr>
        <w:ind w:left="3164" w:hanging="360"/>
      </w:pPr>
      <w:rPr>
        <w:rFonts w:ascii="Symbol" w:hAnsi="Symbol" w:hint="default"/>
      </w:rPr>
    </w:lvl>
    <w:lvl w:ilvl="4" w:tplc="04020003" w:tentative="1">
      <w:start w:val="1"/>
      <w:numFmt w:val="bullet"/>
      <w:lvlText w:val="o"/>
      <w:lvlJc w:val="left"/>
      <w:pPr>
        <w:ind w:left="3884" w:hanging="360"/>
      </w:pPr>
      <w:rPr>
        <w:rFonts w:ascii="Courier New" w:hAnsi="Courier New" w:cs="Courier New" w:hint="default"/>
      </w:rPr>
    </w:lvl>
    <w:lvl w:ilvl="5" w:tplc="04020005" w:tentative="1">
      <w:start w:val="1"/>
      <w:numFmt w:val="bullet"/>
      <w:lvlText w:val=""/>
      <w:lvlJc w:val="left"/>
      <w:pPr>
        <w:ind w:left="4604" w:hanging="360"/>
      </w:pPr>
      <w:rPr>
        <w:rFonts w:ascii="Wingdings" w:hAnsi="Wingdings" w:hint="default"/>
      </w:rPr>
    </w:lvl>
    <w:lvl w:ilvl="6" w:tplc="04020001" w:tentative="1">
      <w:start w:val="1"/>
      <w:numFmt w:val="bullet"/>
      <w:lvlText w:val=""/>
      <w:lvlJc w:val="left"/>
      <w:pPr>
        <w:ind w:left="5324" w:hanging="360"/>
      </w:pPr>
      <w:rPr>
        <w:rFonts w:ascii="Symbol" w:hAnsi="Symbol" w:hint="default"/>
      </w:rPr>
    </w:lvl>
    <w:lvl w:ilvl="7" w:tplc="04020003" w:tentative="1">
      <w:start w:val="1"/>
      <w:numFmt w:val="bullet"/>
      <w:lvlText w:val="o"/>
      <w:lvlJc w:val="left"/>
      <w:pPr>
        <w:ind w:left="6044" w:hanging="360"/>
      </w:pPr>
      <w:rPr>
        <w:rFonts w:ascii="Courier New" w:hAnsi="Courier New" w:cs="Courier New" w:hint="default"/>
      </w:rPr>
    </w:lvl>
    <w:lvl w:ilvl="8" w:tplc="04020005" w:tentative="1">
      <w:start w:val="1"/>
      <w:numFmt w:val="bullet"/>
      <w:lvlText w:val=""/>
      <w:lvlJc w:val="left"/>
      <w:pPr>
        <w:ind w:left="6764" w:hanging="360"/>
      </w:pPr>
      <w:rPr>
        <w:rFonts w:ascii="Wingdings" w:hAnsi="Wingdings" w:hint="default"/>
      </w:rPr>
    </w:lvl>
  </w:abstractNum>
  <w:abstractNum w:abstractNumId="66">
    <w:nsid w:val="64CF1C24"/>
    <w:multiLevelType w:val="hybridMultilevel"/>
    <w:tmpl w:val="17AED728"/>
    <w:lvl w:ilvl="0" w:tplc="04020001">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67">
    <w:nsid w:val="65B17A98"/>
    <w:multiLevelType w:val="hybridMultilevel"/>
    <w:tmpl w:val="BB30D704"/>
    <w:lvl w:ilvl="0" w:tplc="CC72A724">
      <w:start w:val="1"/>
      <w:numFmt w:val="bullet"/>
      <w:lvlText w:val=""/>
      <w:lvlJc w:val="left"/>
      <w:pPr>
        <w:tabs>
          <w:tab w:val="num" w:pos="360"/>
        </w:tabs>
        <w:ind w:left="360" w:hanging="360"/>
      </w:pPr>
      <w:rPr>
        <w:rFonts w:ascii="Wingdings" w:hAnsi="Wingdings" w:hint="default"/>
      </w:rPr>
    </w:lvl>
    <w:lvl w:ilvl="1" w:tplc="04020005" w:tentative="1">
      <w:start w:val="1"/>
      <w:numFmt w:val="bullet"/>
      <w:lvlText w:val="o"/>
      <w:lvlJc w:val="left"/>
      <w:pPr>
        <w:tabs>
          <w:tab w:val="num" w:pos="300"/>
        </w:tabs>
        <w:ind w:left="300" w:hanging="360"/>
      </w:pPr>
      <w:rPr>
        <w:rFonts w:ascii="Courier New" w:hAnsi="Courier New" w:hint="default"/>
      </w:rPr>
    </w:lvl>
    <w:lvl w:ilvl="2" w:tplc="04020005" w:tentative="1">
      <w:start w:val="1"/>
      <w:numFmt w:val="bullet"/>
      <w:lvlText w:val=""/>
      <w:lvlJc w:val="left"/>
      <w:pPr>
        <w:tabs>
          <w:tab w:val="num" w:pos="1020"/>
        </w:tabs>
        <w:ind w:left="1020" w:hanging="360"/>
      </w:pPr>
      <w:rPr>
        <w:rFonts w:ascii="Wingdings" w:hAnsi="Wingdings" w:hint="default"/>
      </w:rPr>
    </w:lvl>
    <w:lvl w:ilvl="3" w:tplc="04020001" w:tentative="1">
      <w:start w:val="1"/>
      <w:numFmt w:val="bullet"/>
      <w:lvlText w:val=""/>
      <w:lvlJc w:val="left"/>
      <w:pPr>
        <w:tabs>
          <w:tab w:val="num" w:pos="1740"/>
        </w:tabs>
        <w:ind w:left="1740" w:hanging="360"/>
      </w:pPr>
      <w:rPr>
        <w:rFonts w:ascii="Symbol" w:hAnsi="Symbol" w:hint="default"/>
      </w:rPr>
    </w:lvl>
    <w:lvl w:ilvl="4" w:tplc="04020003" w:tentative="1">
      <w:start w:val="1"/>
      <w:numFmt w:val="bullet"/>
      <w:lvlText w:val="o"/>
      <w:lvlJc w:val="left"/>
      <w:pPr>
        <w:tabs>
          <w:tab w:val="num" w:pos="2460"/>
        </w:tabs>
        <w:ind w:left="2460" w:hanging="360"/>
      </w:pPr>
      <w:rPr>
        <w:rFonts w:ascii="Courier New" w:hAnsi="Courier New" w:hint="default"/>
      </w:rPr>
    </w:lvl>
    <w:lvl w:ilvl="5" w:tplc="04020005" w:tentative="1">
      <w:start w:val="1"/>
      <w:numFmt w:val="bullet"/>
      <w:lvlText w:val=""/>
      <w:lvlJc w:val="left"/>
      <w:pPr>
        <w:tabs>
          <w:tab w:val="num" w:pos="3180"/>
        </w:tabs>
        <w:ind w:left="3180" w:hanging="360"/>
      </w:pPr>
      <w:rPr>
        <w:rFonts w:ascii="Wingdings" w:hAnsi="Wingdings" w:hint="default"/>
      </w:rPr>
    </w:lvl>
    <w:lvl w:ilvl="6" w:tplc="04020001" w:tentative="1">
      <w:start w:val="1"/>
      <w:numFmt w:val="bullet"/>
      <w:lvlText w:val=""/>
      <w:lvlJc w:val="left"/>
      <w:pPr>
        <w:tabs>
          <w:tab w:val="num" w:pos="3900"/>
        </w:tabs>
        <w:ind w:left="3900" w:hanging="360"/>
      </w:pPr>
      <w:rPr>
        <w:rFonts w:ascii="Symbol" w:hAnsi="Symbol" w:hint="default"/>
      </w:rPr>
    </w:lvl>
    <w:lvl w:ilvl="7" w:tplc="04020003" w:tentative="1">
      <w:start w:val="1"/>
      <w:numFmt w:val="bullet"/>
      <w:lvlText w:val="o"/>
      <w:lvlJc w:val="left"/>
      <w:pPr>
        <w:tabs>
          <w:tab w:val="num" w:pos="4620"/>
        </w:tabs>
        <w:ind w:left="4620" w:hanging="360"/>
      </w:pPr>
      <w:rPr>
        <w:rFonts w:ascii="Courier New" w:hAnsi="Courier New" w:hint="default"/>
      </w:rPr>
    </w:lvl>
    <w:lvl w:ilvl="8" w:tplc="04020005" w:tentative="1">
      <w:start w:val="1"/>
      <w:numFmt w:val="bullet"/>
      <w:lvlText w:val=""/>
      <w:lvlJc w:val="left"/>
      <w:pPr>
        <w:tabs>
          <w:tab w:val="num" w:pos="5340"/>
        </w:tabs>
        <w:ind w:left="5340" w:hanging="360"/>
      </w:pPr>
      <w:rPr>
        <w:rFonts w:ascii="Wingdings" w:hAnsi="Wingdings" w:hint="default"/>
      </w:rPr>
    </w:lvl>
  </w:abstractNum>
  <w:abstractNum w:abstractNumId="68">
    <w:nsid w:val="65BC23BF"/>
    <w:multiLevelType w:val="hybridMultilevel"/>
    <w:tmpl w:val="8B8AC26A"/>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9">
    <w:nsid w:val="66C551F8"/>
    <w:multiLevelType w:val="hybridMultilevel"/>
    <w:tmpl w:val="A5C06A18"/>
    <w:lvl w:ilvl="0" w:tplc="C70A4C3A">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70">
    <w:nsid w:val="67061AC1"/>
    <w:multiLevelType w:val="hybridMultilevel"/>
    <w:tmpl w:val="270A2972"/>
    <w:lvl w:ilvl="0" w:tplc="0F7C68D6">
      <w:start w:val="1"/>
      <w:numFmt w:val="bullet"/>
      <w:lvlText w:val=""/>
      <w:lvlJc w:val="left"/>
      <w:pPr>
        <w:tabs>
          <w:tab w:val="num" w:pos="1440"/>
        </w:tabs>
        <w:ind w:left="1440" w:hanging="360"/>
      </w:pPr>
      <w:rPr>
        <w:rFonts w:ascii="Wingdings" w:hAnsi="Wingdings" w:hint="default"/>
        <w:b/>
        <w:i w:val="0"/>
        <w:sz w:val="24"/>
      </w:rPr>
    </w:lvl>
    <w:lvl w:ilvl="1" w:tplc="04020003">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71">
    <w:nsid w:val="68345CAB"/>
    <w:multiLevelType w:val="hybridMultilevel"/>
    <w:tmpl w:val="A0A20D98"/>
    <w:lvl w:ilvl="0" w:tplc="04020001">
      <w:start w:val="1"/>
      <w:numFmt w:val="bullet"/>
      <w:lvlText w:val=""/>
      <w:lvlJc w:val="left"/>
      <w:pPr>
        <w:ind w:left="1320" w:hanging="360"/>
      </w:pPr>
      <w:rPr>
        <w:rFonts w:ascii="Symbol" w:hAnsi="Symbol" w:hint="default"/>
      </w:rPr>
    </w:lvl>
    <w:lvl w:ilvl="1" w:tplc="04020003" w:tentative="1">
      <w:start w:val="1"/>
      <w:numFmt w:val="bullet"/>
      <w:lvlText w:val="o"/>
      <w:lvlJc w:val="left"/>
      <w:pPr>
        <w:ind w:left="2040" w:hanging="360"/>
      </w:pPr>
      <w:rPr>
        <w:rFonts w:ascii="Courier New" w:hAnsi="Courier New" w:hint="default"/>
      </w:rPr>
    </w:lvl>
    <w:lvl w:ilvl="2" w:tplc="04020005" w:tentative="1">
      <w:start w:val="1"/>
      <w:numFmt w:val="bullet"/>
      <w:lvlText w:val=""/>
      <w:lvlJc w:val="left"/>
      <w:pPr>
        <w:ind w:left="2760" w:hanging="360"/>
      </w:pPr>
      <w:rPr>
        <w:rFonts w:ascii="Wingdings" w:hAnsi="Wingdings" w:hint="default"/>
      </w:rPr>
    </w:lvl>
    <w:lvl w:ilvl="3" w:tplc="04020001" w:tentative="1">
      <w:start w:val="1"/>
      <w:numFmt w:val="bullet"/>
      <w:lvlText w:val=""/>
      <w:lvlJc w:val="left"/>
      <w:pPr>
        <w:ind w:left="3480" w:hanging="360"/>
      </w:pPr>
      <w:rPr>
        <w:rFonts w:ascii="Symbol" w:hAnsi="Symbol" w:hint="default"/>
      </w:rPr>
    </w:lvl>
    <w:lvl w:ilvl="4" w:tplc="04020003" w:tentative="1">
      <w:start w:val="1"/>
      <w:numFmt w:val="bullet"/>
      <w:lvlText w:val="o"/>
      <w:lvlJc w:val="left"/>
      <w:pPr>
        <w:ind w:left="4200" w:hanging="360"/>
      </w:pPr>
      <w:rPr>
        <w:rFonts w:ascii="Courier New" w:hAnsi="Courier New" w:hint="default"/>
      </w:rPr>
    </w:lvl>
    <w:lvl w:ilvl="5" w:tplc="04020005" w:tentative="1">
      <w:start w:val="1"/>
      <w:numFmt w:val="bullet"/>
      <w:lvlText w:val=""/>
      <w:lvlJc w:val="left"/>
      <w:pPr>
        <w:ind w:left="4920" w:hanging="360"/>
      </w:pPr>
      <w:rPr>
        <w:rFonts w:ascii="Wingdings" w:hAnsi="Wingdings" w:hint="default"/>
      </w:rPr>
    </w:lvl>
    <w:lvl w:ilvl="6" w:tplc="04020001" w:tentative="1">
      <w:start w:val="1"/>
      <w:numFmt w:val="bullet"/>
      <w:lvlText w:val=""/>
      <w:lvlJc w:val="left"/>
      <w:pPr>
        <w:ind w:left="5640" w:hanging="360"/>
      </w:pPr>
      <w:rPr>
        <w:rFonts w:ascii="Symbol" w:hAnsi="Symbol" w:hint="default"/>
      </w:rPr>
    </w:lvl>
    <w:lvl w:ilvl="7" w:tplc="04020003" w:tentative="1">
      <w:start w:val="1"/>
      <w:numFmt w:val="bullet"/>
      <w:lvlText w:val="o"/>
      <w:lvlJc w:val="left"/>
      <w:pPr>
        <w:ind w:left="6360" w:hanging="360"/>
      </w:pPr>
      <w:rPr>
        <w:rFonts w:ascii="Courier New" w:hAnsi="Courier New" w:hint="default"/>
      </w:rPr>
    </w:lvl>
    <w:lvl w:ilvl="8" w:tplc="04020005" w:tentative="1">
      <w:start w:val="1"/>
      <w:numFmt w:val="bullet"/>
      <w:lvlText w:val=""/>
      <w:lvlJc w:val="left"/>
      <w:pPr>
        <w:ind w:left="7080" w:hanging="360"/>
      </w:pPr>
      <w:rPr>
        <w:rFonts w:ascii="Wingdings" w:hAnsi="Wingdings" w:hint="default"/>
      </w:rPr>
    </w:lvl>
  </w:abstractNum>
  <w:abstractNum w:abstractNumId="72">
    <w:nsid w:val="6D1F0C70"/>
    <w:multiLevelType w:val="hybridMultilevel"/>
    <w:tmpl w:val="E724F014"/>
    <w:lvl w:ilvl="0" w:tplc="B8089F6A">
      <w:start w:val="1"/>
      <w:numFmt w:val="bullet"/>
      <w:lvlText w:val=""/>
      <w:lvlJc w:val="left"/>
      <w:pPr>
        <w:ind w:left="1440" w:hanging="360"/>
      </w:pPr>
      <w:rPr>
        <w:rFonts w:ascii="Wingdings" w:hAnsi="Wingdings" w:hint="default"/>
        <w:color w:val="auto"/>
        <w:sz w:val="28"/>
        <w:u w:color="FFFFFF"/>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73">
    <w:nsid w:val="701A6B1F"/>
    <w:multiLevelType w:val="hybridMultilevel"/>
    <w:tmpl w:val="BE02D64C"/>
    <w:lvl w:ilvl="0" w:tplc="C70A4C3A">
      <w:start w:val="1"/>
      <w:numFmt w:val="bullet"/>
      <w:lvlText w:val=""/>
      <w:lvlJc w:val="left"/>
      <w:pPr>
        <w:tabs>
          <w:tab w:val="num" w:pos="1260"/>
        </w:tabs>
        <w:ind w:left="1260" w:hanging="360"/>
      </w:pPr>
      <w:rPr>
        <w:rFonts w:ascii="Symbol" w:hAnsi="Symbol" w:hint="default"/>
        <w:color w:val="auto"/>
      </w:rPr>
    </w:lvl>
    <w:lvl w:ilvl="1" w:tplc="04020003" w:tentative="1">
      <w:start w:val="1"/>
      <w:numFmt w:val="bullet"/>
      <w:lvlText w:val="o"/>
      <w:lvlJc w:val="left"/>
      <w:pPr>
        <w:tabs>
          <w:tab w:val="num" w:pos="1980"/>
        </w:tabs>
        <w:ind w:left="1980" w:hanging="360"/>
      </w:pPr>
      <w:rPr>
        <w:rFonts w:ascii="Courier New" w:hAnsi="Courier New" w:hint="default"/>
      </w:rPr>
    </w:lvl>
    <w:lvl w:ilvl="2" w:tplc="04020005" w:tentative="1">
      <w:start w:val="1"/>
      <w:numFmt w:val="bullet"/>
      <w:lvlText w:val=""/>
      <w:lvlJc w:val="left"/>
      <w:pPr>
        <w:tabs>
          <w:tab w:val="num" w:pos="2700"/>
        </w:tabs>
        <w:ind w:left="2700" w:hanging="360"/>
      </w:pPr>
      <w:rPr>
        <w:rFonts w:ascii="Wingdings" w:hAnsi="Wingdings" w:hint="default"/>
      </w:rPr>
    </w:lvl>
    <w:lvl w:ilvl="3" w:tplc="04020001" w:tentative="1">
      <w:start w:val="1"/>
      <w:numFmt w:val="bullet"/>
      <w:lvlText w:val=""/>
      <w:lvlJc w:val="left"/>
      <w:pPr>
        <w:tabs>
          <w:tab w:val="num" w:pos="3420"/>
        </w:tabs>
        <w:ind w:left="3420" w:hanging="360"/>
      </w:pPr>
      <w:rPr>
        <w:rFonts w:ascii="Symbol" w:hAnsi="Symbol" w:hint="default"/>
      </w:rPr>
    </w:lvl>
    <w:lvl w:ilvl="4" w:tplc="04020003" w:tentative="1">
      <w:start w:val="1"/>
      <w:numFmt w:val="bullet"/>
      <w:lvlText w:val="o"/>
      <w:lvlJc w:val="left"/>
      <w:pPr>
        <w:tabs>
          <w:tab w:val="num" w:pos="4140"/>
        </w:tabs>
        <w:ind w:left="4140" w:hanging="360"/>
      </w:pPr>
      <w:rPr>
        <w:rFonts w:ascii="Courier New" w:hAnsi="Courier New" w:hint="default"/>
      </w:rPr>
    </w:lvl>
    <w:lvl w:ilvl="5" w:tplc="04020005" w:tentative="1">
      <w:start w:val="1"/>
      <w:numFmt w:val="bullet"/>
      <w:lvlText w:val=""/>
      <w:lvlJc w:val="left"/>
      <w:pPr>
        <w:tabs>
          <w:tab w:val="num" w:pos="4860"/>
        </w:tabs>
        <w:ind w:left="4860" w:hanging="360"/>
      </w:pPr>
      <w:rPr>
        <w:rFonts w:ascii="Wingdings" w:hAnsi="Wingdings" w:hint="default"/>
      </w:rPr>
    </w:lvl>
    <w:lvl w:ilvl="6" w:tplc="04020001" w:tentative="1">
      <w:start w:val="1"/>
      <w:numFmt w:val="bullet"/>
      <w:lvlText w:val=""/>
      <w:lvlJc w:val="left"/>
      <w:pPr>
        <w:tabs>
          <w:tab w:val="num" w:pos="5580"/>
        </w:tabs>
        <w:ind w:left="5580" w:hanging="360"/>
      </w:pPr>
      <w:rPr>
        <w:rFonts w:ascii="Symbol" w:hAnsi="Symbol" w:hint="default"/>
      </w:rPr>
    </w:lvl>
    <w:lvl w:ilvl="7" w:tplc="04020003" w:tentative="1">
      <w:start w:val="1"/>
      <w:numFmt w:val="bullet"/>
      <w:lvlText w:val="o"/>
      <w:lvlJc w:val="left"/>
      <w:pPr>
        <w:tabs>
          <w:tab w:val="num" w:pos="6300"/>
        </w:tabs>
        <w:ind w:left="6300" w:hanging="360"/>
      </w:pPr>
      <w:rPr>
        <w:rFonts w:ascii="Courier New" w:hAnsi="Courier New" w:hint="default"/>
      </w:rPr>
    </w:lvl>
    <w:lvl w:ilvl="8" w:tplc="04020005" w:tentative="1">
      <w:start w:val="1"/>
      <w:numFmt w:val="bullet"/>
      <w:lvlText w:val=""/>
      <w:lvlJc w:val="left"/>
      <w:pPr>
        <w:tabs>
          <w:tab w:val="num" w:pos="7020"/>
        </w:tabs>
        <w:ind w:left="7020" w:hanging="360"/>
      </w:pPr>
      <w:rPr>
        <w:rFonts w:ascii="Wingdings" w:hAnsi="Wingdings" w:hint="default"/>
      </w:rPr>
    </w:lvl>
  </w:abstractNum>
  <w:abstractNum w:abstractNumId="74">
    <w:nsid w:val="709C61E7"/>
    <w:multiLevelType w:val="multilevel"/>
    <w:tmpl w:val="40464C9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5">
    <w:nsid w:val="721B35E2"/>
    <w:multiLevelType w:val="hybridMultilevel"/>
    <w:tmpl w:val="BAD2B6C6"/>
    <w:lvl w:ilvl="0" w:tplc="04020001">
      <w:start w:val="1"/>
      <w:numFmt w:val="bullet"/>
      <w:lvlText w:val=""/>
      <w:lvlJc w:val="left"/>
      <w:pPr>
        <w:tabs>
          <w:tab w:val="num" w:pos="720"/>
        </w:tabs>
        <w:ind w:left="720" w:hanging="360"/>
      </w:pPr>
      <w:rPr>
        <w:rFonts w:ascii="Symbol" w:hAnsi="Symbol" w:hint="default"/>
        <w:color w:val="auto"/>
        <w:sz w:val="28"/>
        <w:u w:color="FFFFFF"/>
      </w:rPr>
    </w:lvl>
    <w:lvl w:ilvl="1" w:tplc="04020003">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76">
    <w:nsid w:val="72EF0512"/>
    <w:multiLevelType w:val="multilevel"/>
    <w:tmpl w:val="2368B1AA"/>
    <w:lvl w:ilvl="0">
      <w:start w:val="1"/>
      <w:numFmt w:val="none"/>
      <w:lvlText w:val="3.1"/>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77">
    <w:nsid w:val="744255C2"/>
    <w:multiLevelType w:val="hybridMultilevel"/>
    <w:tmpl w:val="33A8388E"/>
    <w:lvl w:ilvl="0" w:tplc="06788418">
      <w:start w:val="1"/>
      <w:numFmt w:val="bullet"/>
      <w:lvlText w:val="♦"/>
      <w:lvlJc w:val="left"/>
      <w:pPr>
        <w:tabs>
          <w:tab w:val="num" w:pos="644"/>
        </w:tabs>
        <w:ind w:left="644" w:hanging="360"/>
      </w:pPr>
      <w:rPr>
        <w:rFonts w:ascii="Courier New" w:hAnsi="Courier New" w:hint="default"/>
        <w:color w:val="000000"/>
        <w:sz w:val="24"/>
        <w:szCs w:val="24"/>
      </w:rPr>
    </w:lvl>
    <w:lvl w:ilvl="1" w:tplc="04020003" w:tentative="1">
      <w:start w:val="1"/>
      <w:numFmt w:val="bullet"/>
      <w:lvlText w:val="o"/>
      <w:lvlJc w:val="left"/>
      <w:pPr>
        <w:tabs>
          <w:tab w:val="num" w:pos="1364"/>
        </w:tabs>
        <w:ind w:left="1364" w:hanging="360"/>
      </w:pPr>
      <w:rPr>
        <w:rFonts w:ascii="Courier New" w:hAnsi="Courier New" w:cs="Courier New" w:hint="default"/>
      </w:rPr>
    </w:lvl>
    <w:lvl w:ilvl="2" w:tplc="04020005" w:tentative="1">
      <w:start w:val="1"/>
      <w:numFmt w:val="bullet"/>
      <w:lvlText w:val=""/>
      <w:lvlJc w:val="left"/>
      <w:pPr>
        <w:tabs>
          <w:tab w:val="num" w:pos="2084"/>
        </w:tabs>
        <w:ind w:left="2084" w:hanging="360"/>
      </w:pPr>
      <w:rPr>
        <w:rFonts w:ascii="Wingdings" w:hAnsi="Wingdings" w:hint="default"/>
      </w:rPr>
    </w:lvl>
    <w:lvl w:ilvl="3" w:tplc="04020001" w:tentative="1">
      <w:start w:val="1"/>
      <w:numFmt w:val="bullet"/>
      <w:lvlText w:val=""/>
      <w:lvlJc w:val="left"/>
      <w:pPr>
        <w:tabs>
          <w:tab w:val="num" w:pos="2804"/>
        </w:tabs>
        <w:ind w:left="2804" w:hanging="360"/>
      </w:pPr>
      <w:rPr>
        <w:rFonts w:ascii="Symbol" w:hAnsi="Symbol" w:hint="default"/>
      </w:rPr>
    </w:lvl>
    <w:lvl w:ilvl="4" w:tplc="04020003" w:tentative="1">
      <w:start w:val="1"/>
      <w:numFmt w:val="bullet"/>
      <w:lvlText w:val="o"/>
      <w:lvlJc w:val="left"/>
      <w:pPr>
        <w:tabs>
          <w:tab w:val="num" w:pos="3524"/>
        </w:tabs>
        <w:ind w:left="3524" w:hanging="360"/>
      </w:pPr>
      <w:rPr>
        <w:rFonts w:ascii="Courier New" w:hAnsi="Courier New" w:cs="Courier New" w:hint="default"/>
      </w:rPr>
    </w:lvl>
    <w:lvl w:ilvl="5" w:tplc="04020005" w:tentative="1">
      <w:start w:val="1"/>
      <w:numFmt w:val="bullet"/>
      <w:lvlText w:val=""/>
      <w:lvlJc w:val="left"/>
      <w:pPr>
        <w:tabs>
          <w:tab w:val="num" w:pos="4244"/>
        </w:tabs>
        <w:ind w:left="4244" w:hanging="360"/>
      </w:pPr>
      <w:rPr>
        <w:rFonts w:ascii="Wingdings" w:hAnsi="Wingdings" w:hint="default"/>
      </w:rPr>
    </w:lvl>
    <w:lvl w:ilvl="6" w:tplc="04020001" w:tentative="1">
      <w:start w:val="1"/>
      <w:numFmt w:val="bullet"/>
      <w:lvlText w:val=""/>
      <w:lvlJc w:val="left"/>
      <w:pPr>
        <w:tabs>
          <w:tab w:val="num" w:pos="4964"/>
        </w:tabs>
        <w:ind w:left="4964" w:hanging="360"/>
      </w:pPr>
      <w:rPr>
        <w:rFonts w:ascii="Symbol" w:hAnsi="Symbol" w:hint="default"/>
      </w:rPr>
    </w:lvl>
    <w:lvl w:ilvl="7" w:tplc="04020003" w:tentative="1">
      <w:start w:val="1"/>
      <w:numFmt w:val="bullet"/>
      <w:lvlText w:val="o"/>
      <w:lvlJc w:val="left"/>
      <w:pPr>
        <w:tabs>
          <w:tab w:val="num" w:pos="5684"/>
        </w:tabs>
        <w:ind w:left="5684" w:hanging="360"/>
      </w:pPr>
      <w:rPr>
        <w:rFonts w:ascii="Courier New" w:hAnsi="Courier New" w:cs="Courier New" w:hint="default"/>
      </w:rPr>
    </w:lvl>
    <w:lvl w:ilvl="8" w:tplc="04020005" w:tentative="1">
      <w:start w:val="1"/>
      <w:numFmt w:val="bullet"/>
      <w:lvlText w:val=""/>
      <w:lvlJc w:val="left"/>
      <w:pPr>
        <w:tabs>
          <w:tab w:val="num" w:pos="6404"/>
        </w:tabs>
        <w:ind w:left="6404" w:hanging="360"/>
      </w:pPr>
      <w:rPr>
        <w:rFonts w:ascii="Wingdings" w:hAnsi="Wingdings" w:hint="default"/>
      </w:rPr>
    </w:lvl>
  </w:abstractNum>
  <w:abstractNum w:abstractNumId="78">
    <w:nsid w:val="75B43BAA"/>
    <w:multiLevelType w:val="hybridMultilevel"/>
    <w:tmpl w:val="F7F06DEA"/>
    <w:lvl w:ilvl="0" w:tplc="0F7C68D6">
      <w:start w:val="1"/>
      <w:numFmt w:val="bullet"/>
      <w:lvlText w:val=""/>
      <w:lvlJc w:val="left"/>
      <w:pPr>
        <w:tabs>
          <w:tab w:val="num" w:pos="1068"/>
        </w:tabs>
        <w:ind w:left="1068" w:hanging="360"/>
      </w:pPr>
      <w:rPr>
        <w:rFonts w:ascii="Wingdings" w:hAnsi="Wingdings" w:hint="default"/>
        <w:color w:val="000000"/>
      </w:rPr>
    </w:lvl>
    <w:lvl w:ilvl="1" w:tplc="04020003">
      <w:start w:val="1"/>
      <w:numFmt w:val="bullet"/>
      <w:lvlText w:val=""/>
      <w:lvlJc w:val="left"/>
      <w:pPr>
        <w:tabs>
          <w:tab w:val="num" w:pos="1788"/>
        </w:tabs>
        <w:ind w:left="1788" w:hanging="360"/>
      </w:pPr>
      <w:rPr>
        <w:rFonts w:ascii="Symbol" w:hAnsi="Symbol" w:hint="default"/>
        <w:color w:val="000000"/>
        <w:sz w:val="18"/>
      </w:rPr>
    </w:lvl>
    <w:lvl w:ilvl="2" w:tplc="04020005">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79">
    <w:nsid w:val="77AE3157"/>
    <w:multiLevelType w:val="hybridMultilevel"/>
    <w:tmpl w:val="418AABAA"/>
    <w:lvl w:ilvl="0" w:tplc="04020001">
      <w:start w:val="1"/>
      <w:numFmt w:val="bullet"/>
      <w:lvlText w:val=""/>
      <w:lvlJc w:val="left"/>
      <w:pPr>
        <w:ind w:left="1004" w:hanging="360"/>
      </w:pPr>
      <w:rPr>
        <w:rFonts w:ascii="Symbol" w:hAnsi="Symbol" w:hint="default"/>
      </w:rPr>
    </w:lvl>
    <w:lvl w:ilvl="1" w:tplc="04020003" w:tentative="1">
      <w:start w:val="1"/>
      <w:numFmt w:val="bullet"/>
      <w:lvlText w:val="o"/>
      <w:lvlJc w:val="left"/>
      <w:pPr>
        <w:ind w:left="1724" w:hanging="360"/>
      </w:pPr>
      <w:rPr>
        <w:rFonts w:ascii="Courier New" w:hAnsi="Courier New" w:cs="Courier New" w:hint="default"/>
      </w:rPr>
    </w:lvl>
    <w:lvl w:ilvl="2" w:tplc="04020005" w:tentative="1">
      <w:start w:val="1"/>
      <w:numFmt w:val="bullet"/>
      <w:lvlText w:val=""/>
      <w:lvlJc w:val="left"/>
      <w:pPr>
        <w:ind w:left="2444" w:hanging="360"/>
      </w:pPr>
      <w:rPr>
        <w:rFonts w:ascii="Wingdings" w:hAnsi="Wingdings" w:hint="default"/>
      </w:rPr>
    </w:lvl>
    <w:lvl w:ilvl="3" w:tplc="04020001" w:tentative="1">
      <w:start w:val="1"/>
      <w:numFmt w:val="bullet"/>
      <w:lvlText w:val=""/>
      <w:lvlJc w:val="left"/>
      <w:pPr>
        <w:ind w:left="3164" w:hanging="360"/>
      </w:pPr>
      <w:rPr>
        <w:rFonts w:ascii="Symbol" w:hAnsi="Symbol" w:hint="default"/>
      </w:rPr>
    </w:lvl>
    <w:lvl w:ilvl="4" w:tplc="04020003" w:tentative="1">
      <w:start w:val="1"/>
      <w:numFmt w:val="bullet"/>
      <w:lvlText w:val="o"/>
      <w:lvlJc w:val="left"/>
      <w:pPr>
        <w:ind w:left="3884" w:hanging="360"/>
      </w:pPr>
      <w:rPr>
        <w:rFonts w:ascii="Courier New" w:hAnsi="Courier New" w:cs="Courier New" w:hint="default"/>
      </w:rPr>
    </w:lvl>
    <w:lvl w:ilvl="5" w:tplc="04020005" w:tentative="1">
      <w:start w:val="1"/>
      <w:numFmt w:val="bullet"/>
      <w:lvlText w:val=""/>
      <w:lvlJc w:val="left"/>
      <w:pPr>
        <w:ind w:left="4604" w:hanging="360"/>
      </w:pPr>
      <w:rPr>
        <w:rFonts w:ascii="Wingdings" w:hAnsi="Wingdings" w:hint="default"/>
      </w:rPr>
    </w:lvl>
    <w:lvl w:ilvl="6" w:tplc="04020001" w:tentative="1">
      <w:start w:val="1"/>
      <w:numFmt w:val="bullet"/>
      <w:lvlText w:val=""/>
      <w:lvlJc w:val="left"/>
      <w:pPr>
        <w:ind w:left="5324" w:hanging="360"/>
      </w:pPr>
      <w:rPr>
        <w:rFonts w:ascii="Symbol" w:hAnsi="Symbol" w:hint="default"/>
      </w:rPr>
    </w:lvl>
    <w:lvl w:ilvl="7" w:tplc="04020003" w:tentative="1">
      <w:start w:val="1"/>
      <w:numFmt w:val="bullet"/>
      <w:lvlText w:val="o"/>
      <w:lvlJc w:val="left"/>
      <w:pPr>
        <w:ind w:left="6044" w:hanging="360"/>
      </w:pPr>
      <w:rPr>
        <w:rFonts w:ascii="Courier New" w:hAnsi="Courier New" w:cs="Courier New" w:hint="default"/>
      </w:rPr>
    </w:lvl>
    <w:lvl w:ilvl="8" w:tplc="04020005" w:tentative="1">
      <w:start w:val="1"/>
      <w:numFmt w:val="bullet"/>
      <w:lvlText w:val=""/>
      <w:lvlJc w:val="left"/>
      <w:pPr>
        <w:ind w:left="6764" w:hanging="360"/>
      </w:pPr>
      <w:rPr>
        <w:rFonts w:ascii="Wingdings" w:hAnsi="Wingdings" w:hint="default"/>
      </w:rPr>
    </w:lvl>
  </w:abstractNum>
  <w:abstractNum w:abstractNumId="80">
    <w:nsid w:val="77AF54B2"/>
    <w:multiLevelType w:val="hybridMultilevel"/>
    <w:tmpl w:val="8EF0F54E"/>
    <w:lvl w:ilvl="0" w:tplc="54C466F6">
      <w:start w:val="1"/>
      <w:numFmt w:val="bullet"/>
      <w:lvlText w:val=""/>
      <w:lvlJc w:val="left"/>
      <w:pPr>
        <w:tabs>
          <w:tab w:val="num" w:pos="720"/>
        </w:tabs>
        <w:ind w:left="720" w:hanging="360"/>
      </w:pPr>
      <w:rPr>
        <w:rFonts w:ascii="Symbol" w:hAnsi="Symbol" w:hint="default"/>
        <w:color w:val="auto"/>
      </w:rPr>
    </w:lvl>
    <w:lvl w:ilvl="1" w:tplc="04020003">
      <w:start w:val="1"/>
      <w:numFmt w:val="bullet"/>
      <w:lvlText w:val=""/>
      <w:lvlJc w:val="left"/>
      <w:pPr>
        <w:tabs>
          <w:tab w:val="num" w:pos="1440"/>
        </w:tabs>
        <w:ind w:left="740" w:firstLine="340"/>
      </w:pPr>
      <w:rPr>
        <w:rFonts w:ascii="Wingdings" w:hAnsi="Wingdings" w:hint="default"/>
        <w:color w:val="auto"/>
      </w:rPr>
    </w:lvl>
    <w:lvl w:ilvl="2" w:tplc="04020005">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1">
    <w:nsid w:val="7A4E531C"/>
    <w:multiLevelType w:val="hybridMultilevel"/>
    <w:tmpl w:val="5874EE96"/>
    <w:lvl w:ilvl="0" w:tplc="04020001">
      <w:start w:val="1"/>
      <w:numFmt w:val="bullet"/>
      <w:lvlText w:val=""/>
      <w:lvlJc w:val="left"/>
      <w:pPr>
        <w:ind w:left="1004" w:hanging="360"/>
      </w:pPr>
      <w:rPr>
        <w:rFonts w:ascii="Symbol" w:hAnsi="Symbol" w:hint="default"/>
      </w:rPr>
    </w:lvl>
    <w:lvl w:ilvl="1" w:tplc="04020003" w:tentative="1">
      <w:start w:val="1"/>
      <w:numFmt w:val="bullet"/>
      <w:lvlText w:val="o"/>
      <w:lvlJc w:val="left"/>
      <w:pPr>
        <w:ind w:left="1724" w:hanging="360"/>
      </w:pPr>
      <w:rPr>
        <w:rFonts w:ascii="Courier New" w:hAnsi="Courier New" w:cs="Courier New" w:hint="default"/>
      </w:rPr>
    </w:lvl>
    <w:lvl w:ilvl="2" w:tplc="04020005" w:tentative="1">
      <w:start w:val="1"/>
      <w:numFmt w:val="bullet"/>
      <w:lvlText w:val=""/>
      <w:lvlJc w:val="left"/>
      <w:pPr>
        <w:ind w:left="2444" w:hanging="360"/>
      </w:pPr>
      <w:rPr>
        <w:rFonts w:ascii="Wingdings" w:hAnsi="Wingdings" w:hint="default"/>
      </w:rPr>
    </w:lvl>
    <w:lvl w:ilvl="3" w:tplc="04020001" w:tentative="1">
      <w:start w:val="1"/>
      <w:numFmt w:val="bullet"/>
      <w:lvlText w:val=""/>
      <w:lvlJc w:val="left"/>
      <w:pPr>
        <w:ind w:left="3164" w:hanging="360"/>
      </w:pPr>
      <w:rPr>
        <w:rFonts w:ascii="Symbol" w:hAnsi="Symbol" w:hint="default"/>
      </w:rPr>
    </w:lvl>
    <w:lvl w:ilvl="4" w:tplc="04020003" w:tentative="1">
      <w:start w:val="1"/>
      <w:numFmt w:val="bullet"/>
      <w:lvlText w:val="o"/>
      <w:lvlJc w:val="left"/>
      <w:pPr>
        <w:ind w:left="3884" w:hanging="360"/>
      </w:pPr>
      <w:rPr>
        <w:rFonts w:ascii="Courier New" w:hAnsi="Courier New" w:cs="Courier New" w:hint="default"/>
      </w:rPr>
    </w:lvl>
    <w:lvl w:ilvl="5" w:tplc="04020005" w:tentative="1">
      <w:start w:val="1"/>
      <w:numFmt w:val="bullet"/>
      <w:lvlText w:val=""/>
      <w:lvlJc w:val="left"/>
      <w:pPr>
        <w:ind w:left="4604" w:hanging="360"/>
      </w:pPr>
      <w:rPr>
        <w:rFonts w:ascii="Wingdings" w:hAnsi="Wingdings" w:hint="default"/>
      </w:rPr>
    </w:lvl>
    <w:lvl w:ilvl="6" w:tplc="04020001" w:tentative="1">
      <w:start w:val="1"/>
      <w:numFmt w:val="bullet"/>
      <w:lvlText w:val=""/>
      <w:lvlJc w:val="left"/>
      <w:pPr>
        <w:ind w:left="5324" w:hanging="360"/>
      </w:pPr>
      <w:rPr>
        <w:rFonts w:ascii="Symbol" w:hAnsi="Symbol" w:hint="default"/>
      </w:rPr>
    </w:lvl>
    <w:lvl w:ilvl="7" w:tplc="04020003" w:tentative="1">
      <w:start w:val="1"/>
      <w:numFmt w:val="bullet"/>
      <w:lvlText w:val="o"/>
      <w:lvlJc w:val="left"/>
      <w:pPr>
        <w:ind w:left="6044" w:hanging="360"/>
      </w:pPr>
      <w:rPr>
        <w:rFonts w:ascii="Courier New" w:hAnsi="Courier New" w:cs="Courier New" w:hint="default"/>
      </w:rPr>
    </w:lvl>
    <w:lvl w:ilvl="8" w:tplc="04020005" w:tentative="1">
      <w:start w:val="1"/>
      <w:numFmt w:val="bullet"/>
      <w:lvlText w:val=""/>
      <w:lvlJc w:val="left"/>
      <w:pPr>
        <w:ind w:left="6764" w:hanging="360"/>
      </w:pPr>
      <w:rPr>
        <w:rFonts w:ascii="Wingdings" w:hAnsi="Wingdings" w:hint="default"/>
      </w:rPr>
    </w:lvl>
  </w:abstractNum>
  <w:abstractNum w:abstractNumId="82">
    <w:nsid w:val="7C2162A4"/>
    <w:multiLevelType w:val="hybridMultilevel"/>
    <w:tmpl w:val="F1E2318A"/>
    <w:lvl w:ilvl="0" w:tplc="0402000D">
      <w:start w:val="1"/>
      <w:numFmt w:val="bullet"/>
      <w:lvlText w:val=""/>
      <w:lvlJc w:val="left"/>
      <w:pPr>
        <w:ind w:left="1854" w:hanging="360"/>
      </w:pPr>
      <w:rPr>
        <w:rFonts w:ascii="Wingdings" w:hAnsi="Wingdings" w:hint="default"/>
      </w:rPr>
    </w:lvl>
    <w:lvl w:ilvl="1" w:tplc="04020003" w:tentative="1">
      <w:start w:val="1"/>
      <w:numFmt w:val="bullet"/>
      <w:lvlText w:val="o"/>
      <w:lvlJc w:val="left"/>
      <w:pPr>
        <w:ind w:left="2574" w:hanging="360"/>
      </w:pPr>
      <w:rPr>
        <w:rFonts w:ascii="Courier New" w:hAnsi="Courier New" w:cs="Courier New" w:hint="default"/>
      </w:rPr>
    </w:lvl>
    <w:lvl w:ilvl="2" w:tplc="04020005" w:tentative="1">
      <w:start w:val="1"/>
      <w:numFmt w:val="bullet"/>
      <w:lvlText w:val=""/>
      <w:lvlJc w:val="left"/>
      <w:pPr>
        <w:ind w:left="3294" w:hanging="360"/>
      </w:pPr>
      <w:rPr>
        <w:rFonts w:ascii="Wingdings" w:hAnsi="Wingdings" w:hint="default"/>
      </w:rPr>
    </w:lvl>
    <w:lvl w:ilvl="3" w:tplc="04020001" w:tentative="1">
      <w:start w:val="1"/>
      <w:numFmt w:val="bullet"/>
      <w:lvlText w:val=""/>
      <w:lvlJc w:val="left"/>
      <w:pPr>
        <w:ind w:left="4014" w:hanging="360"/>
      </w:pPr>
      <w:rPr>
        <w:rFonts w:ascii="Symbol" w:hAnsi="Symbol" w:hint="default"/>
      </w:rPr>
    </w:lvl>
    <w:lvl w:ilvl="4" w:tplc="04020003" w:tentative="1">
      <w:start w:val="1"/>
      <w:numFmt w:val="bullet"/>
      <w:lvlText w:val="o"/>
      <w:lvlJc w:val="left"/>
      <w:pPr>
        <w:ind w:left="4734" w:hanging="360"/>
      </w:pPr>
      <w:rPr>
        <w:rFonts w:ascii="Courier New" w:hAnsi="Courier New" w:cs="Courier New" w:hint="default"/>
      </w:rPr>
    </w:lvl>
    <w:lvl w:ilvl="5" w:tplc="04020005" w:tentative="1">
      <w:start w:val="1"/>
      <w:numFmt w:val="bullet"/>
      <w:lvlText w:val=""/>
      <w:lvlJc w:val="left"/>
      <w:pPr>
        <w:ind w:left="5454" w:hanging="360"/>
      </w:pPr>
      <w:rPr>
        <w:rFonts w:ascii="Wingdings" w:hAnsi="Wingdings" w:hint="default"/>
      </w:rPr>
    </w:lvl>
    <w:lvl w:ilvl="6" w:tplc="04020001" w:tentative="1">
      <w:start w:val="1"/>
      <w:numFmt w:val="bullet"/>
      <w:lvlText w:val=""/>
      <w:lvlJc w:val="left"/>
      <w:pPr>
        <w:ind w:left="6174" w:hanging="360"/>
      </w:pPr>
      <w:rPr>
        <w:rFonts w:ascii="Symbol" w:hAnsi="Symbol" w:hint="default"/>
      </w:rPr>
    </w:lvl>
    <w:lvl w:ilvl="7" w:tplc="04020003" w:tentative="1">
      <w:start w:val="1"/>
      <w:numFmt w:val="bullet"/>
      <w:lvlText w:val="o"/>
      <w:lvlJc w:val="left"/>
      <w:pPr>
        <w:ind w:left="6894" w:hanging="360"/>
      </w:pPr>
      <w:rPr>
        <w:rFonts w:ascii="Courier New" w:hAnsi="Courier New" w:cs="Courier New" w:hint="default"/>
      </w:rPr>
    </w:lvl>
    <w:lvl w:ilvl="8" w:tplc="04020005" w:tentative="1">
      <w:start w:val="1"/>
      <w:numFmt w:val="bullet"/>
      <w:lvlText w:val=""/>
      <w:lvlJc w:val="left"/>
      <w:pPr>
        <w:ind w:left="7614" w:hanging="360"/>
      </w:pPr>
      <w:rPr>
        <w:rFonts w:ascii="Wingdings" w:hAnsi="Wingdings" w:hint="default"/>
      </w:rPr>
    </w:lvl>
  </w:abstractNum>
  <w:abstractNum w:abstractNumId="83">
    <w:nsid w:val="7DAF6F1E"/>
    <w:multiLevelType w:val="hybridMultilevel"/>
    <w:tmpl w:val="25A0CECA"/>
    <w:lvl w:ilvl="0" w:tplc="FFFFFFF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4">
    <w:nsid w:val="7FAD60A5"/>
    <w:multiLevelType w:val="multilevel"/>
    <w:tmpl w:val="9DB0DE8C"/>
    <w:lvl w:ilvl="0">
      <w:start w:val="1"/>
      <w:numFmt w:val="none"/>
      <w:lvlText w:val="3.3"/>
      <w:lvlJc w:val="left"/>
      <w:pPr>
        <w:tabs>
          <w:tab w:val="num" w:pos="360"/>
        </w:tabs>
        <w:ind w:left="360" w:hanging="360"/>
      </w:pPr>
      <w:rPr>
        <w:rFonts w:cs="Times New Roman" w:hint="default"/>
      </w:rPr>
    </w:lvl>
    <w:lvl w:ilvl="1">
      <w:start w:val="1"/>
      <w:numFmt w:val="decimal"/>
      <w:lvlText w:val="2.%2."/>
      <w:lvlJc w:val="left"/>
      <w:pPr>
        <w:tabs>
          <w:tab w:val="num" w:pos="792"/>
        </w:tabs>
        <w:ind w:left="792" w:hanging="432"/>
      </w:pPr>
      <w:rPr>
        <w:rFonts w:ascii="Times New Roman" w:hAnsi="Times New Roman" w:cs="Times New Roman" w:hint="default"/>
        <w:b/>
        <w:i w:val="0"/>
        <w:sz w:val="24"/>
        <w:szCs w:val="24"/>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85">
    <w:nsid w:val="7FAE178A"/>
    <w:multiLevelType w:val="hybridMultilevel"/>
    <w:tmpl w:val="9E68A878"/>
    <w:lvl w:ilvl="0" w:tplc="FFFFFFFF">
      <w:start w:val="1"/>
      <w:numFmt w:val="bullet"/>
      <w:lvlText w:val=""/>
      <w:lvlJc w:val="left"/>
      <w:pPr>
        <w:tabs>
          <w:tab w:val="num" w:pos="720"/>
        </w:tabs>
        <w:ind w:left="72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53"/>
  </w:num>
  <w:num w:numId="2">
    <w:abstractNumId w:val="76"/>
  </w:num>
  <w:num w:numId="3">
    <w:abstractNumId w:val="40"/>
  </w:num>
  <w:num w:numId="4">
    <w:abstractNumId w:val="42"/>
  </w:num>
  <w:num w:numId="5">
    <w:abstractNumId w:val="70"/>
  </w:num>
  <w:num w:numId="6">
    <w:abstractNumId w:val="45"/>
  </w:num>
  <w:num w:numId="7">
    <w:abstractNumId w:val="38"/>
  </w:num>
  <w:num w:numId="8">
    <w:abstractNumId w:val="13"/>
  </w:num>
  <w:num w:numId="9">
    <w:abstractNumId w:val="1"/>
  </w:num>
  <w:num w:numId="10">
    <w:abstractNumId w:val="11"/>
  </w:num>
  <w:num w:numId="11">
    <w:abstractNumId w:val="7"/>
  </w:num>
  <w:num w:numId="12">
    <w:abstractNumId w:val="34"/>
  </w:num>
  <w:num w:numId="13">
    <w:abstractNumId w:val="22"/>
  </w:num>
  <w:num w:numId="14">
    <w:abstractNumId w:val="23"/>
  </w:num>
  <w:num w:numId="15">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8"/>
  </w:num>
  <w:num w:numId="17">
    <w:abstractNumId w:val="75"/>
  </w:num>
  <w:num w:numId="18">
    <w:abstractNumId w:val="72"/>
  </w:num>
  <w:num w:numId="19">
    <w:abstractNumId w:val="20"/>
  </w:num>
  <w:num w:numId="20">
    <w:abstractNumId w:val="25"/>
  </w:num>
  <w:num w:numId="21">
    <w:abstractNumId w:val="62"/>
  </w:num>
  <w:num w:numId="22">
    <w:abstractNumId w:val="51"/>
  </w:num>
  <w:num w:numId="23">
    <w:abstractNumId w:val="49"/>
  </w:num>
  <w:num w:numId="24">
    <w:abstractNumId w:val="82"/>
  </w:num>
  <w:num w:numId="25">
    <w:abstractNumId w:val="83"/>
  </w:num>
  <w:num w:numId="26">
    <w:abstractNumId w:val="15"/>
  </w:num>
  <w:num w:numId="27">
    <w:abstractNumId w:val="50"/>
  </w:num>
  <w:num w:numId="28">
    <w:abstractNumId w:val="12"/>
  </w:num>
  <w:num w:numId="29">
    <w:abstractNumId w:val="85"/>
  </w:num>
  <w:num w:numId="30">
    <w:abstractNumId w:val="71"/>
  </w:num>
  <w:num w:numId="31">
    <w:abstractNumId w:val="43"/>
  </w:num>
  <w:num w:numId="32">
    <w:abstractNumId w:val="66"/>
  </w:num>
  <w:num w:numId="33">
    <w:abstractNumId w:val="33"/>
  </w:num>
  <w:num w:numId="34">
    <w:abstractNumId w:val="6"/>
  </w:num>
  <w:num w:numId="35">
    <w:abstractNumId w:val="80"/>
  </w:num>
  <w:num w:numId="36">
    <w:abstractNumId w:val="31"/>
  </w:num>
  <w:num w:numId="37">
    <w:abstractNumId w:val="77"/>
  </w:num>
  <w:num w:numId="38">
    <w:abstractNumId w:val="69"/>
  </w:num>
  <w:num w:numId="39">
    <w:abstractNumId w:val="35"/>
  </w:num>
  <w:num w:numId="40">
    <w:abstractNumId w:val="67"/>
  </w:num>
  <w:num w:numId="41">
    <w:abstractNumId w:val="73"/>
  </w:num>
  <w:num w:numId="42">
    <w:abstractNumId w:val="64"/>
  </w:num>
  <w:num w:numId="43">
    <w:abstractNumId w:val="56"/>
  </w:num>
  <w:num w:numId="44">
    <w:abstractNumId w:val="32"/>
  </w:num>
  <w:num w:numId="45">
    <w:abstractNumId w:val="28"/>
  </w:num>
  <w:num w:numId="46">
    <w:abstractNumId w:val="5"/>
  </w:num>
  <w:num w:numId="47">
    <w:abstractNumId w:val="19"/>
  </w:num>
  <w:num w:numId="48">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0"/>
  </w:num>
  <w:num w:numId="50">
    <w:abstractNumId w:val="44"/>
  </w:num>
  <w:num w:numId="51">
    <w:abstractNumId w:val="68"/>
  </w:num>
  <w:num w:numId="52">
    <w:abstractNumId w:val="52"/>
  </w:num>
  <w:num w:numId="53">
    <w:abstractNumId w:val="18"/>
  </w:num>
  <w:num w:numId="54">
    <w:abstractNumId w:val="39"/>
  </w:num>
  <w:num w:numId="55">
    <w:abstractNumId w:val="37"/>
  </w:num>
  <w:num w:numId="56">
    <w:abstractNumId w:val="27"/>
  </w:num>
  <w:num w:numId="5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4"/>
  </w:num>
  <w:num w:numId="61">
    <w:abstractNumId w:val="17"/>
  </w:num>
  <w:num w:numId="62">
    <w:abstractNumId w:val="3"/>
  </w:num>
  <w:num w:numId="63">
    <w:abstractNumId w:val="9"/>
  </w:num>
  <w:num w:numId="64">
    <w:abstractNumId w:val="55"/>
  </w:num>
  <w:num w:numId="65">
    <w:abstractNumId w:val="16"/>
  </w:num>
  <w:num w:numId="66">
    <w:abstractNumId w:val="26"/>
  </w:num>
  <w:num w:numId="67">
    <w:abstractNumId w:val="65"/>
  </w:num>
  <w:num w:numId="68">
    <w:abstractNumId w:val="63"/>
  </w:num>
  <w:num w:numId="69">
    <w:abstractNumId w:val="81"/>
  </w:num>
  <w:num w:numId="70">
    <w:abstractNumId w:val="79"/>
  </w:num>
  <w:num w:numId="71">
    <w:abstractNumId w:val="60"/>
  </w:num>
  <w:num w:numId="72">
    <w:abstractNumId w:val="36"/>
  </w:num>
  <w:num w:numId="73">
    <w:abstractNumId w:val="30"/>
  </w:num>
  <w:num w:numId="74">
    <w:abstractNumId w:val="47"/>
  </w:num>
  <w:num w:numId="75">
    <w:abstractNumId w:val="21"/>
  </w:num>
  <w:num w:numId="76">
    <w:abstractNumId w:val="57"/>
  </w:num>
  <w:num w:numId="77">
    <w:abstractNumId w:val="7"/>
  </w:num>
  <w:num w:numId="78">
    <w:abstractNumId w:val="78"/>
  </w:num>
  <w:num w:numId="79">
    <w:abstractNumId w:val="72"/>
  </w:num>
  <w:num w:numId="80">
    <w:abstractNumId w:val="41"/>
  </w:num>
  <w:num w:numId="81">
    <w:abstractNumId w:val="29"/>
  </w:num>
  <w:num w:numId="82">
    <w:abstractNumId w:val="59"/>
  </w:num>
  <w:num w:numId="83">
    <w:abstractNumId w:val="14"/>
  </w:num>
  <w:num w:numId="84">
    <w:abstractNumId w:val="46"/>
  </w:num>
  <w:num w:numId="85">
    <w:abstractNumId w:val="24"/>
  </w:num>
  <w:num w:numId="86">
    <w:abstractNumId w:val="61"/>
  </w:num>
  <w:num w:numId="87">
    <w:abstractNumId w:val="10"/>
  </w:num>
  <w:num w:numId="88">
    <w:abstractNumId w:val="48"/>
  </w:num>
  <w:num w:numId="89">
    <w:abstractNumId w:val="8"/>
  </w:num>
  <w:num w:numId="90">
    <w:abstractNumId w:val="58"/>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09"/>
  <w:hyphenationZone w:val="425"/>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2D2"/>
    <w:rsid w:val="00000109"/>
    <w:rsid w:val="000002DF"/>
    <w:rsid w:val="000007D3"/>
    <w:rsid w:val="00000B94"/>
    <w:rsid w:val="00000CD8"/>
    <w:rsid w:val="00000DC7"/>
    <w:rsid w:val="00000EF5"/>
    <w:rsid w:val="0000124A"/>
    <w:rsid w:val="000015B9"/>
    <w:rsid w:val="00001878"/>
    <w:rsid w:val="00001A5D"/>
    <w:rsid w:val="00001DAA"/>
    <w:rsid w:val="00001E35"/>
    <w:rsid w:val="000023D4"/>
    <w:rsid w:val="00002600"/>
    <w:rsid w:val="0000275E"/>
    <w:rsid w:val="000028A0"/>
    <w:rsid w:val="00002A31"/>
    <w:rsid w:val="00002F23"/>
    <w:rsid w:val="00003112"/>
    <w:rsid w:val="0000380E"/>
    <w:rsid w:val="0000396A"/>
    <w:rsid w:val="00003986"/>
    <w:rsid w:val="00003A1A"/>
    <w:rsid w:val="00003AFC"/>
    <w:rsid w:val="00003C1F"/>
    <w:rsid w:val="00003C73"/>
    <w:rsid w:val="00003E8F"/>
    <w:rsid w:val="000042D2"/>
    <w:rsid w:val="0000467E"/>
    <w:rsid w:val="00004DD8"/>
    <w:rsid w:val="00004F98"/>
    <w:rsid w:val="00004FC1"/>
    <w:rsid w:val="00005346"/>
    <w:rsid w:val="000053B4"/>
    <w:rsid w:val="00005B04"/>
    <w:rsid w:val="00005CC9"/>
    <w:rsid w:val="0000679F"/>
    <w:rsid w:val="000069AF"/>
    <w:rsid w:val="000069DF"/>
    <w:rsid w:val="000073B0"/>
    <w:rsid w:val="00007616"/>
    <w:rsid w:val="00007702"/>
    <w:rsid w:val="00007B4D"/>
    <w:rsid w:val="00007B88"/>
    <w:rsid w:val="00007BF8"/>
    <w:rsid w:val="00007E5D"/>
    <w:rsid w:val="00007EDF"/>
    <w:rsid w:val="00007EEE"/>
    <w:rsid w:val="000109C0"/>
    <w:rsid w:val="00010A3F"/>
    <w:rsid w:val="00010A49"/>
    <w:rsid w:val="00010CDC"/>
    <w:rsid w:val="0001172C"/>
    <w:rsid w:val="00011A95"/>
    <w:rsid w:val="00011B5F"/>
    <w:rsid w:val="00012117"/>
    <w:rsid w:val="000123A0"/>
    <w:rsid w:val="000123A4"/>
    <w:rsid w:val="00012B36"/>
    <w:rsid w:val="00012B74"/>
    <w:rsid w:val="00012DD7"/>
    <w:rsid w:val="00012E16"/>
    <w:rsid w:val="00012E47"/>
    <w:rsid w:val="00012FA9"/>
    <w:rsid w:val="00013314"/>
    <w:rsid w:val="00013676"/>
    <w:rsid w:val="000136A3"/>
    <w:rsid w:val="00013760"/>
    <w:rsid w:val="00013898"/>
    <w:rsid w:val="00013927"/>
    <w:rsid w:val="000139E1"/>
    <w:rsid w:val="00013A78"/>
    <w:rsid w:val="00013A79"/>
    <w:rsid w:val="00013AF2"/>
    <w:rsid w:val="00013B97"/>
    <w:rsid w:val="00013BE4"/>
    <w:rsid w:val="00013FF1"/>
    <w:rsid w:val="00014084"/>
    <w:rsid w:val="00014495"/>
    <w:rsid w:val="000148A0"/>
    <w:rsid w:val="000149A8"/>
    <w:rsid w:val="00014C9F"/>
    <w:rsid w:val="00014CC7"/>
    <w:rsid w:val="0001541C"/>
    <w:rsid w:val="0001587A"/>
    <w:rsid w:val="00015A27"/>
    <w:rsid w:val="00015B08"/>
    <w:rsid w:val="00015C2D"/>
    <w:rsid w:val="00015FEE"/>
    <w:rsid w:val="00016019"/>
    <w:rsid w:val="0001609A"/>
    <w:rsid w:val="0001656E"/>
    <w:rsid w:val="000166E7"/>
    <w:rsid w:val="00017382"/>
    <w:rsid w:val="00017423"/>
    <w:rsid w:val="00017606"/>
    <w:rsid w:val="00017EA2"/>
    <w:rsid w:val="00017EB1"/>
    <w:rsid w:val="00017F49"/>
    <w:rsid w:val="00020402"/>
    <w:rsid w:val="0002089A"/>
    <w:rsid w:val="00020A0B"/>
    <w:rsid w:val="00020B3F"/>
    <w:rsid w:val="00020C6A"/>
    <w:rsid w:val="00020E8E"/>
    <w:rsid w:val="000214B4"/>
    <w:rsid w:val="0002173F"/>
    <w:rsid w:val="00021774"/>
    <w:rsid w:val="00021A84"/>
    <w:rsid w:val="00021DAE"/>
    <w:rsid w:val="00021FFB"/>
    <w:rsid w:val="00022126"/>
    <w:rsid w:val="00022148"/>
    <w:rsid w:val="00022158"/>
    <w:rsid w:val="0002279E"/>
    <w:rsid w:val="00023600"/>
    <w:rsid w:val="0002363C"/>
    <w:rsid w:val="00023662"/>
    <w:rsid w:val="000237A4"/>
    <w:rsid w:val="000238EB"/>
    <w:rsid w:val="00023B4F"/>
    <w:rsid w:val="00023EFD"/>
    <w:rsid w:val="00023F5A"/>
    <w:rsid w:val="00024301"/>
    <w:rsid w:val="00025294"/>
    <w:rsid w:val="0002546E"/>
    <w:rsid w:val="00025844"/>
    <w:rsid w:val="00025874"/>
    <w:rsid w:val="000265F1"/>
    <w:rsid w:val="0002665B"/>
    <w:rsid w:val="000267CA"/>
    <w:rsid w:val="00026838"/>
    <w:rsid w:val="00026C00"/>
    <w:rsid w:val="00026F98"/>
    <w:rsid w:val="000271CF"/>
    <w:rsid w:val="0002770E"/>
    <w:rsid w:val="0002774B"/>
    <w:rsid w:val="00027848"/>
    <w:rsid w:val="0003015F"/>
    <w:rsid w:val="00030AA5"/>
    <w:rsid w:val="00030B1D"/>
    <w:rsid w:val="00030C41"/>
    <w:rsid w:val="00030D83"/>
    <w:rsid w:val="00030E6B"/>
    <w:rsid w:val="00030FA0"/>
    <w:rsid w:val="00031098"/>
    <w:rsid w:val="0003166B"/>
    <w:rsid w:val="00031832"/>
    <w:rsid w:val="0003188B"/>
    <w:rsid w:val="0003191F"/>
    <w:rsid w:val="00031A95"/>
    <w:rsid w:val="00031C04"/>
    <w:rsid w:val="00032005"/>
    <w:rsid w:val="000322EE"/>
    <w:rsid w:val="00032357"/>
    <w:rsid w:val="000326D2"/>
    <w:rsid w:val="000327A1"/>
    <w:rsid w:val="00032847"/>
    <w:rsid w:val="000329B6"/>
    <w:rsid w:val="00032B0C"/>
    <w:rsid w:val="00032C68"/>
    <w:rsid w:val="00032D29"/>
    <w:rsid w:val="00032D56"/>
    <w:rsid w:val="00032E82"/>
    <w:rsid w:val="00032E88"/>
    <w:rsid w:val="00032EC0"/>
    <w:rsid w:val="00033E0F"/>
    <w:rsid w:val="0003426A"/>
    <w:rsid w:val="00034501"/>
    <w:rsid w:val="0003456E"/>
    <w:rsid w:val="00034AD9"/>
    <w:rsid w:val="00034C3C"/>
    <w:rsid w:val="00034E75"/>
    <w:rsid w:val="00034FAC"/>
    <w:rsid w:val="00035006"/>
    <w:rsid w:val="00035031"/>
    <w:rsid w:val="00035337"/>
    <w:rsid w:val="00035581"/>
    <w:rsid w:val="0003560A"/>
    <w:rsid w:val="00035629"/>
    <w:rsid w:val="000359D8"/>
    <w:rsid w:val="00035A42"/>
    <w:rsid w:val="00035BC7"/>
    <w:rsid w:val="000366CE"/>
    <w:rsid w:val="000367A8"/>
    <w:rsid w:val="00036A22"/>
    <w:rsid w:val="00036B2A"/>
    <w:rsid w:val="00036B52"/>
    <w:rsid w:val="000370EC"/>
    <w:rsid w:val="00037104"/>
    <w:rsid w:val="00037775"/>
    <w:rsid w:val="00037837"/>
    <w:rsid w:val="0003793F"/>
    <w:rsid w:val="000379C7"/>
    <w:rsid w:val="00037A76"/>
    <w:rsid w:val="00037AFC"/>
    <w:rsid w:val="00037C8F"/>
    <w:rsid w:val="00037C97"/>
    <w:rsid w:val="00037F5A"/>
    <w:rsid w:val="0004013A"/>
    <w:rsid w:val="000405DC"/>
    <w:rsid w:val="00040946"/>
    <w:rsid w:val="00040A46"/>
    <w:rsid w:val="00040B56"/>
    <w:rsid w:val="00040BF3"/>
    <w:rsid w:val="00040FC2"/>
    <w:rsid w:val="00040FE4"/>
    <w:rsid w:val="000410F5"/>
    <w:rsid w:val="0004130C"/>
    <w:rsid w:val="00041363"/>
    <w:rsid w:val="0004144B"/>
    <w:rsid w:val="0004180A"/>
    <w:rsid w:val="000419F1"/>
    <w:rsid w:val="00041CFE"/>
    <w:rsid w:val="00041D60"/>
    <w:rsid w:val="0004228E"/>
    <w:rsid w:val="0004235E"/>
    <w:rsid w:val="00042495"/>
    <w:rsid w:val="0004270E"/>
    <w:rsid w:val="00042B85"/>
    <w:rsid w:val="00042F46"/>
    <w:rsid w:val="00043004"/>
    <w:rsid w:val="000430FE"/>
    <w:rsid w:val="000431B9"/>
    <w:rsid w:val="00043478"/>
    <w:rsid w:val="00043F5F"/>
    <w:rsid w:val="00043FAF"/>
    <w:rsid w:val="00044069"/>
    <w:rsid w:val="00044126"/>
    <w:rsid w:val="00044186"/>
    <w:rsid w:val="0004419F"/>
    <w:rsid w:val="000443A1"/>
    <w:rsid w:val="000443FC"/>
    <w:rsid w:val="000448B9"/>
    <w:rsid w:val="000448BF"/>
    <w:rsid w:val="00044BA0"/>
    <w:rsid w:val="00044E35"/>
    <w:rsid w:val="00045208"/>
    <w:rsid w:val="0004521C"/>
    <w:rsid w:val="000452F9"/>
    <w:rsid w:val="0004567B"/>
    <w:rsid w:val="000458F7"/>
    <w:rsid w:val="00045ACF"/>
    <w:rsid w:val="00045C74"/>
    <w:rsid w:val="00045EB1"/>
    <w:rsid w:val="0004603A"/>
    <w:rsid w:val="00046086"/>
    <w:rsid w:val="0004615B"/>
    <w:rsid w:val="00046532"/>
    <w:rsid w:val="00046A98"/>
    <w:rsid w:val="00046B6D"/>
    <w:rsid w:val="00046BC5"/>
    <w:rsid w:val="00046D3D"/>
    <w:rsid w:val="00046E92"/>
    <w:rsid w:val="00047630"/>
    <w:rsid w:val="000478CA"/>
    <w:rsid w:val="00047965"/>
    <w:rsid w:val="00047A71"/>
    <w:rsid w:val="00047B77"/>
    <w:rsid w:val="00047F59"/>
    <w:rsid w:val="0005002C"/>
    <w:rsid w:val="0005050F"/>
    <w:rsid w:val="0005065E"/>
    <w:rsid w:val="000506AF"/>
    <w:rsid w:val="0005074C"/>
    <w:rsid w:val="00050F50"/>
    <w:rsid w:val="000512E0"/>
    <w:rsid w:val="00051321"/>
    <w:rsid w:val="00051A7F"/>
    <w:rsid w:val="00051E73"/>
    <w:rsid w:val="000529BA"/>
    <w:rsid w:val="00052DF2"/>
    <w:rsid w:val="00053545"/>
    <w:rsid w:val="00053583"/>
    <w:rsid w:val="00053669"/>
    <w:rsid w:val="00054149"/>
    <w:rsid w:val="000541ED"/>
    <w:rsid w:val="000543A0"/>
    <w:rsid w:val="00054935"/>
    <w:rsid w:val="00054B7A"/>
    <w:rsid w:val="00054D8F"/>
    <w:rsid w:val="0005503D"/>
    <w:rsid w:val="0005548D"/>
    <w:rsid w:val="00055B5A"/>
    <w:rsid w:val="00055B70"/>
    <w:rsid w:val="0005609C"/>
    <w:rsid w:val="00056448"/>
    <w:rsid w:val="00056712"/>
    <w:rsid w:val="000567E1"/>
    <w:rsid w:val="00056C85"/>
    <w:rsid w:val="00056D26"/>
    <w:rsid w:val="0005710A"/>
    <w:rsid w:val="00057392"/>
    <w:rsid w:val="00057593"/>
    <w:rsid w:val="000579D1"/>
    <w:rsid w:val="00057BDE"/>
    <w:rsid w:val="00057CB8"/>
    <w:rsid w:val="00057E13"/>
    <w:rsid w:val="00060407"/>
    <w:rsid w:val="000604FB"/>
    <w:rsid w:val="000607C5"/>
    <w:rsid w:val="000609C4"/>
    <w:rsid w:val="000609C6"/>
    <w:rsid w:val="00060AB6"/>
    <w:rsid w:val="00060F40"/>
    <w:rsid w:val="00061311"/>
    <w:rsid w:val="0006186B"/>
    <w:rsid w:val="00061DAC"/>
    <w:rsid w:val="00062135"/>
    <w:rsid w:val="00062227"/>
    <w:rsid w:val="000622C5"/>
    <w:rsid w:val="00062309"/>
    <w:rsid w:val="00062478"/>
    <w:rsid w:val="000624CA"/>
    <w:rsid w:val="000624F0"/>
    <w:rsid w:val="000625CC"/>
    <w:rsid w:val="00062B05"/>
    <w:rsid w:val="00062DE0"/>
    <w:rsid w:val="000630B6"/>
    <w:rsid w:val="0006326E"/>
    <w:rsid w:val="00063478"/>
    <w:rsid w:val="000639D4"/>
    <w:rsid w:val="00063BCA"/>
    <w:rsid w:val="000640A8"/>
    <w:rsid w:val="00064245"/>
    <w:rsid w:val="000647B1"/>
    <w:rsid w:val="00064E0B"/>
    <w:rsid w:val="00065931"/>
    <w:rsid w:val="00065A79"/>
    <w:rsid w:val="00065C66"/>
    <w:rsid w:val="0006602B"/>
    <w:rsid w:val="000665E3"/>
    <w:rsid w:val="000665EF"/>
    <w:rsid w:val="000667F1"/>
    <w:rsid w:val="000668D7"/>
    <w:rsid w:val="00066B39"/>
    <w:rsid w:val="00066CDB"/>
    <w:rsid w:val="00066E09"/>
    <w:rsid w:val="00066FF5"/>
    <w:rsid w:val="000671FF"/>
    <w:rsid w:val="0006724B"/>
    <w:rsid w:val="000675BC"/>
    <w:rsid w:val="000675F4"/>
    <w:rsid w:val="000675FB"/>
    <w:rsid w:val="0006763E"/>
    <w:rsid w:val="0006783D"/>
    <w:rsid w:val="00067999"/>
    <w:rsid w:val="00067C1F"/>
    <w:rsid w:val="00067EDF"/>
    <w:rsid w:val="00067FEE"/>
    <w:rsid w:val="0007002B"/>
    <w:rsid w:val="000702D0"/>
    <w:rsid w:val="0007035B"/>
    <w:rsid w:val="00070882"/>
    <w:rsid w:val="00070964"/>
    <w:rsid w:val="00070B67"/>
    <w:rsid w:val="00070BE5"/>
    <w:rsid w:val="00070F24"/>
    <w:rsid w:val="00070F88"/>
    <w:rsid w:val="000713E4"/>
    <w:rsid w:val="0007144E"/>
    <w:rsid w:val="000714D7"/>
    <w:rsid w:val="0007187B"/>
    <w:rsid w:val="00071A3C"/>
    <w:rsid w:val="00071B7E"/>
    <w:rsid w:val="00071B82"/>
    <w:rsid w:val="00072126"/>
    <w:rsid w:val="0007239E"/>
    <w:rsid w:val="0007260A"/>
    <w:rsid w:val="000726A3"/>
    <w:rsid w:val="0007295C"/>
    <w:rsid w:val="00072A95"/>
    <w:rsid w:val="00072BC5"/>
    <w:rsid w:val="00072C26"/>
    <w:rsid w:val="00073030"/>
    <w:rsid w:val="0007348B"/>
    <w:rsid w:val="00073574"/>
    <w:rsid w:val="00073760"/>
    <w:rsid w:val="00073801"/>
    <w:rsid w:val="00073806"/>
    <w:rsid w:val="0007397C"/>
    <w:rsid w:val="00073A3D"/>
    <w:rsid w:val="00073A4D"/>
    <w:rsid w:val="0007401C"/>
    <w:rsid w:val="000745A0"/>
    <w:rsid w:val="000748C3"/>
    <w:rsid w:val="000748DC"/>
    <w:rsid w:val="0007495A"/>
    <w:rsid w:val="000749E9"/>
    <w:rsid w:val="00074BD0"/>
    <w:rsid w:val="00074C34"/>
    <w:rsid w:val="0007503D"/>
    <w:rsid w:val="0007548C"/>
    <w:rsid w:val="000756DB"/>
    <w:rsid w:val="00076272"/>
    <w:rsid w:val="0007632B"/>
    <w:rsid w:val="000766A5"/>
    <w:rsid w:val="000766F5"/>
    <w:rsid w:val="0007697E"/>
    <w:rsid w:val="00076B95"/>
    <w:rsid w:val="00076BD3"/>
    <w:rsid w:val="000772C2"/>
    <w:rsid w:val="000775BF"/>
    <w:rsid w:val="000779AA"/>
    <w:rsid w:val="00077BE7"/>
    <w:rsid w:val="00077CAE"/>
    <w:rsid w:val="00077D31"/>
    <w:rsid w:val="00080007"/>
    <w:rsid w:val="000803EC"/>
    <w:rsid w:val="000804FD"/>
    <w:rsid w:val="000805F4"/>
    <w:rsid w:val="000807AF"/>
    <w:rsid w:val="00080B97"/>
    <w:rsid w:val="00080D3A"/>
    <w:rsid w:val="0008153B"/>
    <w:rsid w:val="00081870"/>
    <w:rsid w:val="00081CC1"/>
    <w:rsid w:val="00081FC5"/>
    <w:rsid w:val="000822B9"/>
    <w:rsid w:val="00082ADF"/>
    <w:rsid w:val="00082BF0"/>
    <w:rsid w:val="00082D52"/>
    <w:rsid w:val="00082DD3"/>
    <w:rsid w:val="00082E8B"/>
    <w:rsid w:val="00082FDC"/>
    <w:rsid w:val="000832B1"/>
    <w:rsid w:val="000836E3"/>
    <w:rsid w:val="000837B7"/>
    <w:rsid w:val="00083D1D"/>
    <w:rsid w:val="000840E4"/>
    <w:rsid w:val="00084863"/>
    <w:rsid w:val="00084ACD"/>
    <w:rsid w:val="00084BDA"/>
    <w:rsid w:val="00084D3E"/>
    <w:rsid w:val="00084F19"/>
    <w:rsid w:val="00085262"/>
    <w:rsid w:val="0008527A"/>
    <w:rsid w:val="000853C5"/>
    <w:rsid w:val="0008544B"/>
    <w:rsid w:val="00085A06"/>
    <w:rsid w:val="00085C51"/>
    <w:rsid w:val="00085D81"/>
    <w:rsid w:val="00085E36"/>
    <w:rsid w:val="00085FD0"/>
    <w:rsid w:val="00086223"/>
    <w:rsid w:val="000862C4"/>
    <w:rsid w:val="0008661F"/>
    <w:rsid w:val="00086ADD"/>
    <w:rsid w:val="00086FDE"/>
    <w:rsid w:val="00087094"/>
    <w:rsid w:val="0008722A"/>
    <w:rsid w:val="000877F3"/>
    <w:rsid w:val="00087A27"/>
    <w:rsid w:val="00087B05"/>
    <w:rsid w:val="00087BD7"/>
    <w:rsid w:val="00087EB7"/>
    <w:rsid w:val="00087F4B"/>
    <w:rsid w:val="00090156"/>
    <w:rsid w:val="0009023E"/>
    <w:rsid w:val="000904CC"/>
    <w:rsid w:val="000905F4"/>
    <w:rsid w:val="00090A22"/>
    <w:rsid w:val="00090FFF"/>
    <w:rsid w:val="000912E0"/>
    <w:rsid w:val="000914C0"/>
    <w:rsid w:val="0009179B"/>
    <w:rsid w:val="0009179E"/>
    <w:rsid w:val="00091868"/>
    <w:rsid w:val="00091F4B"/>
    <w:rsid w:val="0009202D"/>
    <w:rsid w:val="00092EE6"/>
    <w:rsid w:val="00093030"/>
    <w:rsid w:val="00093057"/>
    <w:rsid w:val="000931A7"/>
    <w:rsid w:val="00093338"/>
    <w:rsid w:val="00093461"/>
    <w:rsid w:val="000936FF"/>
    <w:rsid w:val="00093CAD"/>
    <w:rsid w:val="00093D2F"/>
    <w:rsid w:val="00093DEE"/>
    <w:rsid w:val="00094050"/>
    <w:rsid w:val="00094051"/>
    <w:rsid w:val="0009443B"/>
    <w:rsid w:val="000949B1"/>
    <w:rsid w:val="00094E11"/>
    <w:rsid w:val="00095070"/>
    <w:rsid w:val="000951E8"/>
    <w:rsid w:val="0009536A"/>
    <w:rsid w:val="0009546F"/>
    <w:rsid w:val="000954F0"/>
    <w:rsid w:val="00095A61"/>
    <w:rsid w:val="0009619B"/>
    <w:rsid w:val="00096203"/>
    <w:rsid w:val="0009623F"/>
    <w:rsid w:val="00096353"/>
    <w:rsid w:val="00096858"/>
    <w:rsid w:val="000969F7"/>
    <w:rsid w:val="00096A80"/>
    <w:rsid w:val="00096E5F"/>
    <w:rsid w:val="00096EA8"/>
    <w:rsid w:val="00097013"/>
    <w:rsid w:val="0009710D"/>
    <w:rsid w:val="00097254"/>
    <w:rsid w:val="00097A61"/>
    <w:rsid w:val="00097B96"/>
    <w:rsid w:val="00097CF6"/>
    <w:rsid w:val="00097EBD"/>
    <w:rsid w:val="00097FBE"/>
    <w:rsid w:val="000A00D0"/>
    <w:rsid w:val="000A01DA"/>
    <w:rsid w:val="000A022C"/>
    <w:rsid w:val="000A0411"/>
    <w:rsid w:val="000A0731"/>
    <w:rsid w:val="000A0DC4"/>
    <w:rsid w:val="000A1377"/>
    <w:rsid w:val="000A139D"/>
    <w:rsid w:val="000A169F"/>
    <w:rsid w:val="000A1893"/>
    <w:rsid w:val="000A1A52"/>
    <w:rsid w:val="000A1C46"/>
    <w:rsid w:val="000A1C5F"/>
    <w:rsid w:val="000A2466"/>
    <w:rsid w:val="000A2469"/>
    <w:rsid w:val="000A271B"/>
    <w:rsid w:val="000A3308"/>
    <w:rsid w:val="000A33B1"/>
    <w:rsid w:val="000A3686"/>
    <w:rsid w:val="000A3BAB"/>
    <w:rsid w:val="000A3E15"/>
    <w:rsid w:val="000A3EDC"/>
    <w:rsid w:val="000A423E"/>
    <w:rsid w:val="000A4286"/>
    <w:rsid w:val="000A4529"/>
    <w:rsid w:val="000A4555"/>
    <w:rsid w:val="000A467D"/>
    <w:rsid w:val="000A48F2"/>
    <w:rsid w:val="000A4CDF"/>
    <w:rsid w:val="000A54CC"/>
    <w:rsid w:val="000A550D"/>
    <w:rsid w:val="000A57E1"/>
    <w:rsid w:val="000A5A1E"/>
    <w:rsid w:val="000A5AC2"/>
    <w:rsid w:val="000A5F6C"/>
    <w:rsid w:val="000A652B"/>
    <w:rsid w:val="000A662D"/>
    <w:rsid w:val="000A6843"/>
    <w:rsid w:val="000A6AF1"/>
    <w:rsid w:val="000A6B0A"/>
    <w:rsid w:val="000A702F"/>
    <w:rsid w:val="000A71D8"/>
    <w:rsid w:val="000A72A3"/>
    <w:rsid w:val="000A73A4"/>
    <w:rsid w:val="000A74A5"/>
    <w:rsid w:val="000A786B"/>
    <w:rsid w:val="000A7CC3"/>
    <w:rsid w:val="000B01D1"/>
    <w:rsid w:val="000B02DD"/>
    <w:rsid w:val="000B0400"/>
    <w:rsid w:val="000B04E0"/>
    <w:rsid w:val="000B08FE"/>
    <w:rsid w:val="000B097D"/>
    <w:rsid w:val="000B0A19"/>
    <w:rsid w:val="000B0CD1"/>
    <w:rsid w:val="000B1001"/>
    <w:rsid w:val="000B126B"/>
    <w:rsid w:val="000B150E"/>
    <w:rsid w:val="000B18EC"/>
    <w:rsid w:val="000B1A67"/>
    <w:rsid w:val="000B1D17"/>
    <w:rsid w:val="000B1EDF"/>
    <w:rsid w:val="000B2083"/>
    <w:rsid w:val="000B2876"/>
    <w:rsid w:val="000B2941"/>
    <w:rsid w:val="000B3406"/>
    <w:rsid w:val="000B3E07"/>
    <w:rsid w:val="000B3EFB"/>
    <w:rsid w:val="000B4277"/>
    <w:rsid w:val="000B4394"/>
    <w:rsid w:val="000B4435"/>
    <w:rsid w:val="000B4BB1"/>
    <w:rsid w:val="000B4F16"/>
    <w:rsid w:val="000B4FB9"/>
    <w:rsid w:val="000B5176"/>
    <w:rsid w:val="000B57D9"/>
    <w:rsid w:val="000B5EBB"/>
    <w:rsid w:val="000B66D8"/>
    <w:rsid w:val="000B69F8"/>
    <w:rsid w:val="000B795E"/>
    <w:rsid w:val="000B7FA3"/>
    <w:rsid w:val="000C004A"/>
    <w:rsid w:val="000C00DD"/>
    <w:rsid w:val="000C03E9"/>
    <w:rsid w:val="000C077C"/>
    <w:rsid w:val="000C0A14"/>
    <w:rsid w:val="000C0A89"/>
    <w:rsid w:val="000C0C21"/>
    <w:rsid w:val="000C0C7E"/>
    <w:rsid w:val="000C1182"/>
    <w:rsid w:val="000C12B8"/>
    <w:rsid w:val="000C1500"/>
    <w:rsid w:val="000C16FD"/>
    <w:rsid w:val="000C17F3"/>
    <w:rsid w:val="000C1F2A"/>
    <w:rsid w:val="000C1F31"/>
    <w:rsid w:val="000C24F4"/>
    <w:rsid w:val="000C295D"/>
    <w:rsid w:val="000C2D4D"/>
    <w:rsid w:val="000C2DD7"/>
    <w:rsid w:val="000C2E11"/>
    <w:rsid w:val="000C3272"/>
    <w:rsid w:val="000C35D4"/>
    <w:rsid w:val="000C3BD5"/>
    <w:rsid w:val="000C3D5F"/>
    <w:rsid w:val="000C3D70"/>
    <w:rsid w:val="000C3DCC"/>
    <w:rsid w:val="000C3E23"/>
    <w:rsid w:val="000C3F4F"/>
    <w:rsid w:val="000C40D0"/>
    <w:rsid w:val="000C43D4"/>
    <w:rsid w:val="000C48CF"/>
    <w:rsid w:val="000C4EE2"/>
    <w:rsid w:val="000C51E2"/>
    <w:rsid w:val="000C52A8"/>
    <w:rsid w:val="000C555C"/>
    <w:rsid w:val="000C5E18"/>
    <w:rsid w:val="000C6011"/>
    <w:rsid w:val="000C62BA"/>
    <w:rsid w:val="000C67E4"/>
    <w:rsid w:val="000C6856"/>
    <w:rsid w:val="000C68FE"/>
    <w:rsid w:val="000C6FBB"/>
    <w:rsid w:val="000C7176"/>
    <w:rsid w:val="000C755D"/>
    <w:rsid w:val="000C762C"/>
    <w:rsid w:val="000C763D"/>
    <w:rsid w:val="000C7825"/>
    <w:rsid w:val="000C7858"/>
    <w:rsid w:val="000C7875"/>
    <w:rsid w:val="000C78E6"/>
    <w:rsid w:val="000D01C7"/>
    <w:rsid w:val="000D0579"/>
    <w:rsid w:val="000D0675"/>
    <w:rsid w:val="000D0B77"/>
    <w:rsid w:val="000D0BAD"/>
    <w:rsid w:val="000D0ED6"/>
    <w:rsid w:val="000D1334"/>
    <w:rsid w:val="000D143B"/>
    <w:rsid w:val="000D1B91"/>
    <w:rsid w:val="000D1CC0"/>
    <w:rsid w:val="000D1DBC"/>
    <w:rsid w:val="000D206E"/>
    <w:rsid w:val="000D2238"/>
    <w:rsid w:val="000D22B7"/>
    <w:rsid w:val="000D28AF"/>
    <w:rsid w:val="000D31C4"/>
    <w:rsid w:val="000D32CA"/>
    <w:rsid w:val="000D3446"/>
    <w:rsid w:val="000D34F9"/>
    <w:rsid w:val="000D3640"/>
    <w:rsid w:val="000D38B8"/>
    <w:rsid w:val="000D3E90"/>
    <w:rsid w:val="000D4014"/>
    <w:rsid w:val="000D408E"/>
    <w:rsid w:val="000D40E6"/>
    <w:rsid w:val="000D418B"/>
    <w:rsid w:val="000D438C"/>
    <w:rsid w:val="000D4858"/>
    <w:rsid w:val="000D49E9"/>
    <w:rsid w:val="000D4BC8"/>
    <w:rsid w:val="000D4C9C"/>
    <w:rsid w:val="000D51F3"/>
    <w:rsid w:val="000D5330"/>
    <w:rsid w:val="000D564B"/>
    <w:rsid w:val="000D567C"/>
    <w:rsid w:val="000D59F4"/>
    <w:rsid w:val="000D5A99"/>
    <w:rsid w:val="000D5ECF"/>
    <w:rsid w:val="000D6359"/>
    <w:rsid w:val="000D640E"/>
    <w:rsid w:val="000D6466"/>
    <w:rsid w:val="000D6657"/>
    <w:rsid w:val="000D6702"/>
    <w:rsid w:val="000D6B12"/>
    <w:rsid w:val="000D6B9F"/>
    <w:rsid w:val="000D6D91"/>
    <w:rsid w:val="000D76DD"/>
    <w:rsid w:val="000D799D"/>
    <w:rsid w:val="000D7B66"/>
    <w:rsid w:val="000D7FBD"/>
    <w:rsid w:val="000E0286"/>
    <w:rsid w:val="000E03A9"/>
    <w:rsid w:val="000E05CE"/>
    <w:rsid w:val="000E07AA"/>
    <w:rsid w:val="000E0B3D"/>
    <w:rsid w:val="000E0D3C"/>
    <w:rsid w:val="000E0E69"/>
    <w:rsid w:val="000E124C"/>
    <w:rsid w:val="000E147B"/>
    <w:rsid w:val="000E1518"/>
    <w:rsid w:val="000E15F8"/>
    <w:rsid w:val="000E18CA"/>
    <w:rsid w:val="000E1ABC"/>
    <w:rsid w:val="000E1FC6"/>
    <w:rsid w:val="000E217E"/>
    <w:rsid w:val="000E21CC"/>
    <w:rsid w:val="000E2AFD"/>
    <w:rsid w:val="000E2F00"/>
    <w:rsid w:val="000E312D"/>
    <w:rsid w:val="000E31C6"/>
    <w:rsid w:val="000E3544"/>
    <w:rsid w:val="000E36C4"/>
    <w:rsid w:val="000E3743"/>
    <w:rsid w:val="000E3C16"/>
    <w:rsid w:val="000E3FF4"/>
    <w:rsid w:val="000E4204"/>
    <w:rsid w:val="000E4F96"/>
    <w:rsid w:val="000E4FB4"/>
    <w:rsid w:val="000E5041"/>
    <w:rsid w:val="000E5650"/>
    <w:rsid w:val="000E586E"/>
    <w:rsid w:val="000E5A74"/>
    <w:rsid w:val="000E5B53"/>
    <w:rsid w:val="000E5CFD"/>
    <w:rsid w:val="000E5F00"/>
    <w:rsid w:val="000E5FDF"/>
    <w:rsid w:val="000E661B"/>
    <w:rsid w:val="000E6C1E"/>
    <w:rsid w:val="000E6DF5"/>
    <w:rsid w:val="000E7050"/>
    <w:rsid w:val="000E710E"/>
    <w:rsid w:val="000E7155"/>
    <w:rsid w:val="000E73B3"/>
    <w:rsid w:val="000E747F"/>
    <w:rsid w:val="000E7586"/>
    <w:rsid w:val="000E7601"/>
    <w:rsid w:val="000E7656"/>
    <w:rsid w:val="000E76FC"/>
    <w:rsid w:val="000E7A8A"/>
    <w:rsid w:val="000E7D8C"/>
    <w:rsid w:val="000F008D"/>
    <w:rsid w:val="000F02EE"/>
    <w:rsid w:val="000F058F"/>
    <w:rsid w:val="000F09B1"/>
    <w:rsid w:val="000F0C70"/>
    <w:rsid w:val="000F0CAE"/>
    <w:rsid w:val="000F0D85"/>
    <w:rsid w:val="000F1019"/>
    <w:rsid w:val="000F101B"/>
    <w:rsid w:val="000F16E4"/>
    <w:rsid w:val="000F18AD"/>
    <w:rsid w:val="000F19EE"/>
    <w:rsid w:val="000F1B39"/>
    <w:rsid w:val="000F1CD9"/>
    <w:rsid w:val="000F1CED"/>
    <w:rsid w:val="000F25CF"/>
    <w:rsid w:val="000F26ED"/>
    <w:rsid w:val="000F2785"/>
    <w:rsid w:val="000F27CB"/>
    <w:rsid w:val="000F2918"/>
    <w:rsid w:val="000F2C91"/>
    <w:rsid w:val="000F2DBB"/>
    <w:rsid w:val="000F3023"/>
    <w:rsid w:val="000F3142"/>
    <w:rsid w:val="000F3233"/>
    <w:rsid w:val="000F34E9"/>
    <w:rsid w:val="000F395D"/>
    <w:rsid w:val="000F39AE"/>
    <w:rsid w:val="000F3CAC"/>
    <w:rsid w:val="000F3D20"/>
    <w:rsid w:val="000F3DB1"/>
    <w:rsid w:val="000F3ED0"/>
    <w:rsid w:val="000F43F8"/>
    <w:rsid w:val="000F46F1"/>
    <w:rsid w:val="000F4BB7"/>
    <w:rsid w:val="000F4D64"/>
    <w:rsid w:val="000F50D1"/>
    <w:rsid w:val="000F5102"/>
    <w:rsid w:val="000F512A"/>
    <w:rsid w:val="000F56A5"/>
    <w:rsid w:val="000F56B6"/>
    <w:rsid w:val="000F56F0"/>
    <w:rsid w:val="000F5C21"/>
    <w:rsid w:val="000F5F2F"/>
    <w:rsid w:val="000F6047"/>
    <w:rsid w:val="000F666B"/>
    <w:rsid w:val="000F6756"/>
    <w:rsid w:val="000F6913"/>
    <w:rsid w:val="000F6C42"/>
    <w:rsid w:val="000F6CD3"/>
    <w:rsid w:val="000F6CDE"/>
    <w:rsid w:val="000F7000"/>
    <w:rsid w:val="000F714E"/>
    <w:rsid w:val="000F76BE"/>
    <w:rsid w:val="000F7B3B"/>
    <w:rsid w:val="0010054A"/>
    <w:rsid w:val="001008BF"/>
    <w:rsid w:val="00100D7A"/>
    <w:rsid w:val="00100EF6"/>
    <w:rsid w:val="00100F52"/>
    <w:rsid w:val="00101054"/>
    <w:rsid w:val="00101167"/>
    <w:rsid w:val="001012B3"/>
    <w:rsid w:val="00101552"/>
    <w:rsid w:val="001020A0"/>
    <w:rsid w:val="001023BE"/>
    <w:rsid w:val="00102422"/>
    <w:rsid w:val="001026B5"/>
    <w:rsid w:val="0010288C"/>
    <w:rsid w:val="00102B1A"/>
    <w:rsid w:val="00102C3C"/>
    <w:rsid w:val="00102C9A"/>
    <w:rsid w:val="00102D52"/>
    <w:rsid w:val="00102F77"/>
    <w:rsid w:val="001031FF"/>
    <w:rsid w:val="00103919"/>
    <w:rsid w:val="0010395D"/>
    <w:rsid w:val="00104170"/>
    <w:rsid w:val="00104376"/>
    <w:rsid w:val="00104728"/>
    <w:rsid w:val="00104CC3"/>
    <w:rsid w:val="001052A2"/>
    <w:rsid w:val="00105333"/>
    <w:rsid w:val="00105337"/>
    <w:rsid w:val="0010537A"/>
    <w:rsid w:val="00105A8A"/>
    <w:rsid w:val="00105C36"/>
    <w:rsid w:val="00105F3B"/>
    <w:rsid w:val="001067CE"/>
    <w:rsid w:val="00106A09"/>
    <w:rsid w:val="00106C71"/>
    <w:rsid w:val="00106D4F"/>
    <w:rsid w:val="00106EBC"/>
    <w:rsid w:val="001070A7"/>
    <w:rsid w:val="0010768C"/>
    <w:rsid w:val="001077F8"/>
    <w:rsid w:val="00107B28"/>
    <w:rsid w:val="00107DD8"/>
    <w:rsid w:val="00110242"/>
    <w:rsid w:val="0011040D"/>
    <w:rsid w:val="0011057C"/>
    <w:rsid w:val="00110709"/>
    <w:rsid w:val="00110779"/>
    <w:rsid w:val="00110D7E"/>
    <w:rsid w:val="0011109D"/>
    <w:rsid w:val="001110E2"/>
    <w:rsid w:val="00111127"/>
    <w:rsid w:val="0011112C"/>
    <w:rsid w:val="00111384"/>
    <w:rsid w:val="00111A6E"/>
    <w:rsid w:val="00111BB7"/>
    <w:rsid w:val="001122E9"/>
    <w:rsid w:val="0011240E"/>
    <w:rsid w:val="001127A6"/>
    <w:rsid w:val="001128CF"/>
    <w:rsid w:val="0011298E"/>
    <w:rsid w:val="00112ACF"/>
    <w:rsid w:val="001132AE"/>
    <w:rsid w:val="001133CD"/>
    <w:rsid w:val="00113487"/>
    <w:rsid w:val="00113899"/>
    <w:rsid w:val="0011389D"/>
    <w:rsid w:val="001138FB"/>
    <w:rsid w:val="001139D5"/>
    <w:rsid w:val="001139F6"/>
    <w:rsid w:val="00113A24"/>
    <w:rsid w:val="00113B63"/>
    <w:rsid w:val="00114247"/>
    <w:rsid w:val="001144AD"/>
    <w:rsid w:val="001145B1"/>
    <w:rsid w:val="001146C1"/>
    <w:rsid w:val="001148A2"/>
    <w:rsid w:val="00114C5E"/>
    <w:rsid w:val="00114EC0"/>
    <w:rsid w:val="00114ED9"/>
    <w:rsid w:val="00114FFC"/>
    <w:rsid w:val="001158DB"/>
    <w:rsid w:val="001158E0"/>
    <w:rsid w:val="00115B30"/>
    <w:rsid w:val="00115BDD"/>
    <w:rsid w:val="00115D7F"/>
    <w:rsid w:val="00115FFD"/>
    <w:rsid w:val="00116385"/>
    <w:rsid w:val="00116894"/>
    <w:rsid w:val="001168D4"/>
    <w:rsid w:val="00116D19"/>
    <w:rsid w:val="00116D7A"/>
    <w:rsid w:val="00116F34"/>
    <w:rsid w:val="00117156"/>
    <w:rsid w:val="00117422"/>
    <w:rsid w:val="00117443"/>
    <w:rsid w:val="0011759F"/>
    <w:rsid w:val="001177C1"/>
    <w:rsid w:val="0011791C"/>
    <w:rsid w:val="00117B24"/>
    <w:rsid w:val="00117C97"/>
    <w:rsid w:val="001202CA"/>
    <w:rsid w:val="0012042A"/>
    <w:rsid w:val="001204AC"/>
    <w:rsid w:val="00120993"/>
    <w:rsid w:val="00120AEA"/>
    <w:rsid w:val="00120CFA"/>
    <w:rsid w:val="00120ECE"/>
    <w:rsid w:val="00121331"/>
    <w:rsid w:val="00121771"/>
    <w:rsid w:val="00121EB2"/>
    <w:rsid w:val="00121F13"/>
    <w:rsid w:val="00121F2D"/>
    <w:rsid w:val="001222C5"/>
    <w:rsid w:val="00122566"/>
    <w:rsid w:val="00122567"/>
    <w:rsid w:val="001225D7"/>
    <w:rsid w:val="001227FC"/>
    <w:rsid w:val="00122960"/>
    <w:rsid w:val="00122BA4"/>
    <w:rsid w:val="001231D7"/>
    <w:rsid w:val="001233A2"/>
    <w:rsid w:val="001233EC"/>
    <w:rsid w:val="0012374D"/>
    <w:rsid w:val="00123885"/>
    <w:rsid w:val="00123906"/>
    <w:rsid w:val="00123D7F"/>
    <w:rsid w:val="00123DEC"/>
    <w:rsid w:val="00124093"/>
    <w:rsid w:val="00124124"/>
    <w:rsid w:val="0012459C"/>
    <w:rsid w:val="00124DC2"/>
    <w:rsid w:val="00125137"/>
    <w:rsid w:val="0012532C"/>
    <w:rsid w:val="00125943"/>
    <w:rsid w:val="00125C23"/>
    <w:rsid w:val="00125C9E"/>
    <w:rsid w:val="0012624B"/>
    <w:rsid w:val="0012671D"/>
    <w:rsid w:val="001267AA"/>
    <w:rsid w:val="00126B26"/>
    <w:rsid w:val="00126F1F"/>
    <w:rsid w:val="00127276"/>
    <w:rsid w:val="001276B1"/>
    <w:rsid w:val="00127AD0"/>
    <w:rsid w:val="0013012E"/>
    <w:rsid w:val="001302A9"/>
    <w:rsid w:val="001308C5"/>
    <w:rsid w:val="00130BD6"/>
    <w:rsid w:val="00130BF9"/>
    <w:rsid w:val="00130C0F"/>
    <w:rsid w:val="00130C94"/>
    <w:rsid w:val="00130FF1"/>
    <w:rsid w:val="00131157"/>
    <w:rsid w:val="0013138E"/>
    <w:rsid w:val="00131553"/>
    <w:rsid w:val="00131741"/>
    <w:rsid w:val="00131995"/>
    <w:rsid w:val="00131BEF"/>
    <w:rsid w:val="00131D11"/>
    <w:rsid w:val="00131DF0"/>
    <w:rsid w:val="00131DFE"/>
    <w:rsid w:val="00132013"/>
    <w:rsid w:val="00132155"/>
    <w:rsid w:val="001322C1"/>
    <w:rsid w:val="001324CC"/>
    <w:rsid w:val="00132568"/>
    <w:rsid w:val="0013284D"/>
    <w:rsid w:val="001329E5"/>
    <w:rsid w:val="00132A16"/>
    <w:rsid w:val="00132E2D"/>
    <w:rsid w:val="00132E92"/>
    <w:rsid w:val="00132EA4"/>
    <w:rsid w:val="0013332A"/>
    <w:rsid w:val="00133615"/>
    <w:rsid w:val="00133F24"/>
    <w:rsid w:val="0013401E"/>
    <w:rsid w:val="001341D8"/>
    <w:rsid w:val="00134243"/>
    <w:rsid w:val="001343E3"/>
    <w:rsid w:val="001344D5"/>
    <w:rsid w:val="00134AC3"/>
    <w:rsid w:val="00134B6C"/>
    <w:rsid w:val="00134EC8"/>
    <w:rsid w:val="0013513D"/>
    <w:rsid w:val="001351B1"/>
    <w:rsid w:val="001352A8"/>
    <w:rsid w:val="0013537C"/>
    <w:rsid w:val="0013550C"/>
    <w:rsid w:val="00135884"/>
    <w:rsid w:val="00135892"/>
    <w:rsid w:val="00135BDE"/>
    <w:rsid w:val="00135EB9"/>
    <w:rsid w:val="00135FF2"/>
    <w:rsid w:val="0013604C"/>
    <w:rsid w:val="001360C4"/>
    <w:rsid w:val="00136102"/>
    <w:rsid w:val="00136116"/>
    <w:rsid w:val="00136630"/>
    <w:rsid w:val="00136824"/>
    <w:rsid w:val="00136B44"/>
    <w:rsid w:val="00136F06"/>
    <w:rsid w:val="00137244"/>
    <w:rsid w:val="001374D9"/>
    <w:rsid w:val="001375B3"/>
    <w:rsid w:val="0013769A"/>
    <w:rsid w:val="00137830"/>
    <w:rsid w:val="00137D12"/>
    <w:rsid w:val="00137EEF"/>
    <w:rsid w:val="00137FA5"/>
    <w:rsid w:val="0014039B"/>
    <w:rsid w:val="001403A8"/>
    <w:rsid w:val="0014049A"/>
    <w:rsid w:val="0014055C"/>
    <w:rsid w:val="001406D5"/>
    <w:rsid w:val="00140A5B"/>
    <w:rsid w:val="00140C30"/>
    <w:rsid w:val="00141576"/>
    <w:rsid w:val="001415D2"/>
    <w:rsid w:val="001418A3"/>
    <w:rsid w:val="00141BC0"/>
    <w:rsid w:val="00141CD6"/>
    <w:rsid w:val="00142176"/>
    <w:rsid w:val="00142203"/>
    <w:rsid w:val="00142369"/>
    <w:rsid w:val="001425A2"/>
    <w:rsid w:val="001427C7"/>
    <w:rsid w:val="00142B7E"/>
    <w:rsid w:val="00142BAE"/>
    <w:rsid w:val="00142D21"/>
    <w:rsid w:val="00142F6F"/>
    <w:rsid w:val="001430FC"/>
    <w:rsid w:val="0014371E"/>
    <w:rsid w:val="00143925"/>
    <w:rsid w:val="00143C8F"/>
    <w:rsid w:val="00143F42"/>
    <w:rsid w:val="00144241"/>
    <w:rsid w:val="00144310"/>
    <w:rsid w:val="00144346"/>
    <w:rsid w:val="0014443B"/>
    <w:rsid w:val="001445FB"/>
    <w:rsid w:val="001451D3"/>
    <w:rsid w:val="001452AF"/>
    <w:rsid w:val="001455E4"/>
    <w:rsid w:val="00145727"/>
    <w:rsid w:val="00145754"/>
    <w:rsid w:val="0014583E"/>
    <w:rsid w:val="00145FE0"/>
    <w:rsid w:val="00146607"/>
    <w:rsid w:val="00146630"/>
    <w:rsid w:val="001467C2"/>
    <w:rsid w:val="00146910"/>
    <w:rsid w:val="00146B7D"/>
    <w:rsid w:val="00146D8D"/>
    <w:rsid w:val="00147068"/>
    <w:rsid w:val="0014732B"/>
    <w:rsid w:val="0014737F"/>
    <w:rsid w:val="00147942"/>
    <w:rsid w:val="00147982"/>
    <w:rsid w:val="00147CB8"/>
    <w:rsid w:val="00150756"/>
    <w:rsid w:val="001509F1"/>
    <w:rsid w:val="00150BCF"/>
    <w:rsid w:val="00150C33"/>
    <w:rsid w:val="00150ECF"/>
    <w:rsid w:val="00150EDF"/>
    <w:rsid w:val="00150F85"/>
    <w:rsid w:val="00151365"/>
    <w:rsid w:val="00151579"/>
    <w:rsid w:val="00151696"/>
    <w:rsid w:val="001526AF"/>
    <w:rsid w:val="00152891"/>
    <w:rsid w:val="00152AE1"/>
    <w:rsid w:val="001531C4"/>
    <w:rsid w:val="00153253"/>
    <w:rsid w:val="001534C7"/>
    <w:rsid w:val="00153791"/>
    <w:rsid w:val="001537C3"/>
    <w:rsid w:val="00153942"/>
    <w:rsid w:val="00153BF8"/>
    <w:rsid w:val="00153F4E"/>
    <w:rsid w:val="00153FC6"/>
    <w:rsid w:val="0015411E"/>
    <w:rsid w:val="00154303"/>
    <w:rsid w:val="001546CC"/>
    <w:rsid w:val="001549A6"/>
    <w:rsid w:val="00154B2B"/>
    <w:rsid w:val="00154B68"/>
    <w:rsid w:val="00154BA4"/>
    <w:rsid w:val="00154CF8"/>
    <w:rsid w:val="001551E2"/>
    <w:rsid w:val="001552F6"/>
    <w:rsid w:val="0015530F"/>
    <w:rsid w:val="00155390"/>
    <w:rsid w:val="00155432"/>
    <w:rsid w:val="0015544C"/>
    <w:rsid w:val="0015570A"/>
    <w:rsid w:val="00155957"/>
    <w:rsid w:val="00155B1C"/>
    <w:rsid w:val="00155BAB"/>
    <w:rsid w:val="00155FBE"/>
    <w:rsid w:val="00156399"/>
    <w:rsid w:val="00156863"/>
    <w:rsid w:val="00156E39"/>
    <w:rsid w:val="00157313"/>
    <w:rsid w:val="001576D9"/>
    <w:rsid w:val="00157744"/>
    <w:rsid w:val="00157AEB"/>
    <w:rsid w:val="00157B7C"/>
    <w:rsid w:val="00157B83"/>
    <w:rsid w:val="00157E9B"/>
    <w:rsid w:val="0016092E"/>
    <w:rsid w:val="00160A0A"/>
    <w:rsid w:val="00160B38"/>
    <w:rsid w:val="00160CAD"/>
    <w:rsid w:val="00160CEB"/>
    <w:rsid w:val="00160D1F"/>
    <w:rsid w:val="00160E94"/>
    <w:rsid w:val="0016149D"/>
    <w:rsid w:val="0016151C"/>
    <w:rsid w:val="0016160F"/>
    <w:rsid w:val="00161B66"/>
    <w:rsid w:val="00161C11"/>
    <w:rsid w:val="00161DBC"/>
    <w:rsid w:val="00162157"/>
    <w:rsid w:val="00162589"/>
    <w:rsid w:val="00162893"/>
    <w:rsid w:val="00162AA5"/>
    <w:rsid w:val="00162B41"/>
    <w:rsid w:val="00163554"/>
    <w:rsid w:val="00163962"/>
    <w:rsid w:val="00163C90"/>
    <w:rsid w:val="00164499"/>
    <w:rsid w:val="00164691"/>
    <w:rsid w:val="0016499D"/>
    <w:rsid w:val="00164BB5"/>
    <w:rsid w:val="00164CFE"/>
    <w:rsid w:val="00165049"/>
    <w:rsid w:val="001653CA"/>
    <w:rsid w:val="00165AC0"/>
    <w:rsid w:val="00165C00"/>
    <w:rsid w:val="00165C02"/>
    <w:rsid w:val="00165C4C"/>
    <w:rsid w:val="00165F2D"/>
    <w:rsid w:val="00165FC8"/>
    <w:rsid w:val="00166744"/>
    <w:rsid w:val="00167387"/>
    <w:rsid w:val="00167677"/>
    <w:rsid w:val="00170372"/>
    <w:rsid w:val="00170492"/>
    <w:rsid w:val="001704C2"/>
    <w:rsid w:val="00170608"/>
    <w:rsid w:val="001707AA"/>
    <w:rsid w:val="0017086C"/>
    <w:rsid w:val="00170981"/>
    <w:rsid w:val="00170DA1"/>
    <w:rsid w:val="00170ECD"/>
    <w:rsid w:val="00171010"/>
    <w:rsid w:val="0017129A"/>
    <w:rsid w:val="001713DD"/>
    <w:rsid w:val="00171654"/>
    <w:rsid w:val="00171D5D"/>
    <w:rsid w:val="00172054"/>
    <w:rsid w:val="001724A6"/>
    <w:rsid w:val="00172617"/>
    <w:rsid w:val="00172639"/>
    <w:rsid w:val="0017348F"/>
    <w:rsid w:val="0017350C"/>
    <w:rsid w:val="0017360B"/>
    <w:rsid w:val="001737B8"/>
    <w:rsid w:val="00173A2C"/>
    <w:rsid w:val="001741E9"/>
    <w:rsid w:val="00174665"/>
    <w:rsid w:val="001746CD"/>
    <w:rsid w:val="00174EA8"/>
    <w:rsid w:val="00174F52"/>
    <w:rsid w:val="0017558E"/>
    <w:rsid w:val="0017559E"/>
    <w:rsid w:val="001756CD"/>
    <w:rsid w:val="00175AAA"/>
    <w:rsid w:val="001760A6"/>
    <w:rsid w:val="0017620A"/>
    <w:rsid w:val="00176375"/>
    <w:rsid w:val="001764CC"/>
    <w:rsid w:val="001769E9"/>
    <w:rsid w:val="00176A50"/>
    <w:rsid w:val="001771DF"/>
    <w:rsid w:val="001771F6"/>
    <w:rsid w:val="00177A7B"/>
    <w:rsid w:val="00180234"/>
    <w:rsid w:val="001806AD"/>
    <w:rsid w:val="0018076D"/>
    <w:rsid w:val="00180FB5"/>
    <w:rsid w:val="00181034"/>
    <w:rsid w:val="001819C4"/>
    <w:rsid w:val="00181CE3"/>
    <w:rsid w:val="00182055"/>
    <w:rsid w:val="001820C2"/>
    <w:rsid w:val="001825B0"/>
    <w:rsid w:val="0018290B"/>
    <w:rsid w:val="0018298E"/>
    <w:rsid w:val="00182AD9"/>
    <w:rsid w:val="00182C57"/>
    <w:rsid w:val="00182D09"/>
    <w:rsid w:val="00182F53"/>
    <w:rsid w:val="00182F91"/>
    <w:rsid w:val="001832DF"/>
    <w:rsid w:val="00183513"/>
    <w:rsid w:val="00183628"/>
    <w:rsid w:val="00183633"/>
    <w:rsid w:val="0018387C"/>
    <w:rsid w:val="00183B26"/>
    <w:rsid w:val="00183D13"/>
    <w:rsid w:val="00183EE3"/>
    <w:rsid w:val="0018406A"/>
    <w:rsid w:val="00184203"/>
    <w:rsid w:val="0018435E"/>
    <w:rsid w:val="001849C4"/>
    <w:rsid w:val="0018558A"/>
    <w:rsid w:val="00185C37"/>
    <w:rsid w:val="00185DEF"/>
    <w:rsid w:val="00186789"/>
    <w:rsid w:val="001868F3"/>
    <w:rsid w:val="00186AAE"/>
    <w:rsid w:val="00186E48"/>
    <w:rsid w:val="00187641"/>
    <w:rsid w:val="001876B3"/>
    <w:rsid w:val="00187783"/>
    <w:rsid w:val="001877C9"/>
    <w:rsid w:val="0018792A"/>
    <w:rsid w:val="00187A4C"/>
    <w:rsid w:val="00187C6C"/>
    <w:rsid w:val="00187D3E"/>
    <w:rsid w:val="001900F2"/>
    <w:rsid w:val="00190435"/>
    <w:rsid w:val="001906A3"/>
    <w:rsid w:val="00190D8C"/>
    <w:rsid w:val="00190DBE"/>
    <w:rsid w:val="00191063"/>
    <w:rsid w:val="00191154"/>
    <w:rsid w:val="00191324"/>
    <w:rsid w:val="001915D2"/>
    <w:rsid w:val="001918BD"/>
    <w:rsid w:val="0019198F"/>
    <w:rsid w:val="001919F2"/>
    <w:rsid w:val="00191A4B"/>
    <w:rsid w:val="00191C73"/>
    <w:rsid w:val="0019283A"/>
    <w:rsid w:val="00192AB1"/>
    <w:rsid w:val="001930DB"/>
    <w:rsid w:val="00193609"/>
    <w:rsid w:val="0019384E"/>
    <w:rsid w:val="001938D4"/>
    <w:rsid w:val="00193B11"/>
    <w:rsid w:val="001940F9"/>
    <w:rsid w:val="001946F8"/>
    <w:rsid w:val="001947C0"/>
    <w:rsid w:val="00194AE0"/>
    <w:rsid w:val="0019526D"/>
    <w:rsid w:val="0019555D"/>
    <w:rsid w:val="00195765"/>
    <w:rsid w:val="00195B94"/>
    <w:rsid w:val="00195BDF"/>
    <w:rsid w:val="00195C75"/>
    <w:rsid w:val="00195CE2"/>
    <w:rsid w:val="00195E13"/>
    <w:rsid w:val="00196008"/>
    <w:rsid w:val="00196123"/>
    <w:rsid w:val="0019648C"/>
    <w:rsid w:val="00196511"/>
    <w:rsid w:val="001966BD"/>
    <w:rsid w:val="00196A4A"/>
    <w:rsid w:val="00196C3C"/>
    <w:rsid w:val="00196D6D"/>
    <w:rsid w:val="00196E6D"/>
    <w:rsid w:val="00196F3F"/>
    <w:rsid w:val="00197213"/>
    <w:rsid w:val="00197DD9"/>
    <w:rsid w:val="001A004A"/>
    <w:rsid w:val="001A020F"/>
    <w:rsid w:val="001A02E1"/>
    <w:rsid w:val="001A0755"/>
    <w:rsid w:val="001A081B"/>
    <w:rsid w:val="001A0DA3"/>
    <w:rsid w:val="001A10FD"/>
    <w:rsid w:val="001A1165"/>
    <w:rsid w:val="001A14AA"/>
    <w:rsid w:val="001A15CF"/>
    <w:rsid w:val="001A1959"/>
    <w:rsid w:val="001A1AAD"/>
    <w:rsid w:val="001A215E"/>
    <w:rsid w:val="001A2255"/>
    <w:rsid w:val="001A2954"/>
    <w:rsid w:val="001A2D94"/>
    <w:rsid w:val="001A2E45"/>
    <w:rsid w:val="001A2E6B"/>
    <w:rsid w:val="001A2F8F"/>
    <w:rsid w:val="001A3170"/>
    <w:rsid w:val="001A32DF"/>
    <w:rsid w:val="001A33FA"/>
    <w:rsid w:val="001A3ACC"/>
    <w:rsid w:val="001A3C25"/>
    <w:rsid w:val="001A3FF8"/>
    <w:rsid w:val="001A4160"/>
    <w:rsid w:val="001A419E"/>
    <w:rsid w:val="001A41F0"/>
    <w:rsid w:val="001A455E"/>
    <w:rsid w:val="001A4610"/>
    <w:rsid w:val="001A4A1B"/>
    <w:rsid w:val="001A4B9D"/>
    <w:rsid w:val="001A4E0C"/>
    <w:rsid w:val="001A4EF9"/>
    <w:rsid w:val="001A4F7D"/>
    <w:rsid w:val="001A5409"/>
    <w:rsid w:val="001A56D4"/>
    <w:rsid w:val="001A5AA1"/>
    <w:rsid w:val="001A5B04"/>
    <w:rsid w:val="001A5D6F"/>
    <w:rsid w:val="001A5D83"/>
    <w:rsid w:val="001A607F"/>
    <w:rsid w:val="001A6816"/>
    <w:rsid w:val="001A696C"/>
    <w:rsid w:val="001A6BE5"/>
    <w:rsid w:val="001A6C9D"/>
    <w:rsid w:val="001A6F41"/>
    <w:rsid w:val="001A730E"/>
    <w:rsid w:val="001A766D"/>
    <w:rsid w:val="001A7949"/>
    <w:rsid w:val="001B01A5"/>
    <w:rsid w:val="001B03F3"/>
    <w:rsid w:val="001B04C7"/>
    <w:rsid w:val="001B0784"/>
    <w:rsid w:val="001B0A1E"/>
    <w:rsid w:val="001B0C73"/>
    <w:rsid w:val="001B0DC7"/>
    <w:rsid w:val="001B126E"/>
    <w:rsid w:val="001B135A"/>
    <w:rsid w:val="001B17E6"/>
    <w:rsid w:val="001B18A5"/>
    <w:rsid w:val="001B242F"/>
    <w:rsid w:val="001B2922"/>
    <w:rsid w:val="001B2D57"/>
    <w:rsid w:val="001B2FD6"/>
    <w:rsid w:val="001B30DC"/>
    <w:rsid w:val="001B3221"/>
    <w:rsid w:val="001B32FF"/>
    <w:rsid w:val="001B34D8"/>
    <w:rsid w:val="001B3FD5"/>
    <w:rsid w:val="001B424F"/>
    <w:rsid w:val="001B42AA"/>
    <w:rsid w:val="001B4935"/>
    <w:rsid w:val="001B49EA"/>
    <w:rsid w:val="001B4A46"/>
    <w:rsid w:val="001B4B69"/>
    <w:rsid w:val="001B4C30"/>
    <w:rsid w:val="001B4CA0"/>
    <w:rsid w:val="001B5136"/>
    <w:rsid w:val="001B5199"/>
    <w:rsid w:val="001B52F4"/>
    <w:rsid w:val="001B54AA"/>
    <w:rsid w:val="001B55BB"/>
    <w:rsid w:val="001B59FA"/>
    <w:rsid w:val="001B5A74"/>
    <w:rsid w:val="001B5DFD"/>
    <w:rsid w:val="001B6083"/>
    <w:rsid w:val="001B60D9"/>
    <w:rsid w:val="001B65B6"/>
    <w:rsid w:val="001B66D9"/>
    <w:rsid w:val="001B673B"/>
    <w:rsid w:val="001B67BD"/>
    <w:rsid w:val="001B6907"/>
    <w:rsid w:val="001B7155"/>
    <w:rsid w:val="001B7442"/>
    <w:rsid w:val="001B7EBE"/>
    <w:rsid w:val="001B7ECF"/>
    <w:rsid w:val="001B7F2F"/>
    <w:rsid w:val="001C05B6"/>
    <w:rsid w:val="001C088C"/>
    <w:rsid w:val="001C0A44"/>
    <w:rsid w:val="001C0B36"/>
    <w:rsid w:val="001C0DB8"/>
    <w:rsid w:val="001C0F55"/>
    <w:rsid w:val="001C1474"/>
    <w:rsid w:val="001C1C46"/>
    <w:rsid w:val="001C1CF5"/>
    <w:rsid w:val="001C1EF6"/>
    <w:rsid w:val="001C2102"/>
    <w:rsid w:val="001C21E6"/>
    <w:rsid w:val="001C27DB"/>
    <w:rsid w:val="001C2973"/>
    <w:rsid w:val="001C29DC"/>
    <w:rsid w:val="001C31A9"/>
    <w:rsid w:val="001C3476"/>
    <w:rsid w:val="001C3500"/>
    <w:rsid w:val="001C38FB"/>
    <w:rsid w:val="001C3D58"/>
    <w:rsid w:val="001C3EB5"/>
    <w:rsid w:val="001C4469"/>
    <w:rsid w:val="001C46F1"/>
    <w:rsid w:val="001C4726"/>
    <w:rsid w:val="001C48F1"/>
    <w:rsid w:val="001C5520"/>
    <w:rsid w:val="001C594C"/>
    <w:rsid w:val="001C5CAA"/>
    <w:rsid w:val="001C5D03"/>
    <w:rsid w:val="001C5E1D"/>
    <w:rsid w:val="001C5EF8"/>
    <w:rsid w:val="001C6113"/>
    <w:rsid w:val="001C6586"/>
    <w:rsid w:val="001C659C"/>
    <w:rsid w:val="001C6876"/>
    <w:rsid w:val="001C6CD6"/>
    <w:rsid w:val="001C6EA1"/>
    <w:rsid w:val="001C6F41"/>
    <w:rsid w:val="001C71B7"/>
    <w:rsid w:val="001C71C5"/>
    <w:rsid w:val="001C7700"/>
    <w:rsid w:val="001C77A0"/>
    <w:rsid w:val="001C7839"/>
    <w:rsid w:val="001C7EEA"/>
    <w:rsid w:val="001D028C"/>
    <w:rsid w:val="001D0297"/>
    <w:rsid w:val="001D04EF"/>
    <w:rsid w:val="001D071D"/>
    <w:rsid w:val="001D0DFB"/>
    <w:rsid w:val="001D0EF0"/>
    <w:rsid w:val="001D1028"/>
    <w:rsid w:val="001D1205"/>
    <w:rsid w:val="001D1B71"/>
    <w:rsid w:val="001D1E6D"/>
    <w:rsid w:val="001D22C7"/>
    <w:rsid w:val="001D2EFB"/>
    <w:rsid w:val="001D307C"/>
    <w:rsid w:val="001D33AA"/>
    <w:rsid w:val="001D36F8"/>
    <w:rsid w:val="001D3A37"/>
    <w:rsid w:val="001D3B66"/>
    <w:rsid w:val="001D3BF4"/>
    <w:rsid w:val="001D3F91"/>
    <w:rsid w:val="001D40E4"/>
    <w:rsid w:val="001D43B6"/>
    <w:rsid w:val="001D4845"/>
    <w:rsid w:val="001D4D46"/>
    <w:rsid w:val="001D592D"/>
    <w:rsid w:val="001D59B7"/>
    <w:rsid w:val="001D5A36"/>
    <w:rsid w:val="001D5C2E"/>
    <w:rsid w:val="001D608E"/>
    <w:rsid w:val="001D61D1"/>
    <w:rsid w:val="001D686F"/>
    <w:rsid w:val="001D68D3"/>
    <w:rsid w:val="001D6CA0"/>
    <w:rsid w:val="001D6F6B"/>
    <w:rsid w:val="001D761B"/>
    <w:rsid w:val="001D7927"/>
    <w:rsid w:val="001D7EAA"/>
    <w:rsid w:val="001D7FCE"/>
    <w:rsid w:val="001E02F3"/>
    <w:rsid w:val="001E064B"/>
    <w:rsid w:val="001E067E"/>
    <w:rsid w:val="001E07C8"/>
    <w:rsid w:val="001E0B4E"/>
    <w:rsid w:val="001E1B46"/>
    <w:rsid w:val="001E1C50"/>
    <w:rsid w:val="001E1C90"/>
    <w:rsid w:val="001E1CAD"/>
    <w:rsid w:val="001E1CC0"/>
    <w:rsid w:val="001E231D"/>
    <w:rsid w:val="001E2646"/>
    <w:rsid w:val="001E265F"/>
    <w:rsid w:val="001E2B7A"/>
    <w:rsid w:val="001E2D60"/>
    <w:rsid w:val="001E2F43"/>
    <w:rsid w:val="001E30A1"/>
    <w:rsid w:val="001E30F6"/>
    <w:rsid w:val="001E3256"/>
    <w:rsid w:val="001E38C0"/>
    <w:rsid w:val="001E3B6F"/>
    <w:rsid w:val="001E3BAF"/>
    <w:rsid w:val="001E3DF9"/>
    <w:rsid w:val="001E3E99"/>
    <w:rsid w:val="001E4544"/>
    <w:rsid w:val="001E471C"/>
    <w:rsid w:val="001E4AC8"/>
    <w:rsid w:val="001E572E"/>
    <w:rsid w:val="001E57B0"/>
    <w:rsid w:val="001E59F8"/>
    <w:rsid w:val="001E61CE"/>
    <w:rsid w:val="001E62DF"/>
    <w:rsid w:val="001E6938"/>
    <w:rsid w:val="001E6C7B"/>
    <w:rsid w:val="001E71D1"/>
    <w:rsid w:val="001E7364"/>
    <w:rsid w:val="001E7518"/>
    <w:rsid w:val="001E754F"/>
    <w:rsid w:val="001E75A8"/>
    <w:rsid w:val="001E76AA"/>
    <w:rsid w:val="001E7866"/>
    <w:rsid w:val="001E7FA5"/>
    <w:rsid w:val="001E7FD5"/>
    <w:rsid w:val="001F008A"/>
    <w:rsid w:val="001F01B9"/>
    <w:rsid w:val="001F0386"/>
    <w:rsid w:val="001F03A1"/>
    <w:rsid w:val="001F0426"/>
    <w:rsid w:val="001F0522"/>
    <w:rsid w:val="001F09EC"/>
    <w:rsid w:val="001F1021"/>
    <w:rsid w:val="001F11F9"/>
    <w:rsid w:val="001F1492"/>
    <w:rsid w:val="001F149D"/>
    <w:rsid w:val="001F1B43"/>
    <w:rsid w:val="001F2024"/>
    <w:rsid w:val="001F230A"/>
    <w:rsid w:val="001F2380"/>
    <w:rsid w:val="001F255E"/>
    <w:rsid w:val="001F2767"/>
    <w:rsid w:val="001F298C"/>
    <w:rsid w:val="001F2AB5"/>
    <w:rsid w:val="001F2BF9"/>
    <w:rsid w:val="001F2C88"/>
    <w:rsid w:val="001F2F30"/>
    <w:rsid w:val="001F2F9B"/>
    <w:rsid w:val="001F3000"/>
    <w:rsid w:val="001F32CB"/>
    <w:rsid w:val="001F37EE"/>
    <w:rsid w:val="001F3B3A"/>
    <w:rsid w:val="001F3B59"/>
    <w:rsid w:val="001F4378"/>
    <w:rsid w:val="001F44E9"/>
    <w:rsid w:val="001F4D70"/>
    <w:rsid w:val="001F4E36"/>
    <w:rsid w:val="001F50CF"/>
    <w:rsid w:val="001F5578"/>
    <w:rsid w:val="001F5A43"/>
    <w:rsid w:val="001F5C23"/>
    <w:rsid w:val="001F6421"/>
    <w:rsid w:val="001F66E9"/>
    <w:rsid w:val="001F6DB6"/>
    <w:rsid w:val="001F7201"/>
    <w:rsid w:val="001F749F"/>
    <w:rsid w:val="001F77FD"/>
    <w:rsid w:val="001F7A87"/>
    <w:rsid w:val="001F7B92"/>
    <w:rsid w:val="001F7D04"/>
    <w:rsid w:val="001F7E9C"/>
    <w:rsid w:val="002001B3"/>
    <w:rsid w:val="00200691"/>
    <w:rsid w:val="00200951"/>
    <w:rsid w:val="00200CF0"/>
    <w:rsid w:val="00200DB3"/>
    <w:rsid w:val="00200EC1"/>
    <w:rsid w:val="00200F9D"/>
    <w:rsid w:val="00201007"/>
    <w:rsid w:val="00201151"/>
    <w:rsid w:val="002013C4"/>
    <w:rsid w:val="00201D91"/>
    <w:rsid w:val="002020B0"/>
    <w:rsid w:val="002021D4"/>
    <w:rsid w:val="00202270"/>
    <w:rsid w:val="002023CE"/>
    <w:rsid w:val="00202432"/>
    <w:rsid w:val="002028A8"/>
    <w:rsid w:val="0020290A"/>
    <w:rsid w:val="00202BBE"/>
    <w:rsid w:val="00203A83"/>
    <w:rsid w:val="00203D10"/>
    <w:rsid w:val="00203E6F"/>
    <w:rsid w:val="0020440E"/>
    <w:rsid w:val="00204572"/>
    <w:rsid w:val="0020465F"/>
    <w:rsid w:val="002046A4"/>
    <w:rsid w:val="00204D10"/>
    <w:rsid w:val="00204E4A"/>
    <w:rsid w:val="00204F64"/>
    <w:rsid w:val="00205174"/>
    <w:rsid w:val="00205519"/>
    <w:rsid w:val="0020594A"/>
    <w:rsid w:val="00205B4C"/>
    <w:rsid w:val="00206232"/>
    <w:rsid w:val="0020625A"/>
    <w:rsid w:val="00206535"/>
    <w:rsid w:val="002066DD"/>
    <w:rsid w:val="002066E0"/>
    <w:rsid w:val="00206818"/>
    <w:rsid w:val="0020682D"/>
    <w:rsid w:val="00206865"/>
    <w:rsid w:val="00206A2F"/>
    <w:rsid w:val="00206B08"/>
    <w:rsid w:val="00206DA9"/>
    <w:rsid w:val="00207983"/>
    <w:rsid w:val="0020799D"/>
    <w:rsid w:val="00207AA6"/>
    <w:rsid w:val="00207B5E"/>
    <w:rsid w:val="00210CC7"/>
    <w:rsid w:val="00211215"/>
    <w:rsid w:val="00211623"/>
    <w:rsid w:val="002117F3"/>
    <w:rsid w:val="002118B5"/>
    <w:rsid w:val="00211A6F"/>
    <w:rsid w:val="00211B76"/>
    <w:rsid w:val="00211C5E"/>
    <w:rsid w:val="00211C6E"/>
    <w:rsid w:val="00211F7E"/>
    <w:rsid w:val="002123DC"/>
    <w:rsid w:val="0021257A"/>
    <w:rsid w:val="0021258A"/>
    <w:rsid w:val="002125E2"/>
    <w:rsid w:val="0021277F"/>
    <w:rsid w:val="0021296E"/>
    <w:rsid w:val="002129CB"/>
    <w:rsid w:val="00212AD9"/>
    <w:rsid w:val="00212E94"/>
    <w:rsid w:val="00212FFA"/>
    <w:rsid w:val="00213047"/>
    <w:rsid w:val="002130D9"/>
    <w:rsid w:val="00213152"/>
    <w:rsid w:val="00213520"/>
    <w:rsid w:val="00213565"/>
    <w:rsid w:val="00213D81"/>
    <w:rsid w:val="0021419F"/>
    <w:rsid w:val="002142D2"/>
    <w:rsid w:val="00214563"/>
    <w:rsid w:val="0021467F"/>
    <w:rsid w:val="00214683"/>
    <w:rsid w:val="00214780"/>
    <w:rsid w:val="0021488F"/>
    <w:rsid w:val="00214ABA"/>
    <w:rsid w:val="00214B31"/>
    <w:rsid w:val="00215185"/>
    <w:rsid w:val="0021527D"/>
    <w:rsid w:val="002154C9"/>
    <w:rsid w:val="00215551"/>
    <w:rsid w:val="0021562F"/>
    <w:rsid w:val="00215D6D"/>
    <w:rsid w:val="00216085"/>
    <w:rsid w:val="002162C1"/>
    <w:rsid w:val="00216321"/>
    <w:rsid w:val="00216563"/>
    <w:rsid w:val="00216670"/>
    <w:rsid w:val="00216A4F"/>
    <w:rsid w:val="00216AEA"/>
    <w:rsid w:val="00216C3F"/>
    <w:rsid w:val="00216CB1"/>
    <w:rsid w:val="00216D0F"/>
    <w:rsid w:val="00216EAB"/>
    <w:rsid w:val="002178AC"/>
    <w:rsid w:val="00217D2F"/>
    <w:rsid w:val="00217F45"/>
    <w:rsid w:val="0022011D"/>
    <w:rsid w:val="0022021F"/>
    <w:rsid w:val="0022027B"/>
    <w:rsid w:val="00220430"/>
    <w:rsid w:val="002205F2"/>
    <w:rsid w:val="00220CDB"/>
    <w:rsid w:val="00220D94"/>
    <w:rsid w:val="0022104A"/>
    <w:rsid w:val="00221921"/>
    <w:rsid w:val="00221AAF"/>
    <w:rsid w:val="00221C61"/>
    <w:rsid w:val="00221FA8"/>
    <w:rsid w:val="0022217D"/>
    <w:rsid w:val="00222401"/>
    <w:rsid w:val="002226A6"/>
    <w:rsid w:val="002227D7"/>
    <w:rsid w:val="00222BAF"/>
    <w:rsid w:val="002230A1"/>
    <w:rsid w:val="0022315A"/>
    <w:rsid w:val="0022369D"/>
    <w:rsid w:val="00223ABE"/>
    <w:rsid w:val="00223CAB"/>
    <w:rsid w:val="00223F91"/>
    <w:rsid w:val="00223FF1"/>
    <w:rsid w:val="0022409F"/>
    <w:rsid w:val="0022434E"/>
    <w:rsid w:val="00224364"/>
    <w:rsid w:val="00224B4D"/>
    <w:rsid w:val="00224D42"/>
    <w:rsid w:val="00224DE4"/>
    <w:rsid w:val="00225306"/>
    <w:rsid w:val="002255D3"/>
    <w:rsid w:val="00225DFC"/>
    <w:rsid w:val="002261FE"/>
    <w:rsid w:val="002264A9"/>
    <w:rsid w:val="002266D9"/>
    <w:rsid w:val="002269F3"/>
    <w:rsid w:val="00226BA8"/>
    <w:rsid w:val="00226D6B"/>
    <w:rsid w:val="00226E0E"/>
    <w:rsid w:val="00227419"/>
    <w:rsid w:val="0022766D"/>
    <w:rsid w:val="00227725"/>
    <w:rsid w:val="0022774B"/>
    <w:rsid w:val="002279B6"/>
    <w:rsid w:val="00227BCF"/>
    <w:rsid w:val="00227C87"/>
    <w:rsid w:val="00227CC0"/>
    <w:rsid w:val="00227F4E"/>
    <w:rsid w:val="0023023D"/>
    <w:rsid w:val="0023027A"/>
    <w:rsid w:val="002302F0"/>
    <w:rsid w:val="0023030B"/>
    <w:rsid w:val="002306F9"/>
    <w:rsid w:val="002307A9"/>
    <w:rsid w:val="00230D2A"/>
    <w:rsid w:val="00230E85"/>
    <w:rsid w:val="0023159C"/>
    <w:rsid w:val="00231687"/>
    <w:rsid w:val="00231D86"/>
    <w:rsid w:val="00231E29"/>
    <w:rsid w:val="002324BB"/>
    <w:rsid w:val="00232506"/>
    <w:rsid w:val="00232511"/>
    <w:rsid w:val="00232576"/>
    <w:rsid w:val="0023272A"/>
    <w:rsid w:val="00232A6C"/>
    <w:rsid w:val="00232BF1"/>
    <w:rsid w:val="00233120"/>
    <w:rsid w:val="0023319F"/>
    <w:rsid w:val="00233250"/>
    <w:rsid w:val="002333E8"/>
    <w:rsid w:val="0023385C"/>
    <w:rsid w:val="00233961"/>
    <w:rsid w:val="0023430C"/>
    <w:rsid w:val="002345A7"/>
    <w:rsid w:val="00234819"/>
    <w:rsid w:val="0023481B"/>
    <w:rsid w:val="00234A56"/>
    <w:rsid w:val="00234B55"/>
    <w:rsid w:val="00234F9D"/>
    <w:rsid w:val="00235087"/>
    <w:rsid w:val="002352DF"/>
    <w:rsid w:val="00235BD1"/>
    <w:rsid w:val="00235D4F"/>
    <w:rsid w:val="00235E1B"/>
    <w:rsid w:val="00236107"/>
    <w:rsid w:val="00236117"/>
    <w:rsid w:val="002363FE"/>
    <w:rsid w:val="002368C2"/>
    <w:rsid w:val="00236FB0"/>
    <w:rsid w:val="00237300"/>
    <w:rsid w:val="0023743E"/>
    <w:rsid w:val="002401F8"/>
    <w:rsid w:val="00240211"/>
    <w:rsid w:val="0024025F"/>
    <w:rsid w:val="0024028B"/>
    <w:rsid w:val="002403CE"/>
    <w:rsid w:val="00240561"/>
    <w:rsid w:val="002405AC"/>
    <w:rsid w:val="00240CC5"/>
    <w:rsid w:val="00240FA7"/>
    <w:rsid w:val="002412EF"/>
    <w:rsid w:val="002416BA"/>
    <w:rsid w:val="002418D4"/>
    <w:rsid w:val="00241D2D"/>
    <w:rsid w:val="0024217A"/>
    <w:rsid w:val="00242329"/>
    <w:rsid w:val="00242B58"/>
    <w:rsid w:val="00242E07"/>
    <w:rsid w:val="00242E3E"/>
    <w:rsid w:val="00243145"/>
    <w:rsid w:val="002432E0"/>
    <w:rsid w:val="00243593"/>
    <w:rsid w:val="00243B57"/>
    <w:rsid w:val="00243CA4"/>
    <w:rsid w:val="00243CCE"/>
    <w:rsid w:val="00243F5E"/>
    <w:rsid w:val="00243FF4"/>
    <w:rsid w:val="00244449"/>
    <w:rsid w:val="002446CF"/>
    <w:rsid w:val="00244D29"/>
    <w:rsid w:val="00244F1D"/>
    <w:rsid w:val="00244FA1"/>
    <w:rsid w:val="002454C1"/>
    <w:rsid w:val="0024593C"/>
    <w:rsid w:val="00245C86"/>
    <w:rsid w:val="00245CEE"/>
    <w:rsid w:val="00245D84"/>
    <w:rsid w:val="002460E0"/>
    <w:rsid w:val="002465BF"/>
    <w:rsid w:val="002465C4"/>
    <w:rsid w:val="00246730"/>
    <w:rsid w:val="002469F7"/>
    <w:rsid w:val="00246A3A"/>
    <w:rsid w:val="00246A50"/>
    <w:rsid w:val="00246D97"/>
    <w:rsid w:val="00246F44"/>
    <w:rsid w:val="00246FC0"/>
    <w:rsid w:val="00247200"/>
    <w:rsid w:val="002472E9"/>
    <w:rsid w:val="002472F6"/>
    <w:rsid w:val="00247320"/>
    <w:rsid w:val="00247330"/>
    <w:rsid w:val="002474C8"/>
    <w:rsid w:val="00247A7A"/>
    <w:rsid w:val="00247BE2"/>
    <w:rsid w:val="002508BF"/>
    <w:rsid w:val="00250C81"/>
    <w:rsid w:val="002511A3"/>
    <w:rsid w:val="002513DC"/>
    <w:rsid w:val="002514DD"/>
    <w:rsid w:val="002516A1"/>
    <w:rsid w:val="002516EA"/>
    <w:rsid w:val="002519EA"/>
    <w:rsid w:val="00251ABA"/>
    <w:rsid w:val="00251B5F"/>
    <w:rsid w:val="00251D61"/>
    <w:rsid w:val="002521FD"/>
    <w:rsid w:val="00252835"/>
    <w:rsid w:val="002532BF"/>
    <w:rsid w:val="002532D8"/>
    <w:rsid w:val="0025334E"/>
    <w:rsid w:val="002535A9"/>
    <w:rsid w:val="002536E7"/>
    <w:rsid w:val="00253859"/>
    <w:rsid w:val="002538FB"/>
    <w:rsid w:val="0025471F"/>
    <w:rsid w:val="00254899"/>
    <w:rsid w:val="00254D10"/>
    <w:rsid w:val="0025504D"/>
    <w:rsid w:val="0025514A"/>
    <w:rsid w:val="002552A1"/>
    <w:rsid w:val="002556F4"/>
    <w:rsid w:val="00255F53"/>
    <w:rsid w:val="0025628B"/>
    <w:rsid w:val="002568D3"/>
    <w:rsid w:val="00256D54"/>
    <w:rsid w:val="00256FBD"/>
    <w:rsid w:val="0025709E"/>
    <w:rsid w:val="0025784C"/>
    <w:rsid w:val="00257A96"/>
    <w:rsid w:val="00257C30"/>
    <w:rsid w:val="00260283"/>
    <w:rsid w:val="00260339"/>
    <w:rsid w:val="00260635"/>
    <w:rsid w:val="002606B4"/>
    <w:rsid w:val="00260A75"/>
    <w:rsid w:val="00260CB7"/>
    <w:rsid w:val="00260FBA"/>
    <w:rsid w:val="002612E4"/>
    <w:rsid w:val="0026152D"/>
    <w:rsid w:val="00261DE9"/>
    <w:rsid w:val="002625DE"/>
    <w:rsid w:val="002629EA"/>
    <w:rsid w:val="00262D47"/>
    <w:rsid w:val="0026307B"/>
    <w:rsid w:val="002636F1"/>
    <w:rsid w:val="00263FFE"/>
    <w:rsid w:val="002640FE"/>
    <w:rsid w:val="002650EE"/>
    <w:rsid w:val="002659A4"/>
    <w:rsid w:val="00265B72"/>
    <w:rsid w:val="002660EE"/>
    <w:rsid w:val="00266331"/>
    <w:rsid w:val="00266AAB"/>
    <w:rsid w:val="00266CD3"/>
    <w:rsid w:val="002677D7"/>
    <w:rsid w:val="002678A4"/>
    <w:rsid w:val="00267C3C"/>
    <w:rsid w:val="00267FAE"/>
    <w:rsid w:val="00270104"/>
    <w:rsid w:val="00270161"/>
    <w:rsid w:val="002705EC"/>
    <w:rsid w:val="00271180"/>
    <w:rsid w:val="00271348"/>
    <w:rsid w:val="00271630"/>
    <w:rsid w:val="0027167C"/>
    <w:rsid w:val="00271965"/>
    <w:rsid w:val="00271B7A"/>
    <w:rsid w:val="00271F1C"/>
    <w:rsid w:val="00272400"/>
    <w:rsid w:val="00272641"/>
    <w:rsid w:val="00272671"/>
    <w:rsid w:val="00272C6C"/>
    <w:rsid w:val="00272F7B"/>
    <w:rsid w:val="00273041"/>
    <w:rsid w:val="00273128"/>
    <w:rsid w:val="00273245"/>
    <w:rsid w:val="002732DE"/>
    <w:rsid w:val="002732E3"/>
    <w:rsid w:val="0027350B"/>
    <w:rsid w:val="00273A24"/>
    <w:rsid w:val="00273A76"/>
    <w:rsid w:val="00273C4D"/>
    <w:rsid w:val="0027416E"/>
    <w:rsid w:val="00274335"/>
    <w:rsid w:val="002743D0"/>
    <w:rsid w:val="002750AD"/>
    <w:rsid w:val="00275342"/>
    <w:rsid w:val="00275414"/>
    <w:rsid w:val="00275B8A"/>
    <w:rsid w:val="00275DF7"/>
    <w:rsid w:val="00275E01"/>
    <w:rsid w:val="002761EE"/>
    <w:rsid w:val="002762E3"/>
    <w:rsid w:val="0027644C"/>
    <w:rsid w:val="002766D9"/>
    <w:rsid w:val="002768D0"/>
    <w:rsid w:val="00276B52"/>
    <w:rsid w:val="00276D4A"/>
    <w:rsid w:val="00276DD0"/>
    <w:rsid w:val="0027728A"/>
    <w:rsid w:val="00277AF8"/>
    <w:rsid w:val="00277C84"/>
    <w:rsid w:val="00277D41"/>
    <w:rsid w:val="00277D6E"/>
    <w:rsid w:val="00277D7D"/>
    <w:rsid w:val="00277D97"/>
    <w:rsid w:val="00277F29"/>
    <w:rsid w:val="00280008"/>
    <w:rsid w:val="002805C9"/>
    <w:rsid w:val="0028105C"/>
    <w:rsid w:val="0028107A"/>
    <w:rsid w:val="002811ED"/>
    <w:rsid w:val="00281564"/>
    <w:rsid w:val="002816E3"/>
    <w:rsid w:val="00281F82"/>
    <w:rsid w:val="002824C3"/>
    <w:rsid w:val="00282614"/>
    <w:rsid w:val="002826A7"/>
    <w:rsid w:val="002826A9"/>
    <w:rsid w:val="00282960"/>
    <w:rsid w:val="00282D3E"/>
    <w:rsid w:val="00282DED"/>
    <w:rsid w:val="00283045"/>
    <w:rsid w:val="002830EF"/>
    <w:rsid w:val="002831C5"/>
    <w:rsid w:val="00283285"/>
    <w:rsid w:val="00283369"/>
    <w:rsid w:val="00283AB8"/>
    <w:rsid w:val="00283D0A"/>
    <w:rsid w:val="002840B8"/>
    <w:rsid w:val="002843A3"/>
    <w:rsid w:val="002843B1"/>
    <w:rsid w:val="0028441E"/>
    <w:rsid w:val="002845CA"/>
    <w:rsid w:val="00284D3A"/>
    <w:rsid w:val="00284FD6"/>
    <w:rsid w:val="002850F0"/>
    <w:rsid w:val="0028563B"/>
    <w:rsid w:val="00285714"/>
    <w:rsid w:val="00285858"/>
    <w:rsid w:val="002858EA"/>
    <w:rsid w:val="00285A01"/>
    <w:rsid w:val="00285A84"/>
    <w:rsid w:val="00285CB9"/>
    <w:rsid w:val="0028604E"/>
    <w:rsid w:val="002861A1"/>
    <w:rsid w:val="00286849"/>
    <w:rsid w:val="00286853"/>
    <w:rsid w:val="002869AC"/>
    <w:rsid w:val="00286B43"/>
    <w:rsid w:val="00287093"/>
    <w:rsid w:val="002871AF"/>
    <w:rsid w:val="00287792"/>
    <w:rsid w:val="002878BA"/>
    <w:rsid w:val="00287943"/>
    <w:rsid w:val="0029016D"/>
    <w:rsid w:val="0029022A"/>
    <w:rsid w:val="002909E4"/>
    <w:rsid w:val="00290D2C"/>
    <w:rsid w:val="00290DA1"/>
    <w:rsid w:val="002910B8"/>
    <w:rsid w:val="002913F2"/>
    <w:rsid w:val="00291539"/>
    <w:rsid w:val="00291762"/>
    <w:rsid w:val="00291BD5"/>
    <w:rsid w:val="00291D83"/>
    <w:rsid w:val="00291EF5"/>
    <w:rsid w:val="002922A9"/>
    <w:rsid w:val="0029264D"/>
    <w:rsid w:val="00292984"/>
    <w:rsid w:val="00292A07"/>
    <w:rsid w:val="00292A4B"/>
    <w:rsid w:val="00292B10"/>
    <w:rsid w:val="00292C55"/>
    <w:rsid w:val="00292DF7"/>
    <w:rsid w:val="00292E18"/>
    <w:rsid w:val="002932EE"/>
    <w:rsid w:val="0029389D"/>
    <w:rsid w:val="00293C3D"/>
    <w:rsid w:val="00293CB9"/>
    <w:rsid w:val="00293E79"/>
    <w:rsid w:val="00293EC0"/>
    <w:rsid w:val="0029412B"/>
    <w:rsid w:val="0029423F"/>
    <w:rsid w:val="00294244"/>
    <w:rsid w:val="00294283"/>
    <w:rsid w:val="00294499"/>
    <w:rsid w:val="00294BEF"/>
    <w:rsid w:val="0029530C"/>
    <w:rsid w:val="00295363"/>
    <w:rsid w:val="0029543D"/>
    <w:rsid w:val="00295445"/>
    <w:rsid w:val="00295580"/>
    <w:rsid w:val="002957E5"/>
    <w:rsid w:val="00295B94"/>
    <w:rsid w:val="00295E48"/>
    <w:rsid w:val="00295E5F"/>
    <w:rsid w:val="00295FA1"/>
    <w:rsid w:val="0029625E"/>
    <w:rsid w:val="00296281"/>
    <w:rsid w:val="00296455"/>
    <w:rsid w:val="00296A14"/>
    <w:rsid w:val="00296BB4"/>
    <w:rsid w:val="00296CDD"/>
    <w:rsid w:val="00297035"/>
    <w:rsid w:val="00297070"/>
    <w:rsid w:val="002970FC"/>
    <w:rsid w:val="00297143"/>
    <w:rsid w:val="002975BF"/>
    <w:rsid w:val="0029769D"/>
    <w:rsid w:val="002979A4"/>
    <w:rsid w:val="00297A72"/>
    <w:rsid w:val="00297D90"/>
    <w:rsid w:val="002A0275"/>
    <w:rsid w:val="002A0779"/>
    <w:rsid w:val="002A0821"/>
    <w:rsid w:val="002A085B"/>
    <w:rsid w:val="002A0BDB"/>
    <w:rsid w:val="002A0C4F"/>
    <w:rsid w:val="002A0C68"/>
    <w:rsid w:val="002A0D14"/>
    <w:rsid w:val="002A159E"/>
    <w:rsid w:val="002A1651"/>
    <w:rsid w:val="002A1692"/>
    <w:rsid w:val="002A1932"/>
    <w:rsid w:val="002A1B76"/>
    <w:rsid w:val="002A1D8A"/>
    <w:rsid w:val="002A1FDF"/>
    <w:rsid w:val="002A21FA"/>
    <w:rsid w:val="002A2358"/>
    <w:rsid w:val="002A2652"/>
    <w:rsid w:val="002A292C"/>
    <w:rsid w:val="002A2A85"/>
    <w:rsid w:val="002A2B3C"/>
    <w:rsid w:val="002A2C2F"/>
    <w:rsid w:val="002A2FB2"/>
    <w:rsid w:val="002A3200"/>
    <w:rsid w:val="002A3637"/>
    <w:rsid w:val="002A3639"/>
    <w:rsid w:val="002A3643"/>
    <w:rsid w:val="002A3831"/>
    <w:rsid w:val="002A3A58"/>
    <w:rsid w:val="002A3E27"/>
    <w:rsid w:val="002A3F2F"/>
    <w:rsid w:val="002A40AE"/>
    <w:rsid w:val="002A4204"/>
    <w:rsid w:val="002A4243"/>
    <w:rsid w:val="002A44BA"/>
    <w:rsid w:val="002A49C9"/>
    <w:rsid w:val="002A49E1"/>
    <w:rsid w:val="002A4BE9"/>
    <w:rsid w:val="002A4C57"/>
    <w:rsid w:val="002A4D72"/>
    <w:rsid w:val="002A5521"/>
    <w:rsid w:val="002A554A"/>
    <w:rsid w:val="002A567D"/>
    <w:rsid w:val="002A5700"/>
    <w:rsid w:val="002A5B15"/>
    <w:rsid w:val="002A5FC8"/>
    <w:rsid w:val="002A6127"/>
    <w:rsid w:val="002A6317"/>
    <w:rsid w:val="002A66DB"/>
    <w:rsid w:val="002A6712"/>
    <w:rsid w:val="002A6770"/>
    <w:rsid w:val="002A67BD"/>
    <w:rsid w:val="002A6989"/>
    <w:rsid w:val="002A6A6E"/>
    <w:rsid w:val="002A6B57"/>
    <w:rsid w:val="002A6C17"/>
    <w:rsid w:val="002A6F9F"/>
    <w:rsid w:val="002A704C"/>
    <w:rsid w:val="002A739C"/>
    <w:rsid w:val="002A7670"/>
    <w:rsid w:val="002A7AB2"/>
    <w:rsid w:val="002A7FD3"/>
    <w:rsid w:val="002B0689"/>
    <w:rsid w:val="002B0765"/>
    <w:rsid w:val="002B081B"/>
    <w:rsid w:val="002B085A"/>
    <w:rsid w:val="002B0BA7"/>
    <w:rsid w:val="002B0F88"/>
    <w:rsid w:val="002B0FD3"/>
    <w:rsid w:val="002B126E"/>
    <w:rsid w:val="002B18CD"/>
    <w:rsid w:val="002B1B12"/>
    <w:rsid w:val="002B1CA0"/>
    <w:rsid w:val="002B2551"/>
    <w:rsid w:val="002B2574"/>
    <w:rsid w:val="002B2827"/>
    <w:rsid w:val="002B291A"/>
    <w:rsid w:val="002B2AA6"/>
    <w:rsid w:val="002B2E29"/>
    <w:rsid w:val="002B2FCC"/>
    <w:rsid w:val="002B2FEC"/>
    <w:rsid w:val="002B31B1"/>
    <w:rsid w:val="002B36F4"/>
    <w:rsid w:val="002B3725"/>
    <w:rsid w:val="002B37DD"/>
    <w:rsid w:val="002B3ADA"/>
    <w:rsid w:val="002B3FCB"/>
    <w:rsid w:val="002B406D"/>
    <w:rsid w:val="002B40B9"/>
    <w:rsid w:val="002B43B1"/>
    <w:rsid w:val="002B456F"/>
    <w:rsid w:val="002B460A"/>
    <w:rsid w:val="002B4630"/>
    <w:rsid w:val="002B466F"/>
    <w:rsid w:val="002B46AA"/>
    <w:rsid w:val="002B4721"/>
    <w:rsid w:val="002B4817"/>
    <w:rsid w:val="002B4B57"/>
    <w:rsid w:val="002B4B7A"/>
    <w:rsid w:val="002B4D16"/>
    <w:rsid w:val="002B4D1E"/>
    <w:rsid w:val="002B4DBC"/>
    <w:rsid w:val="002B55DB"/>
    <w:rsid w:val="002B5779"/>
    <w:rsid w:val="002B5BE3"/>
    <w:rsid w:val="002B5D7B"/>
    <w:rsid w:val="002B5F71"/>
    <w:rsid w:val="002B628C"/>
    <w:rsid w:val="002B64B4"/>
    <w:rsid w:val="002B6543"/>
    <w:rsid w:val="002B6724"/>
    <w:rsid w:val="002B69F8"/>
    <w:rsid w:val="002B6A88"/>
    <w:rsid w:val="002B6B0B"/>
    <w:rsid w:val="002B6FFC"/>
    <w:rsid w:val="002B7198"/>
    <w:rsid w:val="002B727E"/>
    <w:rsid w:val="002B73EE"/>
    <w:rsid w:val="002B771C"/>
    <w:rsid w:val="002B7D10"/>
    <w:rsid w:val="002B7E4F"/>
    <w:rsid w:val="002C0043"/>
    <w:rsid w:val="002C00CA"/>
    <w:rsid w:val="002C013D"/>
    <w:rsid w:val="002C0212"/>
    <w:rsid w:val="002C0399"/>
    <w:rsid w:val="002C05CD"/>
    <w:rsid w:val="002C0B5D"/>
    <w:rsid w:val="002C1281"/>
    <w:rsid w:val="002C12D9"/>
    <w:rsid w:val="002C1329"/>
    <w:rsid w:val="002C14B7"/>
    <w:rsid w:val="002C1988"/>
    <w:rsid w:val="002C1B3F"/>
    <w:rsid w:val="002C1C66"/>
    <w:rsid w:val="002C241A"/>
    <w:rsid w:val="002C26DE"/>
    <w:rsid w:val="002C26ED"/>
    <w:rsid w:val="002C2BBB"/>
    <w:rsid w:val="002C2C9E"/>
    <w:rsid w:val="002C2FCF"/>
    <w:rsid w:val="002C300D"/>
    <w:rsid w:val="002C3209"/>
    <w:rsid w:val="002C36B9"/>
    <w:rsid w:val="002C3782"/>
    <w:rsid w:val="002C37F2"/>
    <w:rsid w:val="002C3807"/>
    <w:rsid w:val="002C387C"/>
    <w:rsid w:val="002C3C68"/>
    <w:rsid w:val="002C425D"/>
    <w:rsid w:val="002C47E2"/>
    <w:rsid w:val="002C494F"/>
    <w:rsid w:val="002C4BAC"/>
    <w:rsid w:val="002C517E"/>
    <w:rsid w:val="002C51E6"/>
    <w:rsid w:val="002C52F1"/>
    <w:rsid w:val="002C5681"/>
    <w:rsid w:val="002C58B2"/>
    <w:rsid w:val="002C5C32"/>
    <w:rsid w:val="002C6213"/>
    <w:rsid w:val="002C654E"/>
    <w:rsid w:val="002C65B4"/>
    <w:rsid w:val="002C66FF"/>
    <w:rsid w:val="002C681E"/>
    <w:rsid w:val="002C691C"/>
    <w:rsid w:val="002C6BF0"/>
    <w:rsid w:val="002C6DE5"/>
    <w:rsid w:val="002C6FC2"/>
    <w:rsid w:val="002C7177"/>
    <w:rsid w:val="002C7205"/>
    <w:rsid w:val="002C72CB"/>
    <w:rsid w:val="002C74E0"/>
    <w:rsid w:val="002C7947"/>
    <w:rsid w:val="002C7BA5"/>
    <w:rsid w:val="002C7D41"/>
    <w:rsid w:val="002C7FB3"/>
    <w:rsid w:val="002D021C"/>
    <w:rsid w:val="002D0D19"/>
    <w:rsid w:val="002D0E03"/>
    <w:rsid w:val="002D0F3E"/>
    <w:rsid w:val="002D0F76"/>
    <w:rsid w:val="002D109B"/>
    <w:rsid w:val="002D13E2"/>
    <w:rsid w:val="002D14EC"/>
    <w:rsid w:val="002D1746"/>
    <w:rsid w:val="002D1C52"/>
    <w:rsid w:val="002D1D31"/>
    <w:rsid w:val="002D1FAD"/>
    <w:rsid w:val="002D22AF"/>
    <w:rsid w:val="002D2369"/>
    <w:rsid w:val="002D2693"/>
    <w:rsid w:val="002D26A8"/>
    <w:rsid w:val="002D2847"/>
    <w:rsid w:val="002D295E"/>
    <w:rsid w:val="002D2B3D"/>
    <w:rsid w:val="002D2E76"/>
    <w:rsid w:val="002D3193"/>
    <w:rsid w:val="002D3306"/>
    <w:rsid w:val="002D3332"/>
    <w:rsid w:val="002D355A"/>
    <w:rsid w:val="002D36FA"/>
    <w:rsid w:val="002D3A4E"/>
    <w:rsid w:val="002D3B7C"/>
    <w:rsid w:val="002D4033"/>
    <w:rsid w:val="002D4059"/>
    <w:rsid w:val="002D425E"/>
    <w:rsid w:val="002D4317"/>
    <w:rsid w:val="002D43C6"/>
    <w:rsid w:val="002D4775"/>
    <w:rsid w:val="002D4A62"/>
    <w:rsid w:val="002D4D65"/>
    <w:rsid w:val="002D5051"/>
    <w:rsid w:val="002D5167"/>
    <w:rsid w:val="002D5A62"/>
    <w:rsid w:val="002D5AF8"/>
    <w:rsid w:val="002D5C86"/>
    <w:rsid w:val="002D5E20"/>
    <w:rsid w:val="002D5EB1"/>
    <w:rsid w:val="002D5F1F"/>
    <w:rsid w:val="002D5F2F"/>
    <w:rsid w:val="002D65B9"/>
    <w:rsid w:val="002D671C"/>
    <w:rsid w:val="002D67CF"/>
    <w:rsid w:val="002D69E3"/>
    <w:rsid w:val="002D6F44"/>
    <w:rsid w:val="002D752B"/>
    <w:rsid w:val="002D76B0"/>
    <w:rsid w:val="002D777F"/>
    <w:rsid w:val="002D7859"/>
    <w:rsid w:val="002D7CF8"/>
    <w:rsid w:val="002D7D21"/>
    <w:rsid w:val="002D7FE6"/>
    <w:rsid w:val="002E078F"/>
    <w:rsid w:val="002E0D51"/>
    <w:rsid w:val="002E118D"/>
    <w:rsid w:val="002E13BF"/>
    <w:rsid w:val="002E165D"/>
    <w:rsid w:val="002E1B84"/>
    <w:rsid w:val="002E1D04"/>
    <w:rsid w:val="002E1DDC"/>
    <w:rsid w:val="002E1E99"/>
    <w:rsid w:val="002E1EF8"/>
    <w:rsid w:val="002E24E8"/>
    <w:rsid w:val="002E2576"/>
    <w:rsid w:val="002E2996"/>
    <w:rsid w:val="002E2BD4"/>
    <w:rsid w:val="002E2E69"/>
    <w:rsid w:val="002E2E6E"/>
    <w:rsid w:val="002E2F93"/>
    <w:rsid w:val="002E3256"/>
    <w:rsid w:val="002E3360"/>
    <w:rsid w:val="002E36DB"/>
    <w:rsid w:val="002E3B1C"/>
    <w:rsid w:val="002E3E3D"/>
    <w:rsid w:val="002E3F3B"/>
    <w:rsid w:val="002E3F57"/>
    <w:rsid w:val="002E4267"/>
    <w:rsid w:val="002E43A8"/>
    <w:rsid w:val="002E52FE"/>
    <w:rsid w:val="002E5677"/>
    <w:rsid w:val="002E56C6"/>
    <w:rsid w:val="002E633D"/>
    <w:rsid w:val="002E6659"/>
    <w:rsid w:val="002E6991"/>
    <w:rsid w:val="002E69AA"/>
    <w:rsid w:val="002E69EB"/>
    <w:rsid w:val="002E6ADE"/>
    <w:rsid w:val="002E6EE8"/>
    <w:rsid w:val="002E71D2"/>
    <w:rsid w:val="002E7251"/>
    <w:rsid w:val="002E79B9"/>
    <w:rsid w:val="002E7C51"/>
    <w:rsid w:val="002E7EC2"/>
    <w:rsid w:val="002F0232"/>
    <w:rsid w:val="002F0816"/>
    <w:rsid w:val="002F1263"/>
    <w:rsid w:val="002F130B"/>
    <w:rsid w:val="002F177B"/>
    <w:rsid w:val="002F1929"/>
    <w:rsid w:val="002F1ED4"/>
    <w:rsid w:val="002F2028"/>
    <w:rsid w:val="002F229F"/>
    <w:rsid w:val="002F232E"/>
    <w:rsid w:val="002F238F"/>
    <w:rsid w:val="002F244B"/>
    <w:rsid w:val="002F2577"/>
    <w:rsid w:val="002F26EA"/>
    <w:rsid w:val="002F29A3"/>
    <w:rsid w:val="002F2C8D"/>
    <w:rsid w:val="002F2E5F"/>
    <w:rsid w:val="002F2EA5"/>
    <w:rsid w:val="002F302D"/>
    <w:rsid w:val="002F343F"/>
    <w:rsid w:val="002F35AF"/>
    <w:rsid w:val="002F36AD"/>
    <w:rsid w:val="002F378D"/>
    <w:rsid w:val="002F3C0A"/>
    <w:rsid w:val="002F3CF6"/>
    <w:rsid w:val="002F3D22"/>
    <w:rsid w:val="002F3EBF"/>
    <w:rsid w:val="002F4214"/>
    <w:rsid w:val="002F4C73"/>
    <w:rsid w:val="002F5348"/>
    <w:rsid w:val="002F54D9"/>
    <w:rsid w:val="002F5689"/>
    <w:rsid w:val="002F5706"/>
    <w:rsid w:val="002F5770"/>
    <w:rsid w:val="002F57B9"/>
    <w:rsid w:val="002F5876"/>
    <w:rsid w:val="002F5996"/>
    <w:rsid w:val="002F5BBB"/>
    <w:rsid w:val="002F5F4F"/>
    <w:rsid w:val="002F60BF"/>
    <w:rsid w:val="002F6116"/>
    <w:rsid w:val="002F6265"/>
    <w:rsid w:val="002F62A7"/>
    <w:rsid w:val="002F62BB"/>
    <w:rsid w:val="002F6315"/>
    <w:rsid w:val="002F66AA"/>
    <w:rsid w:val="002F6A28"/>
    <w:rsid w:val="002F6B8B"/>
    <w:rsid w:val="002F6B9D"/>
    <w:rsid w:val="002F6E0F"/>
    <w:rsid w:val="002F716C"/>
    <w:rsid w:val="002F7471"/>
    <w:rsid w:val="002F7844"/>
    <w:rsid w:val="002F7CD8"/>
    <w:rsid w:val="003002BB"/>
    <w:rsid w:val="0030043D"/>
    <w:rsid w:val="0030070C"/>
    <w:rsid w:val="003007C2"/>
    <w:rsid w:val="003008B0"/>
    <w:rsid w:val="00300C4A"/>
    <w:rsid w:val="00301214"/>
    <w:rsid w:val="00301324"/>
    <w:rsid w:val="003014A2"/>
    <w:rsid w:val="00301825"/>
    <w:rsid w:val="00301C92"/>
    <w:rsid w:val="00301E25"/>
    <w:rsid w:val="003022DA"/>
    <w:rsid w:val="00302615"/>
    <w:rsid w:val="0030277D"/>
    <w:rsid w:val="003028E3"/>
    <w:rsid w:val="00302C72"/>
    <w:rsid w:val="00302E94"/>
    <w:rsid w:val="00302EF3"/>
    <w:rsid w:val="003030F6"/>
    <w:rsid w:val="0030340C"/>
    <w:rsid w:val="0030395A"/>
    <w:rsid w:val="00303B5B"/>
    <w:rsid w:val="00303DA3"/>
    <w:rsid w:val="0030404E"/>
    <w:rsid w:val="003041E0"/>
    <w:rsid w:val="00304459"/>
    <w:rsid w:val="0030482D"/>
    <w:rsid w:val="00304877"/>
    <w:rsid w:val="003049F2"/>
    <w:rsid w:val="00304D20"/>
    <w:rsid w:val="00304EA4"/>
    <w:rsid w:val="00304FE1"/>
    <w:rsid w:val="0030511F"/>
    <w:rsid w:val="0030530B"/>
    <w:rsid w:val="00305424"/>
    <w:rsid w:val="0030551B"/>
    <w:rsid w:val="003056EE"/>
    <w:rsid w:val="00305783"/>
    <w:rsid w:val="00305984"/>
    <w:rsid w:val="00305A2D"/>
    <w:rsid w:val="00305A74"/>
    <w:rsid w:val="00305B2B"/>
    <w:rsid w:val="00305E89"/>
    <w:rsid w:val="00306095"/>
    <w:rsid w:val="0030611E"/>
    <w:rsid w:val="003062CD"/>
    <w:rsid w:val="00306510"/>
    <w:rsid w:val="003065EC"/>
    <w:rsid w:val="00306C0A"/>
    <w:rsid w:val="00306FDB"/>
    <w:rsid w:val="0030724D"/>
    <w:rsid w:val="003073AA"/>
    <w:rsid w:val="00307507"/>
    <w:rsid w:val="00307594"/>
    <w:rsid w:val="00307C15"/>
    <w:rsid w:val="00307CE7"/>
    <w:rsid w:val="00307E17"/>
    <w:rsid w:val="00307F74"/>
    <w:rsid w:val="0031017E"/>
    <w:rsid w:val="003101CA"/>
    <w:rsid w:val="003103D0"/>
    <w:rsid w:val="0031044A"/>
    <w:rsid w:val="003104E2"/>
    <w:rsid w:val="003108D0"/>
    <w:rsid w:val="00310A90"/>
    <w:rsid w:val="00310BE3"/>
    <w:rsid w:val="00310C9B"/>
    <w:rsid w:val="00310CCC"/>
    <w:rsid w:val="00311298"/>
    <w:rsid w:val="0031150F"/>
    <w:rsid w:val="00311704"/>
    <w:rsid w:val="0031172F"/>
    <w:rsid w:val="00311D50"/>
    <w:rsid w:val="00311DA0"/>
    <w:rsid w:val="00311FB9"/>
    <w:rsid w:val="0031245F"/>
    <w:rsid w:val="003127D1"/>
    <w:rsid w:val="00312A5C"/>
    <w:rsid w:val="00312AEB"/>
    <w:rsid w:val="00312BC9"/>
    <w:rsid w:val="003133AB"/>
    <w:rsid w:val="00313432"/>
    <w:rsid w:val="00313A94"/>
    <w:rsid w:val="00313F64"/>
    <w:rsid w:val="00313F79"/>
    <w:rsid w:val="003140AD"/>
    <w:rsid w:val="003142E7"/>
    <w:rsid w:val="003148E5"/>
    <w:rsid w:val="0031498D"/>
    <w:rsid w:val="003151EB"/>
    <w:rsid w:val="00315228"/>
    <w:rsid w:val="003152E6"/>
    <w:rsid w:val="00315608"/>
    <w:rsid w:val="00315916"/>
    <w:rsid w:val="00315BBB"/>
    <w:rsid w:val="00315CB4"/>
    <w:rsid w:val="0031615B"/>
    <w:rsid w:val="003164D2"/>
    <w:rsid w:val="003168D2"/>
    <w:rsid w:val="0031691A"/>
    <w:rsid w:val="00316959"/>
    <w:rsid w:val="00316F2D"/>
    <w:rsid w:val="0031729E"/>
    <w:rsid w:val="003172C5"/>
    <w:rsid w:val="003173CC"/>
    <w:rsid w:val="0031761E"/>
    <w:rsid w:val="003201AD"/>
    <w:rsid w:val="003201DA"/>
    <w:rsid w:val="0032038D"/>
    <w:rsid w:val="00320564"/>
    <w:rsid w:val="00320664"/>
    <w:rsid w:val="00320841"/>
    <w:rsid w:val="00320977"/>
    <w:rsid w:val="00320982"/>
    <w:rsid w:val="00320DA8"/>
    <w:rsid w:val="00320EC8"/>
    <w:rsid w:val="0032132E"/>
    <w:rsid w:val="00321377"/>
    <w:rsid w:val="003214E4"/>
    <w:rsid w:val="00321622"/>
    <w:rsid w:val="00321738"/>
    <w:rsid w:val="003217D0"/>
    <w:rsid w:val="00321A2F"/>
    <w:rsid w:val="00321A85"/>
    <w:rsid w:val="00321AE2"/>
    <w:rsid w:val="00321AEC"/>
    <w:rsid w:val="00321BA8"/>
    <w:rsid w:val="00321C1D"/>
    <w:rsid w:val="0032227D"/>
    <w:rsid w:val="0032230C"/>
    <w:rsid w:val="00322320"/>
    <w:rsid w:val="00322446"/>
    <w:rsid w:val="00322553"/>
    <w:rsid w:val="0032264C"/>
    <w:rsid w:val="00322A08"/>
    <w:rsid w:val="00322BB3"/>
    <w:rsid w:val="00322CB1"/>
    <w:rsid w:val="00322CCE"/>
    <w:rsid w:val="00322F45"/>
    <w:rsid w:val="0032379E"/>
    <w:rsid w:val="00323964"/>
    <w:rsid w:val="00323DA1"/>
    <w:rsid w:val="00323EC8"/>
    <w:rsid w:val="003244FB"/>
    <w:rsid w:val="003246BE"/>
    <w:rsid w:val="00324A8A"/>
    <w:rsid w:val="00324C99"/>
    <w:rsid w:val="00325314"/>
    <w:rsid w:val="003255C6"/>
    <w:rsid w:val="0032581B"/>
    <w:rsid w:val="003258BA"/>
    <w:rsid w:val="00325B7D"/>
    <w:rsid w:val="00325BCE"/>
    <w:rsid w:val="00325FCE"/>
    <w:rsid w:val="0032617E"/>
    <w:rsid w:val="003261F3"/>
    <w:rsid w:val="00326779"/>
    <w:rsid w:val="00326912"/>
    <w:rsid w:val="00326DB7"/>
    <w:rsid w:val="00326E99"/>
    <w:rsid w:val="0032718D"/>
    <w:rsid w:val="003272A1"/>
    <w:rsid w:val="00327658"/>
    <w:rsid w:val="0032778D"/>
    <w:rsid w:val="00327A10"/>
    <w:rsid w:val="00327B6C"/>
    <w:rsid w:val="00327EA9"/>
    <w:rsid w:val="00330236"/>
    <w:rsid w:val="00330BAA"/>
    <w:rsid w:val="00330E08"/>
    <w:rsid w:val="003310D5"/>
    <w:rsid w:val="003310DC"/>
    <w:rsid w:val="00331656"/>
    <w:rsid w:val="003316FC"/>
    <w:rsid w:val="003317E2"/>
    <w:rsid w:val="003319C9"/>
    <w:rsid w:val="00331A62"/>
    <w:rsid w:val="00331C67"/>
    <w:rsid w:val="00331CCE"/>
    <w:rsid w:val="00331CF3"/>
    <w:rsid w:val="00331D28"/>
    <w:rsid w:val="00331D31"/>
    <w:rsid w:val="00331E30"/>
    <w:rsid w:val="00332165"/>
    <w:rsid w:val="003325BB"/>
    <w:rsid w:val="0033294D"/>
    <w:rsid w:val="0033294F"/>
    <w:rsid w:val="00332C09"/>
    <w:rsid w:val="0033329D"/>
    <w:rsid w:val="00333599"/>
    <w:rsid w:val="00333719"/>
    <w:rsid w:val="0033398F"/>
    <w:rsid w:val="00333B2D"/>
    <w:rsid w:val="00333B92"/>
    <w:rsid w:val="00334161"/>
    <w:rsid w:val="00334168"/>
    <w:rsid w:val="003341C0"/>
    <w:rsid w:val="003341D0"/>
    <w:rsid w:val="00334B2D"/>
    <w:rsid w:val="00334FA3"/>
    <w:rsid w:val="003350EE"/>
    <w:rsid w:val="00335192"/>
    <w:rsid w:val="003357C1"/>
    <w:rsid w:val="003358A5"/>
    <w:rsid w:val="00335961"/>
    <w:rsid w:val="003359A9"/>
    <w:rsid w:val="003359CB"/>
    <w:rsid w:val="00335F5F"/>
    <w:rsid w:val="0033661F"/>
    <w:rsid w:val="00336A64"/>
    <w:rsid w:val="00336B10"/>
    <w:rsid w:val="00336BC5"/>
    <w:rsid w:val="0033763D"/>
    <w:rsid w:val="00340154"/>
    <w:rsid w:val="003407FA"/>
    <w:rsid w:val="00340851"/>
    <w:rsid w:val="00340B4D"/>
    <w:rsid w:val="00340DF0"/>
    <w:rsid w:val="00341284"/>
    <w:rsid w:val="0034149B"/>
    <w:rsid w:val="00341BC4"/>
    <w:rsid w:val="00341E81"/>
    <w:rsid w:val="003420A8"/>
    <w:rsid w:val="003428BB"/>
    <w:rsid w:val="00342DF1"/>
    <w:rsid w:val="00342FE1"/>
    <w:rsid w:val="0034345C"/>
    <w:rsid w:val="0034349D"/>
    <w:rsid w:val="003435C2"/>
    <w:rsid w:val="00343794"/>
    <w:rsid w:val="00343B0F"/>
    <w:rsid w:val="00343BAD"/>
    <w:rsid w:val="00343CEF"/>
    <w:rsid w:val="00343FE4"/>
    <w:rsid w:val="0034431A"/>
    <w:rsid w:val="00344421"/>
    <w:rsid w:val="003444E4"/>
    <w:rsid w:val="003448E6"/>
    <w:rsid w:val="00344D01"/>
    <w:rsid w:val="003452CA"/>
    <w:rsid w:val="003455CD"/>
    <w:rsid w:val="0034574A"/>
    <w:rsid w:val="00345957"/>
    <w:rsid w:val="003459FC"/>
    <w:rsid w:val="00345AE7"/>
    <w:rsid w:val="00345E22"/>
    <w:rsid w:val="0034601E"/>
    <w:rsid w:val="0034603E"/>
    <w:rsid w:val="0034610D"/>
    <w:rsid w:val="0034704B"/>
    <w:rsid w:val="003470CC"/>
    <w:rsid w:val="00347677"/>
    <w:rsid w:val="00347699"/>
    <w:rsid w:val="003477CB"/>
    <w:rsid w:val="00347E98"/>
    <w:rsid w:val="00347EB8"/>
    <w:rsid w:val="00347F29"/>
    <w:rsid w:val="00350375"/>
    <w:rsid w:val="003503D5"/>
    <w:rsid w:val="00350434"/>
    <w:rsid w:val="0035056C"/>
    <w:rsid w:val="0035076A"/>
    <w:rsid w:val="00350AB2"/>
    <w:rsid w:val="00350E36"/>
    <w:rsid w:val="00350EC8"/>
    <w:rsid w:val="00350EDE"/>
    <w:rsid w:val="00350FC1"/>
    <w:rsid w:val="0035106D"/>
    <w:rsid w:val="0035112E"/>
    <w:rsid w:val="003511EA"/>
    <w:rsid w:val="00351282"/>
    <w:rsid w:val="00351318"/>
    <w:rsid w:val="0035142C"/>
    <w:rsid w:val="00351508"/>
    <w:rsid w:val="0035159E"/>
    <w:rsid w:val="00351618"/>
    <w:rsid w:val="003518D2"/>
    <w:rsid w:val="00351C2F"/>
    <w:rsid w:val="0035202D"/>
    <w:rsid w:val="003525C5"/>
    <w:rsid w:val="003527FE"/>
    <w:rsid w:val="00352BDE"/>
    <w:rsid w:val="00352F00"/>
    <w:rsid w:val="003533AA"/>
    <w:rsid w:val="00353647"/>
    <w:rsid w:val="003537EF"/>
    <w:rsid w:val="00353822"/>
    <w:rsid w:val="00353905"/>
    <w:rsid w:val="0035390B"/>
    <w:rsid w:val="00353BA7"/>
    <w:rsid w:val="00353D95"/>
    <w:rsid w:val="00353EA7"/>
    <w:rsid w:val="00354360"/>
    <w:rsid w:val="00354949"/>
    <w:rsid w:val="00354A17"/>
    <w:rsid w:val="00354CFD"/>
    <w:rsid w:val="00354DF3"/>
    <w:rsid w:val="00355195"/>
    <w:rsid w:val="003552CA"/>
    <w:rsid w:val="003552DE"/>
    <w:rsid w:val="003552F6"/>
    <w:rsid w:val="003556D1"/>
    <w:rsid w:val="00355AEB"/>
    <w:rsid w:val="00355EDF"/>
    <w:rsid w:val="00355EE2"/>
    <w:rsid w:val="00355F5F"/>
    <w:rsid w:val="00356172"/>
    <w:rsid w:val="0035639B"/>
    <w:rsid w:val="00357204"/>
    <w:rsid w:val="0035758C"/>
    <w:rsid w:val="00357838"/>
    <w:rsid w:val="0035799E"/>
    <w:rsid w:val="00357E6B"/>
    <w:rsid w:val="00357E6E"/>
    <w:rsid w:val="00360034"/>
    <w:rsid w:val="00360409"/>
    <w:rsid w:val="00361105"/>
    <w:rsid w:val="0036119E"/>
    <w:rsid w:val="003613AD"/>
    <w:rsid w:val="003613DB"/>
    <w:rsid w:val="00361690"/>
    <w:rsid w:val="00361798"/>
    <w:rsid w:val="00361922"/>
    <w:rsid w:val="003619AD"/>
    <w:rsid w:val="00362312"/>
    <w:rsid w:val="003627C4"/>
    <w:rsid w:val="00362A6B"/>
    <w:rsid w:val="00362D2D"/>
    <w:rsid w:val="00362FC9"/>
    <w:rsid w:val="00363902"/>
    <w:rsid w:val="00363AF5"/>
    <w:rsid w:val="00363BBD"/>
    <w:rsid w:val="00364226"/>
    <w:rsid w:val="0036426B"/>
    <w:rsid w:val="003642CB"/>
    <w:rsid w:val="003644D8"/>
    <w:rsid w:val="00364584"/>
    <w:rsid w:val="0036476C"/>
    <w:rsid w:val="00364876"/>
    <w:rsid w:val="003649D1"/>
    <w:rsid w:val="00364B17"/>
    <w:rsid w:val="00364FBD"/>
    <w:rsid w:val="0036505D"/>
    <w:rsid w:val="0036529E"/>
    <w:rsid w:val="00365689"/>
    <w:rsid w:val="0036581C"/>
    <w:rsid w:val="00365833"/>
    <w:rsid w:val="003658A6"/>
    <w:rsid w:val="00365C40"/>
    <w:rsid w:val="00365D7C"/>
    <w:rsid w:val="00365D89"/>
    <w:rsid w:val="00365D8E"/>
    <w:rsid w:val="00365E7A"/>
    <w:rsid w:val="00366011"/>
    <w:rsid w:val="0036636C"/>
    <w:rsid w:val="00366385"/>
    <w:rsid w:val="00366653"/>
    <w:rsid w:val="0036671A"/>
    <w:rsid w:val="00366817"/>
    <w:rsid w:val="00366F23"/>
    <w:rsid w:val="0036702B"/>
    <w:rsid w:val="003671BE"/>
    <w:rsid w:val="0036720E"/>
    <w:rsid w:val="00367335"/>
    <w:rsid w:val="003673A6"/>
    <w:rsid w:val="00367A6E"/>
    <w:rsid w:val="00367DBD"/>
    <w:rsid w:val="0037080C"/>
    <w:rsid w:val="00370B03"/>
    <w:rsid w:val="003710D4"/>
    <w:rsid w:val="003711B8"/>
    <w:rsid w:val="003712F2"/>
    <w:rsid w:val="003716B6"/>
    <w:rsid w:val="00371A1F"/>
    <w:rsid w:val="00371B2A"/>
    <w:rsid w:val="00371B7B"/>
    <w:rsid w:val="00371F16"/>
    <w:rsid w:val="00372158"/>
    <w:rsid w:val="0037277A"/>
    <w:rsid w:val="00372B4C"/>
    <w:rsid w:val="00372C32"/>
    <w:rsid w:val="00372CA6"/>
    <w:rsid w:val="0037331A"/>
    <w:rsid w:val="003733DF"/>
    <w:rsid w:val="00373413"/>
    <w:rsid w:val="003734C7"/>
    <w:rsid w:val="003734EE"/>
    <w:rsid w:val="0037356A"/>
    <w:rsid w:val="003738FD"/>
    <w:rsid w:val="003739B3"/>
    <w:rsid w:val="00373AA8"/>
    <w:rsid w:val="00373AAA"/>
    <w:rsid w:val="00373B0D"/>
    <w:rsid w:val="00373C09"/>
    <w:rsid w:val="00374272"/>
    <w:rsid w:val="0037442C"/>
    <w:rsid w:val="00374998"/>
    <w:rsid w:val="003749B8"/>
    <w:rsid w:val="00374DCF"/>
    <w:rsid w:val="00374F64"/>
    <w:rsid w:val="00375097"/>
    <w:rsid w:val="00375206"/>
    <w:rsid w:val="0037524E"/>
    <w:rsid w:val="00375403"/>
    <w:rsid w:val="0037581E"/>
    <w:rsid w:val="00375897"/>
    <w:rsid w:val="00375F02"/>
    <w:rsid w:val="003760B8"/>
    <w:rsid w:val="00376487"/>
    <w:rsid w:val="00376645"/>
    <w:rsid w:val="0037696F"/>
    <w:rsid w:val="00376C19"/>
    <w:rsid w:val="00376DEF"/>
    <w:rsid w:val="00377072"/>
    <w:rsid w:val="00377131"/>
    <w:rsid w:val="0037735B"/>
    <w:rsid w:val="003773AB"/>
    <w:rsid w:val="0037746A"/>
    <w:rsid w:val="003775D1"/>
    <w:rsid w:val="003776BF"/>
    <w:rsid w:val="0037773F"/>
    <w:rsid w:val="003778D8"/>
    <w:rsid w:val="003779A4"/>
    <w:rsid w:val="003779D1"/>
    <w:rsid w:val="00377B79"/>
    <w:rsid w:val="003800BF"/>
    <w:rsid w:val="0038022E"/>
    <w:rsid w:val="00380B79"/>
    <w:rsid w:val="00380B8C"/>
    <w:rsid w:val="00380BB9"/>
    <w:rsid w:val="00380D66"/>
    <w:rsid w:val="00381125"/>
    <w:rsid w:val="003811B6"/>
    <w:rsid w:val="0038122B"/>
    <w:rsid w:val="00381E7F"/>
    <w:rsid w:val="00382064"/>
    <w:rsid w:val="003824CD"/>
    <w:rsid w:val="00382534"/>
    <w:rsid w:val="00382FB2"/>
    <w:rsid w:val="003838AC"/>
    <w:rsid w:val="00383C3B"/>
    <w:rsid w:val="00384662"/>
    <w:rsid w:val="0038472D"/>
    <w:rsid w:val="00384BC3"/>
    <w:rsid w:val="00384FE7"/>
    <w:rsid w:val="003852B5"/>
    <w:rsid w:val="0038558F"/>
    <w:rsid w:val="0038568D"/>
    <w:rsid w:val="003857C3"/>
    <w:rsid w:val="00385ABA"/>
    <w:rsid w:val="00386075"/>
    <w:rsid w:val="003861A5"/>
    <w:rsid w:val="00386272"/>
    <w:rsid w:val="003862A3"/>
    <w:rsid w:val="00386629"/>
    <w:rsid w:val="003866A9"/>
    <w:rsid w:val="00386E8F"/>
    <w:rsid w:val="003870A3"/>
    <w:rsid w:val="00387402"/>
    <w:rsid w:val="003876A7"/>
    <w:rsid w:val="003877F9"/>
    <w:rsid w:val="00387DC3"/>
    <w:rsid w:val="00387F39"/>
    <w:rsid w:val="00390152"/>
    <w:rsid w:val="00390599"/>
    <w:rsid w:val="0039061E"/>
    <w:rsid w:val="00390634"/>
    <w:rsid w:val="00390A57"/>
    <w:rsid w:val="00390BB2"/>
    <w:rsid w:val="00390E9A"/>
    <w:rsid w:val="00390F7A"/>
    <w:rsid w:val="00390FBE"/>
    <w:rsid w:val="0039110C"/>
    <w:rsid w:val="003916DE"/>
    <w:rsid w:val="0039175A"/>
    <w:rsid w:val="00391BEB"/>
    <w:rsid w:val="00391E97"/>
    <w:rsid w:val="003922E3"/>
    <w:rsid w:val="00392334"/>
    <w:rsid w:val="0039245E"/>
    <w:rsid w:val="003924D0"/>
    <w:rsid w:val="00392639"/>
    <w:rsid w:val="0039280E"/>
    <w:rsid w:val="0039282A"/>
    <w:rsid w:val="00392B81"/>
    <w:rsid w:val="00392DE8"/>
    <w:rsid w:val="00392F9D"/>
    <w:rsid w:val="00392FAF"/>
    <w:rsid w:val="00393070"/>
    <w:rsid w:val="00393201"/>
    <w:rsid w:val="003933CD"/>
    <w:rsid w:val="00393A3D"/>
    <w:rsid w:val="00393BCC"/>
    <w:rsid w:val="00393BFF"/>
    <w:rsid w:val="00393C77"/>
    <w:rsid w:val="00393CB8"/>
    <w:rsid w:val="003940E4"/>
    <w:rsid w:val="00394462"/>
    <w:rsid w:val="0039466E"/>
    <w:rsid w:val="003946C6"/>
    <w:rsid w:val="003947BB"/>
    <w:rsid w:val="00394849"/>
    <w:rsid w:val="00394BE6"/>
    <w:rsid w:val="00394CDE"/>
    <w:rsid w:val="003953F2"/>
    <w:rsid w:val="00395CE8"/>
    <w:rsid w:val="00395D2C"/>
    <w:rsid w:val="00395F52"/>
    <w:rsid w:val="003960F2"/>
    <w:rsid w:val="00396386"/>
    <w:rsid w:val="003964C8"/>
    <w:rsid w:val="003964D0"/>
    <w:rsid w:val="003965D4"/>
    <w:rsid w:val="00396BB5"/>
    <w:rsid w:val="00396EB3"/>
    <w:rsid w:val="00396FC7"/>
    <w:rsid w:val="003971B2"/>
    <w:rsid w:val="0039781F"/>
    <w:rsid w:val="00397BB0"/>
    <w:rsid w:val="00397D3F"/>
    <w:rsid w:val="003A0297"/>
    <w:rsid w:val="003A044A"/>
    <w:rsid w:val="003A06E5"/>
    <w:rsid w:val="003A0AF3"/>
    <w:rsid w:val="003A1FCF"/>
    <w:rsid w:val="003A203A"/>
    <w:rsid w:val="003A2423"/>
    <w:rsid w:val="003A24F2"/>
    <w:rsid w:val="003A253B"/>
    <w:rsid w:val="003A29E4"/>
    <w:rsid w:val="003A2C92"/>
    <w:rsid w:val="003A3150"/>
    <w:rsid w:val="003A319F"/>
    <w:rsid w:val="003A3294"/>
    <w:rsid w:val="003A33FB"/>
    <w:rsid w:val="003A3747"/>
    <w:rsid w:val="003A39E2"/>
    <w:rsid w:val="003A4197"/>
    <w:rsid w:val="003A41FD"/>
    <w:rsid w:val="003A455B"/>
    <w:rsid w:val="003A4CB3"/>
    <w:rsid w:val="003A5506"/>
    <w:rsid w:val="003A57FD"/>
    <w:rsid w:val="003A5EE3"/>
    <w:rsid w:val="003A6473"/>
    <w:rsid w:val="003A66F5"/>
    <w:rsid w:val="003A67BE"/>
    <w:rsid w:val="003A688A"/>
    <w:rsid w:val="003A6C71"/>
    <w:rsid w:val="003A6CD8"/>
    <w:rsid w:val="003A6DF8"/>
    <w:rsid w:val="003A7181"/>
    <w:rsid w:val="003A74E7"/>
    <w:rsid w:val="003A75E7"/>
    <w:rsid w:val="003A762D"/>
    <w:rsid w:val="003A79F7"/>
    <w:rsid w:val="003A7FD5"/>
    <w:rsid w:val="003B02B4"/>
    <w:rsid w:val="003B060C"/>
    <w:rsid w:val="003B093A"/>
    <w:rsid w:val="003B0946"/>
    <w:rsid w:val="003B0A99"/>
    <w:rsid w:val="003B0CB6"/>
    <w:rsid w:val="003B1381"/>
    <w:rsid w:val="003B192E"/>
    <w:rsid w:val="003B19BC"/>
    <w:rsid w:val="003B1E2E"/>
    <w:rsid w:val="003B21CE"/>
    <w:rsid w:val="003B2380"/>
    <w:rsid w:val="003B244D"/>
    <w:rsid w:val="003B2744"/>
    <w:rsid w:val="003B2F63"/>
    <w:rsid w:val="003B3068"/>
    <w:rsid w:val="003B3287"/>
    <w:rsid w:val="003B3772"/>
    <w:rsid w:val="003B3DB0"/>
    <w:rsid w:val="003B3DC2"/>
    <w:rsid w:val="003B3DD7"/>
    <w:rsid w:val="003B3F3D"/>
    <w:rsid w:val="003B413F"/>
    <w:rsid w:val="003B4220"/>
    <w:rsid w:val="003B42AB"/>
    <w:rsid w:val="003B48DD"/>
    <w:rsid w:val="003B4CE2"/>
    <w:rsid w:val="003B61F2"/>
    <w:rsid w:val="003B62B0"/>
    <w:rsid w:val="003B651F"/>
    <w:rsid w:val="003B68B2"/>
    <w:rsid w:val="003B6CA1"/>
    <w:rsid w:val="003B6D8C"/>
    <w:rsid w:val="003B6FE6"/>
    <w:rsid w:val="003B7067"/>
    <w:rsid w:val="003B71A2"/>
    <w:rsid w:val="003B76C2"/>
    <w:rsid w:val="003B7B4F"/>
    <w:rsid w:val="003B7EB4"/>
    <w:rsid w:val="003C0127"/>
    <w:rsid w:val="003C0231"/>
    <w:rsid w:val="003C04A1"/>
    <w:rsid w:val="003C04F4"/>
    <w:rsid w:val="003C058F"/>
    <w:rsid w:val="003C10BA"/>
    <w:rsid w:val="003C1371"/>
    <w:rsid w:val="003C13DD"/>
    <w:rsid w:val="003C2106"/>
    <w:rsid w:val="003C2267"/>
    <w:rsid w:val="003C2742"/>
    <w:rsid w:val="003C31B8"/>
    <w:rsid w:val="003C363C"/>
    <w:rsid w:val="003C3666"/>
    <w:rsid w:val="003C3708"/>
    <w:rsid w:val="003C3800"/>
    <w:rsid w:val="003C3AB3"/>
    <w:rsid w:val="003C3AB5"/>
    <w:rsid w:val="003C3FEB"/>
    <w:rsid w:val="003C42C3"/>
    <w:rsid w:val="003C47A3"/>
    <w:rsid w:val="003C4859"/>
    <w:rsid w:val="003C4AEB"/>
    <w:rsid w:val="003C4B5A"/>
    <w:rsid w:val="003C4C58"/>
    <w:rsid w:val="003C505E"/>
    <w:rsid w:val="003C51D0"/>
    <w:rsid w:val="003C536F"/>
    <w:rsid w:val="003C54C6"/>
    <w:rsid w:val="003C5CB7"/>
    <w:rsid w:val="003C6008"/>
    <w:rsid w:val="003C6502"/>
    <w:rsid w:val="003C68EA"/>
    <w:rsid w:val="003C6997"/>
    <w:rsid w:val="003C7045"/>
    <w:rsid w:val="003C7240"/>
    <w:rsid w:val="003C7681"/>
    <w:rsid w:val="003C7710"/>
    <w:rsid w:val="003C786E"/>
    <w:rsid w:val="003C7A37"/>
    <w:rsid w:val="003C7A61"/>
    <w:rsid w:val="003C7B3A"/>
    <w:rsid w:val="003C7B6D"/>
    <w:rsid w:val="003C7F08"/>
    <w:rsid w:val="003C7F48"/>
    <w:rsid w:val="003C7F70"/>
    <w:rsid w:val="003D0001"/>
    <w:rsid w:val="003D006F"/>
    <w:rsid w:val="003D0496"/>
    <w:rsid w:val="003D0553"/>
    <w:rsid w:val="003D0926"/>
    <w:rsid w:val="003D0C15"/>
    <w:rsid w:val="003D12C1"/>
    <w:rsid w:val="003D1470"/>
    <w:rsid w:val="003D1549"/>
    <w:rsid w:val="003D1593"/>
    <w:rsid w:val="003D1731"/>
    <w:rsid w:val="003D1810"/>
    <w:rsid w:val="003D1C0C"/>
    <w:rsid w:val="003D1D9B"/>
    <w:rsid w:val="003D22D6"/>
    <w:rsid w:val="003D25CC"/>
    <w:rsid w:val="003D2663"/>
    <w:rsid w:val="003D26CC"/>
    <w:rsid w:val="003D2CD7"/>
    <w:rsid w:val="003D2D7B"/>
    <w:rsid w:val="003D325D"/>
    <w:rsid w:val="003D33A5"/>
    <w:rsid w:val="003D37F0"/>
    <w:rsid w:val="003D3909"/>
    <w:rsid w:val="003D3A5B"/>
    <w:rsid w:val="003D3B07"/>
    <w:rsid w:val="003D3F28"/>
    <w:rsid w:val="003D420B"/>
    <w:rsid w:val="003D426E"/>
    <w:rsid w:val="003D4424"/>
    <w:rsid w:val="003D4775"/>
    <w:rsid w:val="003D4C03"/>
    <w:rsid w:val="003D4C2D"/>
    <w:rsid w:val="003D4EBA"/>
    <w:rsid w:val="003D5022"/>
    <w:rsid w:val="003D5052"/>
    <w:rsid w:val="003D52BF"/>
    <w:rsid w:val="003D55A4"/>
    <w:rsid w:val="003D5682"/>
    <w:rsid w:val="003D5AB9"/>
    <w:rsid w:val="003D5ADA"/>
    <w:rsid w:val="003D5CEC"/>
    <w:rsid w:val="003D5DFD"/>
    <w:rsid w:val="003D63C9"/>
    <w:rsid w:val="003D6433"/>
    <w:rsid w:val="003D6646"/>
    <w:rsid w:val="003D6932"/>
    <w:rsid w:val="003D6A5A"/>
    <w:rsid w:val="003D6CEE"/>
    <w:rsid w:val="003D6E4E"/>
    <w:rsid w:val="003D6E62"/>
    <w:rsid w:val="003D6EAD"/>
    <w:rsid w:val="003D6FA2"/>
    <w:rsid w:val="003D7133"/>
    <w:rsid w:val="003D718A"/>
    <w:rsid w:val="003D724E"/>
    <w:rsid w:val="003D74DE"/>
    <w:rsid w:val="003D7500"/>
    <w:rsid w:val="003D75B8"/>
    <w:rsid w:val="003D77F5"/>
    <w:rsid w:val="003D7B2D"/>
    <w:rsid w:val="003E0135"/>
    <w:rsid w:val="003E01C1"/>
    <w:rsid w:val="003E03C0"/>
    <w:rsid w:val="003E0AAE"/>
    <w:rsid w:val="003E0CA8"/>
    <w:rsid w:val="003E120B"/>
    <w:rsid w:val="003E15C6"/>
    <w:rsid w:val="003E1890"/>
    <w:rsid w:val="003E19AB"/>
    <w:rsid w:val="003E1BFC"/>
    <w:rsid w:val="003E1D9A"/>
    <w:rsid w:val="003E2120"/>
    <w:rsid w:val="003E21ED"/>
    <w:rsid w:val="003E236C"/>
    <w:rsid w:val="003E26D1"/>
    <w:rsid w:val="003E27D8"/>
    <w:rsid w:val="003E27F1"/>
    <w:rsid w:val="003E2AC2"/>
    <w:rsid w:val="003E2D36"/>
    <w:rsid w:val="003E3371"/>
    <w:rsid w:val="003E3489"/>
    <w:rsid w:val="003E371F"/>
    <w:rsid w:val="003E3747"/>
    <w:rsid w:val="003E3802"/>
    <w:rsid w:val="003E3A69"/>
    <w:rsid w:val="003E3F79"/>
    <w:rsid w:val="003E4093"/>
    <w:rsid w:val="003E41F1"/>
    <w:rsid w:val="003E4231"/>
    <w:rsid w:val="003E460E"/>
    <w:rsid w:val="003E4A75"/>
    <w:rsid w:val="003E4BDB"/>
    <w:rsid w:val="003E4C22"/>
    <w:rsid w:val="003E4F63"/>
    <w:rsid w:val="003E5212"/>
    <w:rsid w:val="003E5272"/>
    <w:rsid w:val="003E5596"/>
    <w:rsid w:val="003E588D"/>
    <w:rsid w:val="003E58F2"/>
    <w:rsid w:val="003E5CD7"/>
    <w:rsid w:val="003E635F"/>
    <w:rsid w:val="003E649D"/>
    <w:rsid w:val="003E68FD"/>
    <w:rsid w:val="003E6C2C"/>
    <w:rsid w:val="003E70F0"/>
    <w:rsid w:val="003E71A5"/>
    <w:rsid w:val="003E7332"/>
    <w:rsid w:val="003E7769"/>
    <w:rsid w:val="003E77CE"/>
    <w:rsid w:val="003E7851"/>
    <w:rsid w:val="003E7B5E"/>
    <w:rsid w:val="003E7B62"/>
    <w:rsid w:val="003E7CD4"/>
    <w:rsid w:val="003E7CF2"/>
    <w:rsid w:val="003E7D45"/>
    <w:rsid w:val="003E7E27"/>
    <w:rsid w:val="003F046B"/>
    <w:rsid w:val="003F05E8"/>
    <w:rsid w:val="003F06C0"/>
    <w:rsid w:val="003F0C7B"/>
    <w:rsid w:val="003F0EB5"/>
    <w:rsid w:val="003F10B0"/>
    <w:rsid w:val="003F13DB"/>
    <w:rsid w:val="003F18B6"/>
    <w:rsid w:val="003F199E"/>
    <w:rsid w:val="003F1C24"/>
    <w:rsid w:val="003F1C30"/>
    <w:rsid w:val="003F213D"/>
    <w:rsid w:val="003F2F4B"/>
    <w:rsid w:val="003F3005"/>
    <w:rsid w:val="003F3219"/>
    <w:rsid w:val="003F39CB"/>
    <w:rsid w:val="003F3B68"/>
    <w:rsid w:val="003F3D10"/>
    <w:rsid w:val="003F3E42"/>
    <w:rsid w:val="003F3FD9"/>
    <w:rsid w:val="003F4CC9"/>
    <w:rsid w:val="003F4EA1"/>
    <w:rsid w:val="003F4EDC"/>
    <w:rsid w:val="003F4F78"/>
    <w:rsid w:val="003F50A7"/>
    <w:rsid w:val="003F56F7"/>
    <w:rsid w:val="003F5896"/>
    <w:rsid w:val="003F64EC"/>
    <w:rsid w:val="003F6E5C"/>
    <w:rsid w:val="003F6EBA"/>
    <w:rsid w:val="003F7013"/>
    <w:rsid w:val="003F7016"/>
    <w:rsid w:val="003F730B"/>
    <w:rsid w:val="003F74EB"/>
    <w:rsid w:val="003F7C42"/>
    <w:rsid w:val="003F7E97"/>
    <w:rsid w:val="00400128"/>
    <w:rsid w:val="00400196"/>
    <w:rsid w:val="0040071F"/>
    <w:rsid w:val="00400990"/>
    <w:rsid w:val="00400B26"/>
    <w:rsid w:val="00401004"/>
    <w:rsid w:val="00401026"/>
    <w:rsid w:val="004012A6"/>
    <w:rsid w:val="00401BE1"/>
    <w:rsid w:val="00401C82"/>
    <w:rsid w:val="00402302"/>
    <w:rsid w:val="004023CE"/>
    <w:rsid w:val="00402D0D"/>
    <w:rsid w:val="00402DAA"/>
    <w:rsid w:val="00402E02"/>
    <w:rsid w:val="00403253"/>
    <w:rsid w:val="00403368"/>
    <w:rsid w:val="004034AD"/>
    <w:rsid w:val="0040375C"/>
    <w:rsid w:val="00403813"/>
    <w:rsid w:val="00403AB7"/>
    <w:rsid w:val="00403C9D"/>
    <w:rsid w:val="00404294"/>
    <w:rsid w:val="00404465"/>
    <w:rsid w:val="004046B3"/>
    <w:rsid w:val="00404719"/>
    <w:rsid w:val="00404ADF"/>
    <w:rsid w:val="00405122"/>
    <w:rsid w:val="0040525B"/>
    <w:rsid w:val="00405469"/>
    <w:rsid w:val="0040546F"/>
    <w:rsid w:val="004055C6"/>
    <w:rsid w:val="004055E6"/>
    <w:rsid w:val="004056B9"/>
    <w:rsid w:val="00405E1C"/>
    <w:rsid w:val="00405E45"/>
    <w:rsid w:val="00406608"/>
    <w:rsid w:val="00406707"/>
    <w:rsid w:val="0040695B"/>
    <w:rsid w:val="00406AE9"/>
    <w:rsid w:val="00406B25"/>
    <w:rsid w:val="00406DCA"/>
    <w:rsid w:val="00406F05"/>
    <w:rsid w:val="00406F1F"/>
    <w:rsid w:val="0040703A"/>
    <w:rsid w:val="00407106"/>
    <w:rsid w:val="004071F3"/>
    <w:rsid w:val="00407C1F"/>
    <w:rsid w:val="00410256"/>
    <w:rsid w:val="0041031F"/>
    <w:rsid w:val="004104C3"/>
    <w:rsid w:val="00410914"/>
    <w:rsid w:val="004109C2"/>
    <w:rsid w:val="00410EC1"/>
    <w:rsid w:val="004110BD"/>
    <w:rsid w:val="004113A8"/>
    <w:rsid w:val="00411D3E"/>
    <w:rsid w:val="004122A7"/>
    <w:rsid w:val="004122D2"/>
    <w:rsid w:val="00412623"/>
    <w:rsid w:val="004126A8"/>
    <w:rsid w:val="00412930"/>
    <w:rsid w:val="00412B26"/>
    <w:rsid w:val="00412F2D"/>
    <w:rsid w:val="00412FB8"/>
    <w:rsid w:val="00413255"/>
    <w:rsid w:val="00413257"/>
    <w:rsid w:val="00413285"/>
    <w:rsid w:val="004132B9"/>
    <w:rsid w:val="00413528"/>
    <w:rsid w:val="00413A95"/>
    <w:rsid w:val="00413B17"/>
    <w:rsid w:val="00413E12"/>
    <w:rsid w:val="00413E2A"/>
    <w:rsid w:val="00413F7E"/>
    <w:rsid w:val="004140D5"/>
    <w:rsid w:val="004146A4"/>
    <w:rsid w:val="00414A17"/>
    <w:rsid w:val="00414C0F"/>
    <w:rsid w:val="00414C88"/>
    <w:rsid w:val="00414D38"/>
    <w:rsid w:val="00414F9A"/>
    <w:rsid w:val="00415841"/>
    <w:rsid w:val="004159A4"/>
    <w:rsid w:val="00415D9E"/>
    <w:rsid w:val="004161C1"/>
    <w:rsid w:val="0041625A"/>
    <w:rsid w:val="004168C2"/>
    <w:rsid w:val="004169BA"/>
    <w:rsid w:val="00417064"/>
    <w:rsid w:val="004170FC"/>
    <w:rsid w:val="00417100"/>
    <w:rsid w:val="004173BB"/>
    <w:rsid w:val="00417535"/>
    <w:rsid w:val="004179DA"/>
    <w:rsid w:val="00417E1B"/>
    <w:rsid w:val="00420095"/>
    <w:rsid w:val="00420146"/>
    <w:rsid w:val="00420257"/>
    <w:rsid w:val="0042030A"/>
    <w:rsid w:val="004206CF"/>
    <w:rsid w:val="004208C6"/>
    <w:rsid w:val="00420AAF"/>
    <w:rsid w:val="00420C89"/>
    <w:rsid w:val="00420FBA"/>
    <w:rsid w:val="00421022"/>
    <w:rsid w:val="0042109A"/>
    <w:rsid w:val="00421665"/>
    <w:rsid w:val="004216B1"/>
    <w:rsid w:val="004217DB"/>
    <w:rsid w:val="0042240E"/>
    <w:rsid w:val="004226DE"/>
    <w:rsid w:val="00422BB9"/>
    <w:rsid w:val="00422C4A"/>
    <w:rsid w:val="00422FE6"/>
    <w:rsid w:val="00423184"/>
    <w:rsid w:val="004235AA"/>
    <w:rsid w:val="004236AD"/>
    <w:rsid w:val="0042383A"/>
    <w:rsid w:val="004238B0"/>
    <w:rsid w:val="00423B3A"/>
    <w:rsid w:val="00423F95"/>
    <w:rsid w:val="004243B1"/>
    <w:rsid w:val="00424732"/>
    <w:rsid w:val="004247CE"/>
    <w:rsid w:val="00424DF0"/>
    <w:rsid w:val="004252D6"/>
    <w:rsid w:val="0042559D"/>
    <w:rsid w:val="004259D8"/>
    <w:rsid w:val="004259DA"/>
    <w:rsid w:val="00425BA0"/>
    <w:rsid w:val="00425ED3"/>
    <w:rsid w:val="00425ED9"/>
    <w:rsid w:val="0042650F"/>
    <w:rsid w:val="00426528"/>
    <w:rsid w:val="0042664B"/>
    <w:rsid w:val="0042672F"/>
    <w:rsid w:val="00426733"/>
    <w:rsid w:val="00426932"/>
    <w:rsid w:val="00426C40"/>
    <w:rsid w:val="00426DC5"/>
    <w:rsid w:val="004276D6"/>
    <w:rsid w:val="00427B1A"/>
    <w:rsid w:val="00427BFA"/>
    <w:rsid w:val="00427DC8"/>
    <w:rsid w:val="00427F12"/>
    <w:rsid w:val="004304CB"/>
    <w:rsid w:val="004307E4"/>
    <w:rsid w:val="00430959"/>
    <w:rsid w:val="00430B63"/>
    <w:rsid w:val="00430C8B"/>
    <w:rsid w:val="00431142"/>
    <w:rsid w:val="0043143F"/>
    <w:rsid w:val="0043185C"/>
    <w:rsid w:val="00431C38"/>
    <w:rsid w:val="00431CD0"/>
    <w:rsid w:val="00431EFC"/>
    <w:rsid w:val="00432C40"/>
    <w:rsid w:val="00432FF6"/>
    <w:rsid w:val="004331BF"/>
    <w:rsid w:val="0043358C"/>
    <w:rsid w:val="004336A3"/>
    <w:rsid w:val="0043376F"/>
    <w:rsid w:val="004339BB"/>
    <w:rsid w:val="00433E8A"/>
    <w:rsid w:val="004340D4"/>
    <w:rsid w:val="0043423D"/>
    <w:rsid w:val="00434B1A"/>
    <w:rsid w:val="00434BBA"/>
    <w:rsid w:val="00434C92"/>
    <w:rsid w:val="004353F2"/>
    <w:rsid w:val="0043542D"/>
    <w:rsid w:val="00435480"/>
    <w:rsid w:val="0043550D"/>
    <w:rsid w:val="00435618"/>
    <w:rsid w:val="00435BE7"/>
    <w:rsid w:val="00435D82"/>
    <w:rsid w:val="00435D88"/>
    <w:rsid w:val="00435EF3"/>
    <w:rsid w:val="00436411"/>
    <w:rsid w:val="00436648"/>
    <w:rsid w:val="0043688B"/>
    <w:rsid w:val="00436A11"/>
    <w:rsid w:val="00436E69"/>
    <w:rsid w:val="00436FCA"/>
    <w:rsid w:val="0043761A"/>
    <w:rsid w:val="0043769F"/>
    <w:rsid w:val="004376D4"/>
    <w:rsid w:val="00437AC0"/>
    <w:rsid w:val="00437F2F"/>
    <w:rsid w:val="00437FE9"/>
    <w:rsid w:val="0044037B"/>
    <w:rsid w:val="004403A2"/>
    <w:rsid w:val="0044075F"/>
    <w:rsid w:val="004407C1"/>
    <w:rsid w:val="00440D08"/>
    <w:rsid w:val="00440EA9"/>
    <w:rsid w:val="004415C0"/>
    <w:rsid w:val="00441B29"/>
    <w:rsid w:val="00441E19"/>
    <w:rsid w:val="00442125"/>
    <w:rsid w:val="00442160"/>
    <w:rsid w:val="0044225E"/>
    <w:rsid w:val="0044252C"/>
    <w:rsid w:val="00442CF3"/>
    <w:rsid w:val="00442E33"/>
    <w:rsid w:val="00442E49"/>
    <w:rsid w:val="00442E7E"/>
    <w:rsid w:val="00443121"/>
    <w:rsid w:val="004432DB"/>
    <w:rsid w:val="00443303"/>
    <w:rsid w:val="004439B3"/>
    <w:rsid w:val="00443A61"/>
    <w:rsid w:val="00443BF3"/>
    <w:rsid w:val="00443C14"/>
    <w:rsid w:val="00443C63"/>
    <w:rsid w:val="00443DCF"/>
    <w:rsid w:val="0044410B"/>
    <w:rsid w:val="00444A6B"/>
    <w:rsid w:val="00444A7C"/>
    <w:rsid w:val="00444C60"/>
    <w:rsid w:val="00444EE3"/>
    <w:rsid w:val="00445175"/>
    <w:rsid w:val="0044539F"/>
    <w:rsid w:val="0044554C"/>
    <w:rsid w:val="0044576F"/>
    <w:rsid w:val="00445C3A"/>
    <w:rsid w:val="00445D57"/>
    <w:rsid w:val="00446283"/>
    <w:rsid w:val="00446462"/>
    <w:rsid w:val="0044694F"/>
    <w:rsid w:val="004472E1"/>
    <w:rsid w:val="0044746F"/>
    <w:rsid w:val="004475E7"/>
    <w:rsid w:val="00447729"/>
    <w:rsid w:val="00447DFC"/>
    <w:rsid w:val="0045014E"/>
    <w:rsid w:val="0045017D"/>
    <w:rsid w:val="00450460"/>
    <w:rsid w:val="004504B7"/>
    <w:rsid w:val="0045055C"/>
    <w:rsid w:val="00450663"/>
    <w:rsid w:val="00450695"/>
    <w:rsid w:val="004506C4"/>
    <w:rsid w:val="004512A8"/>
    <w:rsid w:val="00451310"/>
    <w:rsid w:val="00451499"/>
    <w:rsid w:val="004518F3"/>
    <w:rsid w:val="00451CE1"/>
    <w:rsid w:val="00452399"/>
    <w:rsid w:val="00452459"/>
    <w:rsid w:val="00452499"/>
    <w:rsid w:val="0045251C"/>
    <w:rsid w:val="004526B9"/>
    <w:rsid w:val="00452714"/>
    <w:rsid w:val="004527CC"/>
    <w:rsid w:val="00452E6E"/>
    <w:rsid w:val="00452FBB"/>
    <w:rsid w:val="00453232"/>
    <w:rsid w:val="004532E7"/>
    <w:rsid w:val="00453581"/>
    <w:rsid w:val="00453614"/>
    <w:rsid w:val="00453850"/>
    <w:rsid w:val="00453BD5"/>
    <w:rsid w:val="00453E10"/>
    <w:rsid w:val="0045407F"/>
    <w:rsid w:val="00454198"/>
    <w:rsid w:val="004541F1"/>
    <w:rsid w:val="00454259"/>
    <w:rsid w:val="00454261"/>
    <w:rsid w:val="00454481"/>
    <w:rsid w:val="0045448B"/>
    <w:rsid w:val="004544EC"/>
    <w:rsid w:val="00454763"/>
    <w:rsid w:val="00454835"/>
    <w:rsid w:val="00454DD8"/>
    <w:rsid w:val="004552E6"/>
    <w:rsid w:val="0045582B"/>
    <w:rsid w:val="0045626E"/>
    <w:rsid w:val="00456283"/>
    <w:rsid w:val="00456305"/>
    <w:rsid w:val="0045644D"/>
    <w:rsid w:val="00456609"/>
    <w:rsid w:val="0045669E"/>
    <w:rsid w:val="00456725"/>
    <w:rsid w:val="00456948"/>
    <w:rsid w:val="00456CC0"/>
    <w:rsid w:val="00456EAD"/>
    <w:rsid w:val="0045728A"/>
    <w:rsid w:val="00457389"/>
    <w:rsid w:val="004575F0"/>
    <w:rsid w:val="004576F1"/>
    <w:rsid w:val="0045780A"/>
    <w:rsid w:val="00457968"/>
    <w:rsid w:val="00457B75"/>
    <w:rsid w:val="00460129"/>
    <w:rsid w:val="00460146"/>
    <w:rsid w:val="00460405"/>
    <w:rsid w:val="00460CE2"/>
    <w:rsid w:val="00460CF4"/>
    <w:rsid w:val="00460D1F"/>
    <w:rsid w:val="00460EA7"/>
    <w:rsid w:val="004610C5"/>
    <w:rsid w:val="00461173"/>
    <w:rsid w:val="004612AB"/>
    <w:rsid w:val="004614C6"/>
    <w:rsid w:val="00461565"/>
    <w:rsid w:val="0046176D"/>
    <w:rsid w:val="00461891"/>
    <w:rsid w:val="00461C06"/>
    <w:rsid w:val="00461EDD"/>
    <w:rsid w:val="00462222"/>
    <w:rsid w:val="0046224B"/>
    <w:rsid w:val="00462849"/>
    <w:rsid w:val="00462887"/>
    <w:rsid w:val="00462AEA"/>
    <w:rsid w:val="00462B7B"/>
    <w:rsid w:val="00462C9F"/>
    <w:rsid w:val="00462D13"/>
    <w:rsid w:val="00462D2F"/>
    <w:rsid w:val="00462F35"/>
    <w:rsid w:val="00463055"/>
    <w:rsid w:val="00463107"/>
    <w:rsid w:val="00463285"/>
    <w:rsid w:val="004637A4"/>
    <w:rsid w:val="00463803"/>
    <w:rsid w:val="0046389F"/>
    <w:rsid w:val="00463C9C"/>
    <w:rsid w:val="00463CC9"/>
    <w:rsid w:val="00463F84"/>
    <w:rsid w:val="00464848"/>
    <w:rsid w:val="0046497D"/>
    <w:rsid w:val="004649CB"/>
    <w:rsid w:val="00464A6F"/>
    <w:rsid w:val="00464E51"/>
    <w:rsid w:val="004650D0"/>
    <w:rsid w:val="00465256"/>
    <w:rsid w:val="004654F7"/>
    <w:rsid w:val="00465761"/>
    <w:rsid w:val="0046596E"/>
    <w:rsid w:val="004659BB"/>
    <w:rsid w:val="00465FF1"/>
    <w:rsid w:val="00466177"/>
    <w:rsid w:val="004666F9"/>
    <w:rsid w:val="00466867"/>
    <w:rsid w:val="0046693B"/>
    <w:rsid w:val="00466958"/>
    <w:rsid w:val="00466D5C"/>
    <w:rsid w:val="00467236"/>
    <w:rsid w:val="0046723D"/>
    <w:rsid w:val="0046780F"/>
    <w:rsid w:val="00467E4C"/>
    <w:rsid w:val="00470A8E"/>
    <w:rsid w:val="00470DCD"/>
    <w:rsid w:val="004710A1"/>
    <w:rsid w:val="00471220"/>
    <w:rsid w:val="004712B6"/>
    <w:rsid w:val="0047186C"/>
    <w:rsid w:val="0047197D"/>
    <w:rsid w:val="00471B6E"/>
    <w:rsid w:val="00471E43"/>
    <w:rsid w:val="0047232A"/>
    <w:rsid w:val="00472838"/>
    <w:rsid w:val="00472C8D"/>
    <w:rsid w:val="004734A1"/>
    <w:rsid w:val="004736D7"/>
    <w:rsid w:val="00473772"/>
    <w:rsid w:val="00473BF4"/>
    <w:rsid w:val="00473DDE"/>
    <w:rsid w:val="00473DDF"/>
    <w:rsid w:val="0047437B"/>
    <w:rsid w:val="0047446B"/>
    <w:rsid w:val="004745E0"/>
    <w:rsid w:val="0047489C"/>
    <w:rsid w:val="00474950"/>
    <w:rsid w:val="00474CBE"/>
    <w:rsid w:val="004757D2"/>
    <w:rsid w:val="00475874"/>
    <w:rsid w:val="00475F4B"/>
    <w:rsid w:val="00476A3A"/>
    <w:rsid w:val="00476F9F"/>
    <w:rsid w:val="00476FF2"/>
    <w:rsid w:val="00477031"/>
    <w:rsid w:val="004773FD"/>
    <w:rsid w:val="00477441"/>
    <w:rsid w:val="00477963"/>
    <w:rsid w:val="00477AE9"/>
    <w:rsid w:val="00477F96"/>
    <w:rsid w:val="004800D6"/>
    <w:rsid w:val="00480351"/>
    <w:rsid w:val="00480384"/>
    <w:rsid w:val="004803D3"/>
    <w:rsid w:val="00480E43"/>
    <w:rsid w:val="00480E7F"/>
    <w:rsid w:val="004811B7"/>
    <w:rsid w:val="004812FE"/>
    <w:rsid w:val="00481330"/>
    <w:rsid w:val="0048174E"/>
    <w:rsid w:val="00481923"/>
    <w:rsid w:val="00481962"/>
    <w:rsid w:val="00481CC7"/>
    <w:rsid w:val="00482318"/>
    <w:rsid w:val="00482FA7"/>
    <w:rsid w:val="00483166"/>
    <w:rsid w:val="004839A6"/>
    <w:rsid w:val="00483C97"/>
    <w:rsid w:val="00483E6B"/>
    <w:rsid w:val="004841B6"/>
    <w:rsid w:val="0048462F"/>
    <w:rsid w:val="004847DB"/>
    <w:rsid w:val="0048483E"/>
    <w:rsid w:val="0048495D"/>
    <w:rsid w:val="004849C2"/>
    <w:rsid w:val="004849CF"/>
    <w:rsid w:val="00484A48"/>
    <w:rsid w:val="00484F8E"/>
    <w:rsid w:val="0048508B"/>
    <w:rsid w:val="00485453"/>
    <w:rsid w:val="0048583B"/>
    <w:rsid w:val="004858F6"/>
    <w:rsid w:val="00485A21"/>
    <w:rsid w:val="00485A41"/>
    <w:rsid w:val="00485ACB"/>
    <w:rsid w:val="00485C81"/>
    <w:rsid w:val="00485C9D"/>
    <w:rsid w:val="00485F70"/>
    <w:rsid w:val="004862DF"/>
    <w:rsid w:val="00486979"/>
    <w:rsid w:val="00486E9F"/>
    <w:rsid w:val="00486FCE"/>
    <w:rsid w:val="004872AE"/>
    <w:rsid w:val="004900C7"/>
    <w:rsid w:val="0049047F"/>
    <w:rsid w:val="004905C2"/>
    <w:rsid w:val="0049092C"/>
    <w:rsid w:val="00490BD6"/>
    <w:rsid w:val="00490D03"/>
    <w:rsid w:val="00490F72"/>
    <w:rsid w:val="00491199"/>
    <w:rsid w:val="00491615"/>
    <w:rsid w:val="00491AF5"/>
    <w:rsid w:val="00491F05"/>
    <w:rsid w:val="00491FEB"/>
    <w:rsid w:val="0049231C"/>
    <w:rsid w:val="00492608"/>
    <w:rsid w:val="00492A28"/>
    <w:rsid w:val="00492B59"/>
    <w:rsid w:val="00492BE9"/>
    <w:rsid w:val="00493143"/>
    <w:rsid w:val="004931AB"/>
    <w:rsid w:val="0049337B"/>
    <w:rsid w:val="004933C2"/>
    <w:rsid w:val="00493718"/>
    <w:rsid w:val="00493819"/>
    <w:rsid w:val="00493959"/>
    <w:rsid w:val="00493E19"/>
    <w:rsid w:val="00494262"/>
    <w:rsid w:val="0049450F"/>
    <w:rsid w:val="004945D7"/>
    <w:rsid w:val="004945EE"/>
    <w:rsid w:val="004947A9"/>
    <w:rsid w:val="00494F1D"/>
    <w:rsid w:val="00494FC4"/>
    <w:rsid w:val="004957FD"/>
    <w:rsid w:val="00495846"/>
    <w:rsid w:val="00495F8F"/>
    <w:rsid w:val="00496357"/>
    <w:rsid w:val="00496392"/>
    <w:rsid w:val="0049645F"/>
    <w:rsid w:val="004967FD"/>
    <w:rsid w:val="00496EC1"/>
    <w:rsid w:val="004978E4"/>
    <w:rsid w:val="00497B09"/>
    <w:rsid w:val="00497BE1"/>
    <w:rsid w:val="00497D9C"/>
    <w:rsid w:val="00497E46"/>
    <w:rsid w:val="00497F1B"/>
    <w:rsid w:val="00497FE3"/>
    <w:rsid w:val="004A008A"/>
    <w:rsid w:val="004A0792"/>
    <w:rsid w:val="004A10D5"/>
    <w:rsid w:val="004A12D0"/>
    <w:rsid w:val="004A1487"/>
    <w:rsid w:val="004A149B"/>
    <w:rsid w:val="004A1AB3"/>
    <w:rsid w:val="004A1AB6"/>
    <w:rsid w:val="004A1D60"/>
    <w:rsid w:val="004A1F23"/>
    <w:rsid w:val="004A1F7D"/>
    <w:rsid w:val="004A1FF6"/>
    <w:rsid w:val="004A2A51"/>
    <w:rsid w:val="004A2AF8"/>
    <w:rsid w:val="004A2C6A"/>
    <w:rsid w:val="004A2FEA"/>
    <w:rsid w:val="004A3023"/>
    <w:rsid w:val="004A3042"/>
    <w:rsid w:val="004A3177"/>
    <w:rsid w:val="004A31A0"/>
    <w:rsid w:val="004A33CB"/>
    <w:rsid w:val="004A346D"/>
    <w:rsid w:val="004A3A60"/>
    <w:rsid w:val="004A3AA6"/>
    <w:rsid w:val="004A3B1D"/>
    <w:rsid w:val="004A3CAF"/>
    <w:rsid w:val="004A3D40"/>
    <w:rsid w:val="004A3E43"/>
    <w:rsid w:val="004A490F"/>
    <w:rsid w:val="004A4AFF"/>
    <w:rsid w:val="004A4E40"/>
    <w:rsid w:val="004A4E4F"/>
    <w:rsid w:val="004A50FF"/>
    <w:rsid w:val="004A5374"/>
    <w:rsid w:val="004A53DB"/>
    <w:rsid w:val="004A58DE"/>
    <w:rsid w:val="004A59BE"/>
    <w:rsid w:val="004A5F29"/>
    <w:rsid w:val="004A6000"/>
    <w:rsid w:val="004A6060"/>
    <w:rsid w:val="004A64C1"/>
    <w:rsid w:val="004A6956"/>
    <w:rsid w:val="004A69C3"/>
    <w:rsid w:val="004A6B05"/>
    <w:rsid w:val="004A6F93"/>
    <w:rsid w:val="004A7036"/>
    <w:rsid w:val="004A771F"/>
    <w:rsid w:val="004A7799"/>
    <w:rsid w:val="004A7EA3"/>
    <w:rsid w:val="004A7FDE"/>
    <w:rsid w:val="004B021B"/>
    <w:rsid w:val="004B0245"/>
    <w:rsid w:val="004B0324"/>
    <w:rsid w:val="004B05DD"/>
    <w:rsid w:val="004B0B76"/>
    <w:rsid w:val="004B0C3B"/>
    <w:rsid w:val="004B0F75"/>
    <w:rsid w:val="004B1470"/>
    <w:rsid w:val="004B158F"/>
    <w:rsid w:val="004B1804"/>
    <w:rsid w:val="004B1881"/>
    <w:rsid w:val="004B1889"/>
    <w:rsid w:val="004B1B79"/>
    <w:rsid w:val="004B1C3D"/>
    <w:rsid w:val="004B206D"/>
    <w:rsid w:val="004B2156"/>
    <w:rsid w:val="004B21D8"/>
    <w:rsid w:val="004B23F1"/>
    <w:rsid w:val="004B24A3"/>
    <w:rsid w:val="004B2588"/>
    <w:rsid w:val="004B2710"/>
    <w:rsid w:val="004B2919"/>
    <w:rsid w:val="004B2D87"/>
    <w:rsid w:val="004B2DC8"/>
    <w:rsid w:val="004B2E25"/>
    <w:rsid w:val="004B2F7A"/>
    <w:rsid w:val="004B3280"/>
    <w:rsid w:val="004B333A"/>
    <w:rsid w:val="004B39D4"/>
    <w:rsid w:val="004B3FC5"/>
    <w:rsid w:val="004B408D"/>
    <w:rsid w:val="004B424B"/>
    <w:rsid w:val="004B4324"/>
    <w:rsid w:val="004B4328"/>
    <w:rsid w:val="004B44FC"/>
    <w:rsid w:val="004B53AD"/>
    <w:rsid w:val="004B56A6"/>
    <w:rsid w:val="004B5D29"/>
    <w:rsid w:val="004B6099"/>
    <w:rsid w:val="004B61CD"/>
    <w:rsid w:val="004B6318"/>
    <w:rsid w:val="004B64A8"/>
    <w:rsid w:val="004B68A1"/>
    <w:rsid w:val="004B6B5B"/>
    <w:rsid w:val="004B6ECA"/>
    <w:rsid w:val="004B6EDC"/>
    <w:rsid w:val="004B75C1"/>
    <w:rsid w:val="004B7D91"/>
    <w:rsid w:val="004B7E5B"/>
    <w:rsid w:val="004B7FDA"/>
    <w:rsid w:val="004C03A5"/>
    <w:rsid w:val="004C0527"/>
    <w:rsid w:val="004C0750"/>
    <w:rsid w:val="004C0AF4"/>
    <w:rsid w:val="004C0D14"/>
    <w:rsid w:val="004C0FD2"/>
    <w:rsid w:val="004C110C"/>
    <w:rsid w:val="004C1158"/>
    <w:rsid w:val="004C142B"/>
    <w:rsid w:val="004C1C1B"/>
    <w:rsid w:val="004C1E40"/>
    <w:rsid w:val="004C2F49"/>
    <w:rsid w:val="004C31B5"/>
    <w:rsid w:val="004C34BD"/>
    <w:rsid w:val="004C38AD"/>
    <w:rsid w:val="004C43A2"/>
    <w:rsid w:val="004C442D"/>
    <w:rsid w:val="004C4564"/>
    <w:rsid w:val="004C4649"/>
    <w:rsid w:val="004C5BA8"/>
    <w:rsid w:val="004C5D6A"/>
    <w:rsid w:val="004C623B"/>
    <w:rsid w:val="004C64BB"/>
    <w:rsid w:val="004C66C1"/>
    <w:rsid w:val="004C6980"/>
    <w:rsid w:val="004C6AB3"/>
    <w:rsid w:val="004C6EAA"/>
    <w:rsid w:val="004C7217"/>
    <w:rsid w:val="004C7736"/>
    <w:rsid w:val="004C7811"/>
    <w:rsid w:val="004C7984"/>
    <w:rsid w:val="004C7B3E"/>
    <w:rsid w:val="004C7CC7"/>
    <w:rsid w:val="004C7D26"/>
    <w:rsid w:val="004C7D90"/>
    <w:rsid w:val="004C7D93"/>
    <w:rsid w:val="004D035E"/>
    <w:rsid w:val="004D04C5"/>
    <w:rsid w:val="004D0750"/>
    <w:rsid w:val="004D0B92"/>
    <w:rsid w:val="004D0CBB"/>
    <w:rsid w:val="004D0D24"/>
    <w:rsid w:val="004D0E90"/>
    <w:rsid w:val="004D1291"/>
    <w:rsid w:val="004D14CA"/>
    <w:rsid w:val="004D17BE"/>
    <w:rsid w:val="004D1B7A"/>
    <w:rsid w:val="004D1E6D"/>
    <w:rsid w:val="004D213E"/>
    <w:rsid w:val="004D2196"/>
    <w:rsid w:val="004D221D"/>
    <w:rsid w:val="004D2299"/>
    <w:rsid w:val="004D22AA"/>
    <w:rsid w:val="004D25CE"/>
    <w:rsid w:val="004D27DB"/>
    <w:rsid w:val="004D286D"/>
    <w:rsid w:val="004D2BB1"/>
    <w:rsid w:val="004D32D3"/>
    <w:rsid w:val="004D357C"/>
    <w:rsid w:val="004D3800"/>
    <w:rsid w:val="004D39F3"/>
    <w:rsid w:val="004D3A46"/>
    <w:rsid w:val="004D3B2E"/>
    <w:rsid w:val="004D4606"/>
    <w:rsid w:val="004D4739"/>
    <w:rsid w:val="004D4B5F"/>
    <w:rsid w:val="004D4F55"/>
    <w:rsid w:val="004D57DF"/>
    <w:rsid w:val="004D5AAC"/>
    <w:rsid w:val="004D5F02"/>
    <w:rsid w:val="004D5FFF"/>
    <w:rsid w:val="004D670F"/>
    <w:rsid w:val="004D6C8C"/>
    <w:rsid w:val="004D6C97"/>
    <w:rsid w:val="004D730F"/>
    <w:rsid w:val="004D7650"/>
    <w:rsid w:val="004D77BD"/>
    <w:rsid w:val="004D7B0E"/>
    <w:rsid w:val="004E00A2"/>
    <w:rsid w:val="004E0127"/>
    <w:rsid w:val="004E0938"/>
    <w:rsid w:val="004E0E4A"/>
    <w:rsid w:val="004E1276"/>
    <w:rsid w:val="004E1428"/>
    <w:rsid w:val="004E1AC9"/>
    <w:rsid w:val="004E1B3C"/>
    <w:rsid w:val="004E1EB8"/>
    <w:rsid w:val="004E211D"/>
    <w:rsid w:val="004E24C0"/>
    <w:rsid w:val="004E24E0"/>
    <w:rsid w:val="004E2532"/>
    <w:rsid w:val="004E25BE"/>
    <w:rsid w:val="004E28C4"/>
    <w:rsid w:val="004E2A21"/>
    <w:rsid w:val="004E2AB3"/>
    <w:rsid w:val="004E2FED"/>
    <w:rsid w:val="004E306C"/>
    <w:rsid w:val="004E341F"/>
    <w:rsid w:val="004E350E"/>
    <w:rsid w:val="004E3960"/>
    <w:rsid w:val="004E3CB8"/>
    <w:rsid w:val="004E417F"/>
    <w:rsid w:val="004E4229"/>
    <w:rsid w:val="004E44A0"/>
    <w:rsid w:val="004E480F"/>
    <w:rsid w:val="004E4AF6"/>
    <w:rsid w:val="004E5410"/>
    <w:rsid w:val="004E5803"/>
    <w:rsid w:val="004E5A71"/>
    <w:rsid w:val="004E5B04"/>
    <w:rsid w:val="004E5CAE"/>
    <w:rsid w:val="004E5E9B"/>
    <w:rsid w:val="004E6486"/>
    <w:rsid w:val="004E664B"/>
    <w:rsid w:val="004E6678"/>
    <w:rsid w:val="004E6845"/>
    <w:rsid w:val="004E6873"/>
    <w:rsid w:val="004E6C2A"/>
    <w:rsid w:val="004E6E66"/>
    <w:rsid w:val="004E72B6"/>
    <w:rsid w:val="004E7501"/>
    <w:rsid w:val="004E7615"/>
    <w:rsid w:val="004E7721"/>
    <w:rsid w:val="004E7D0C"/>
    <w:rsid w:val="004E7D58"/>
    <w:rsid w:val="004E7EDE"/>
    <w:rsid w:val="004E7EFC"/>
    <w:rsid w:val="004E7F9A"/>
    <w:rsid w:val="004F0143"/>
    <w:rsid w:val="004F01E9"/>
    <w:rsid w:val="004F0846"/>
    <w:rsid w:val="004F1045"/>
    <w:rsid w:val="004F10E1"/>
    <w:rsid w:val="004F186B"/>
    <w:rsid w:val="004F1AAF"/>
    <w:rsid w:val="004F1B5C"/>
    <w:rsid w:val="004F221D"/>
    <w:rsid w:val="004F23DC"/>
    <w:rsid w:val="004F23E5"/>
    <w:rsid w:val="004F24A3"/>
    <w:rsid w:val="004F2722"/>
    <w:rsid w:val="004F2816"/>
    <w:rsid w:val="004F2FC1"/>
    <w:rsid w:val="004F3348"/>
    <w:rsid w:val="004F35FA"/>
    <w:rsid w:val="004F3C51"/>
    <w:rsid w:val="004F3E81"/>
    <w:rsid w:val="004F3F7A"/>
    <w:rsid w:val="004F419B"/>
    <w:rsid w:val="004F47AE"/>
    <w:rsid w:val="004F4D2E"/>
    <w:rsid w:val="004F4DCE"/>
    <w:rsid w:val="004F525F"/>
    <w:rsid w:val="004F54EF"/>
    <w:rsid w:val="004F5A51"/>
    <w:rsid w:val="004F5B64"/>
    <w:rsid w:val="004F5B6E"/>
    <w:rsid w:val="004F5B89"/>
    <w:rsid w:val="004F5F22"/>
    <w:rsid w:val="004F724B"/>
    <w:rsid w:val="004F7340"/>
    <w:rsid w:val="004F79CF"/>
    <w:rsid w:val="004F7A9D"/>
    <w:rsid w:val="004F7E9E"/>
    <w:rsid w:val="004F7F77"/>
    <w:rsid w:val="005001E8"/>
    <w:rsid w:val="00500532"/>
    <w:rsid w:val="0050074E"/>
    <w:rsid w:val="0050099B"/>
    <w:rsid w:val="00500C1F"/>
    <w:rsid w:val="005011FA"/>
    <w:rsid w:val="00501500"/>
    <w:rsid w:val="00501754"/>
    <w:rsid w:val="00501970"/>
    <w:rsid w:val="0050198A"/>
    <w:rsid w:val="00501DB9"/>
    <w:rsid w:val="00502008"/>
    <w:rsid w:val="00502513"/>
    <w:rsid w:val="0050279A"/>
    <w:rsid w:val="00502812"/>
    <w:rsid w:val="00502A62"/>
    <w:rsid w:val="00502B1E"/>
    <w:rsid w:val="00502D46"/>
    <w:rsid w:val="00502F83"/>
    <w:rsid w:val="00503141"/>
    <w:rsid w:val="00503355"/>
    <w:rsid w:val="005033A5"/>
    <w:rsid w:val="00503708"/>
    <w:rsid w:val="00503810"/>
    <w:rsid w:val="00503C0E"/>
    <w:rsid w:val="00503CAC"/>
    <w:rsid w:val="00504049"/>
    <w:rsid w:val="005042C5"/>
    <w:rsid w:val="005048C2"/>
    <w:rsid w:val="00504AD2"/>
    <w:rsid w:val="00504B4E"/>
    <w:rsid w:val="00504BDA"/>
    <w:rsid w:val="00504D81"/>
    <w:rsid w:val="00504F34"/>
    <w:rsid w:val="00505004"/>
    <w:rsid w:val="00505630"/>
    <w:rsid w:val="00505745"/>
    <w:rsid w:val="00505EA4"/>
    <w:rsid w:val="00506071"/>
    <w:rsid w:val="005061F1"/>
    <w:rsid w:val="0050626D"/>
    <w:rsid w:val="0050639B"/>
    <w:rsid w:val="005063DD"/>
    <w:rsid w:val="005064C4"/>
    <w:rsid w:val="005066E5"/>
    <w:rsid w:val="00506A12"/>
    <w:rsid w:val="00506C2C"/>
    <w:rsid w:val="00506C36"/>
    <w:rsid w:val="00507104"/>
    <w:rsid w:val="00507250"/>
    <w:rsid w:val="0050728F"/>
    <w:rsid w:val="00507568"/>
    <w:rsid w:val="00507827"/>
    <w:rsid w:val="005078B7"/>
    <w:rsid w:val="00507A40"/>
    <w:rsid w:val="00507C09"/>
    <w:rsid w:val="0051008F"/>
    <w:rsid w:val="0051082A"/>
    <w:rsid w:val="00510858"/>
    <w:rsid w:val="005108CE"/>
    <w:rsid w:val="00510990"/>
    <w:rsid w:val="00510A73"/>
    <w:rsid w:val="00510C62"/>
    <w:rsid w:val="00510DD6"/>
    <w:rsid w:val="00511056"/>
    <w:rsid w:val="005110D6"/>
    <w:rsid w:val="005113A6"/>
    <w:rsid w:val="00511628"/>
    <w:rsid w:val="0051177E"/>
    <w:rsid w:val="005117F1"/>
    <w:rsid w:val="00511DF7"/>
    <w:rsid w:val="00511EE3"/>
    <w:rsid w:val="005124FD"/>
    <w:rsid w:val="00512550"/>
    <w:rsid w:val="0051264F"/>
    <w:rsid w:val="005129AF"/>
    <w:rsid w:val="00512A63"/>
    <w:rsid w:val="00513026"/>
    <w:rsid w:val="005134FE"/>
    <w:rsid w:val="00513975"/>
    <w:rsid w:val="00513BC4"/>
    <w:rsid w:val="005146CA"/>
    <w:rsid w:val="00514763"/>
    <w:rsid w:val="0051485A"/>
    <w:rsid w:val="00514B37"/>
    <w:rsid w:val="00514E7D"/>
    <w:rsid w:val="00514EBF"/>
    <w:rsid w:val="00515002"/>
    <w:rsid w:val="0051515B"/>
    <w:rsid w:val="00515175"/>
    <w:rsid w:val="0051518D"/>
    <w:rsid w:val="0051530C"/>
    <w:rsid w:val="005155E8"/>
    <w:rsid w:val="00515977"/>
    <w:rsid w:val="00515AE0"/>
    <w:rsid w:val="00515C90"/>
    <w:rsid w:val="00515DAD"/>
    <w:rsid w:val="00515E7E"/>
    <w:rsid w:val="00516529"/>
    <w:rsid w:val="0051701C"/>
    <w:rsid w:val="00517086"/>
    <w:rsid w:val="00517205"/>
    <w:rsid w:val="005178CE"/>
    <w:rsid w:val="00517B4F"/>
    <w:rsid w:val="005207F6"/>
    <w:rsid w:val="005208A1"/>
    <w:rsid w:val="005209D5"/>
    <w:rsid w:val="00520A75"/>
    <w:rsid w:val="00520BFD"/>
    <w:rsid w:val="00520D83"/>
    <w:rsid w:val="00520F4F"/>
    <w:rsid w:val="005220EC"/>
    <w:rsid w:val="00522347"/>
    <w:rsid w:val="0052267C"/>
    <w:rsid w:val="00522D21"/>
    <w:rsid w:val="00522DEB"/>
    <w:rsid w:val="00522E4C"/>
    <w:rsid w:val="00522FFD"/>
    <w:rsid w:val="0052321D"/>
    <w:rsid w:val="00523AD6"/>
    <w:rsid w:val="00523C15"/>
    <w:rsid w:val="00523E46"/>
    <w:rsid w:val="00523F46"/>
    <w:rsid w:val="00523FB9"/>
    <w:rsid w:val="00523FF4"/>
    <w:rsid w:val="005241FB"/>
    <w:rsid w:val="005244DD"/>
    <w:rsid w:val="0052476D"/>
    <w:rsid w:val="005247EF"/>
    <w:rsid w:val="00524921"/>
    <w:rsid w:val="00524CBB"/>
    <w:rsid w:val="00524DB7"/>
    <w:rsid w:val="00525313"/>
    <w:rsid w:val="0052582B"/>
    <w:rsid w:val="00525F2E"/>
    <w:rsid w:val="005264FD"/>
    <w:rsid w:val="00526AFA"/>
    <w:rsid w:val="00526CD4"/>
    <w:rsid w:val="00527194"/>
    <w:rsid w:val="00527495"/>
    <w:rsid w:val="00527630"/>
    <w:rsid w:val="0053088D"/>
    <w:rsid w:val="0053092C"/>
    <w:rsid w:val="00530D80"/>
    <w:rsid w:val="00530DD2"/>
    <w:rsid w:val="00530DE9"/>
    <w:rsid w:val="00530F2D"/>
    <w:rsid w:val="00531310"/>
    <w:rsid w:val="00531406"/>
    <w:rsid w:val="00531870"/>
    <w:rsid w:val="00531C12"/>
    <w:rsid w:val="00532534"/>
    <w:rsid w:val="0053256C"/>
    <w:rsid w:val="005326BA"/>
    <w:rsid w:val="005328CD"/>
    <w:rsid w:val="00532A38"/>
    <w:rsid w:val="00533011"/>
    <w:rsid w:val="0053317F"/>
    <w:rsid w:val="0053330D"/>
    <w:rsid w:val="00533428"/>
    <w:rsid w:val="00533711"/>
    <w:rsid w:val="00533817"/>
    <w:rsid w:val="00533828"/>
    <w:rsid w:val="005339AF"/>
    <w:rsid w:val="00533D4F"/>
    <w:rsid w:val="00533F38"/>
    <w:rsid w:val="00534172"/>
    <w:rsid w:val="00534A18"/>
    <w:rsid w:val="00534A61"/>
    <w:rsid w:val="0053508E"/>
    <w:rsid w:val="005351A1"/>
    <w:rsid w:val="005352FE"/>
    <w:rsid w:val="00535573"/>
    <w:rsid w:val="00535EA2"/>
    <w:rsid w:val="00535FE4"/>
    <w:rsid w:val="00536181"/>
    <w:rsid w:val="00536281"/>
    <w:rsid w:val="0053694B"/>
    <w:rsid w:val="00536B2C"/>
    <w:rsid w:val="00536FCD"/>
    <w:rsid w:val="00536FDE"/>
    <w:rsid w:val="0053702A"/>
    <w:rsid w:val="005374FE"/>
    <w:rsid w:val="005375F4"/>
    <w:rsid w:val="00537704"/>
    <w:rsid w:val="0053780A"/>
    <w:rsid w:val="005378BA"/>
    <w:rsid w:val="00537920"/>
    <w:rsid w:val="00537A9F"/>
    <w:rsid w:val="0054018C"/>
    <w:rsid w:val="0054036C"/>
    <w:rsid w:val="005408DF"/>
    <w:rsid w:val="00540A3C"/>
    <w:rsid w:val="00540AA2"/>
    <w:rsid w:val="00540B31"/>
    <w:rsid w:val="00540F7A"/>
    <w:rsid w:val="005411BD"/>
    <w:rsid w:val="0054127C"/>
    <w:rsid w:val="005414F6"/>
    <w:rsid w:val="005416D8"/>
    <w:rsid w:val="00542073"/>
    <w:rsid w:val="005422E7"/>
    <w:rsid w:val="00542701"/>
    <w:rsid w:val="0054298C"/>
    <w:rsid w:val="00542AA3"/>
    <w:rsid w:val="00542BA7"/>
    <w:rsid w:val="00542E68"/>
    <w:rsid w:val="00542E6C"/>
    <w:rsid w:val="00543042"/>
    <w:rsid w:val="005431B8"/>
    <w:rsid w:val="0054363A"/>
    <w:rsid w:val="0054399B"/>
    <w:rsid w:val="00543D8A"/>
    <w:rsid w:val="005441AC"/>
    <w:rsid w:val="00544541"/>
    <w:rsid w:val="005447F4"/>
    <w:rsid w:val="00544839"/>
    <w:rsid w:val="0054497D"/>
    <w:rsid w:val="00544BC2"/>
    <w:rsid w:val="005450CB"/>
    <w:rsid w:val="00545386"/>
    <w:rsid w:val="005454E3"/>
    <w:rsid w:val="00545B0A"/>
    <w:rsid w:val="00545C50"/>
    <w:rsid w:val="00545DF3"/>
    <w:rsid w:val="005461C1"/>
    <w:rsid w:val="00546378"/>
    <w:rsid w:val="005463DE"/>
    <w:rsid w:val="00546BC8"/>
    <w:rsid w:val="00546BE1"/>
    <w:rsid w:val="00546C59"/>
    <w:rsid w:val="00546E5A"/>
    <w:rsid w:val="00547154"/>
    <w:rsid w:val="00547208"/>
    <w:rsid w:val="0054766B"/>
    <w:rsid w:val="0054773B"/>
    <w:rsid w:val="005477BE"/>
    <w:rsid w:val="00547927"/>
    <w:rsid w:val="00547B8F"/>
    <w:rsid w:val="005500C7"/>
    <w:rsid w:val="0055013D"/>
    <w:rsid w:val="0055033F"/>
    <w:rsid w:val="00550565"/>
    <w:rsid w:val="00550AC9"/>
    <w:rsid w:val="00551403"/>
    <w:rsid w:val="0055141A"/>
    <w:rsid w:val="005514A2"/>
    <w:rsid w:val="0055154E"/>
    <w:rsid w:val="00551669"/>
    <w:rsid w:val="005516F7"/>
    <w:rsid w:val="00551A11"/>
    <w:rsid w:val="00552062"/>
    <w:rsid w:val="005522B2"/>
    <w:rsid w:val="005525F5"/>
    <w:rsid w:val="00552721"/>
    <w:rsid w:val="00552ACB"/>
    <w:rsid w:val="00552E8B"/>
    <w:rsid w:val="00552EF1"/>
    <w:rsid w:val="0055325C"/>
    <w:rsid w:val="005535BB"/>
    <w:rsid w:val="005535E4"/>
    <w:rsid w:val="00553670"/>
    <w:rsid w:val="005536C2"/>
    <w:rsid w:val="00553D26"/>
    <w:rsid w:val="00553DDA"/>
    <w:rsid w:val="00553F59"/>
    <w:rsid w:val="00553F99"/>
    <w:rsid w:val="00554049"/>
    <w:rsid w:val="00554835"/>
    <w:rsid w:val="00554F1E"/>
    <w:rsid w:val="00554FD4"/>
    <w:rsid w:val="005552AF"/>
    <w:rsid w:val="0055555A"/>
    <w:rsid w:val="0055580C"/>
    <w:rsid w:val="0055614F"/>
    <w:rsid w:val="005565E1"/>
    <w:rsid w:val="0055662F"/>
    <w:rsid w:val="00556A14"/>
    <w:rsid w:val="00556A30"/>
    <w:rsid w:val="00556C97"/>
    <w:rsid w:val="00556DDC"/>
    <w:rsid w:val="0055703D"/>
    <w:rsid w:val="00557105"/>
    <w:rsid w:val="005571C8"/>
    <w:rsid w:val="005572CC"/>
    <w:rsid w:val="0055751D"/>
    <w:rsid w:val="00557E04"/>
    <w:rsid w:val="00557E12"/>
    <w:rsid w:val="00560386"/>
    <w:rsid w:val="0056089D"/>
    <w:rsid w:val="00560E06"/>
    <w:rsid w:val="00560EFA"/>
    <w:rsid w:val="00561311"/>
    <w:rsid w:val="00561944"/>
    <w:rsid w:val="00561F1F"/>
    <w:rsid w:val="00561F88"/>
    <w:rsid w:val="00561F8D"/>
    <w:rsid w:val="0056202D"/>
    <w:rsid w:val="00562095"/>
    <w:rsid w:val="005622A1"/>
    <w:rsid w:val="005623A7"/>
    <w:rsid w:val="0056318F"/>
    <w:rsid w:val="00563524"/>
    <w:rsid w:val="0056372D"/>
    <w:rsid w:val="00563834"/>
    <w:rsid w:val="00563937"/>
    <w:rsid w:val="00563983"/>
    <w:rsid w:val="00563A1A"/>
    <w:rsid w:val="00563AC8"/>
    <w:rsid w:val="00563C02"/>
    <w:rsid w:val="005641CF"/>
    <w:rsid w:val="0056450F"/>
    <w:rsid w:val="00564571"/>
    <w:rsid w:val="00564694"/>
    <w:rsid w:val="005646E6"/>
    <w:rsid w:val="005648AE"/>
    <w:rsid w:val="00564973"/>
    <w:rsid w:val="00564BD1"/>
    <w:rsid w:val="00564C67"/>
    <w:rsid w:val="00564D0C"/>
    <w:rsid w:val="00564DA4"/>
    <w:rsid w:val="00564ED2"/>
    <w:rsid w:val="005656AB"/>
    <w:rsid w:val="00565886"/>
    <w:rsid w:val="005659EE"/>
    <w:rsid w:val="00565B2D"/>
    <w:rsid w:val="00565B6B"/>
    <w:rsid w:val="00565E13"/>
    <w:rsid w:val="0056654A"/>
    <w:rsid w:val="00566653"/>
    <w:rsid w:val="0056674C"/>
    <w:rsid w:val="005667CA"/>
    <w:rsid w:val="0056701E"/>
    <w:rsid w:val="005673D1"/>
    <w:rsid w:val="0056747E"/>
    <w:rsid w:val="00567773"/>
    <w:rsid w:val="005677E0"/>
    <w:rsid w:val="0056794C"/>
    <w:rsid w:val="00567BB2"/>
    <w:rsid w:val="00567CEA"/>
    <w:rsid w:val="00567FE8"/>
    <w:rsid w:val="00570111"/>
    <w:rsid w:val="005701E4"/>
    <w:rsid w:val="0057062A"/>
    <w:rsid w:val="005709A5"/>
    <w:rsid w:val="00570E3E"/>
    <w:rsid w:val="00570FF5"/>
    <w:rsid w:val="00571010"/>
    <w:rsid w:val="00571784"/>
    <w:rsid w:val="005724A4"/>
    <w:rsid w:val="005724D2"/>
    <w:rsid w:val="005725B9"/>
    <w:rsid w:val="00572620"/>
    <w:rsid w:val="00572816"/>
    <w:rsid w:val="00572C16"/>
    <w:rsid w:val="00572C2F"/>
    <w:rsid w:val="00573748"/>
    <w:rsid w:val="00573776"/>
    <w:rsid w:val="00573869"/>
    <w:rsid w:val="005739A1"/>
    <w:rsid w:val="00573B35"/>
    <w:rsid w:val="00573ED5"/>
    <w:rsid w:val="0057480A"/>
    <w:rsid w:val="00574C08"/>
    <w:rsid w:val="00574D64"/>
    <w:rsid w:val="00574E8B"/>
    <w:rsid w:val="0057521A"/>
    <w:rsid w:val="005752E4"/>
    <w:rsid w:val="005754FB"/>
    <w:rsid w:val="00575898"/>
    <w:rsid w:val="00575A88"/>
    <w:rsid w:val="00575F59"/>
    <w:rsid w:val="00576188"/>
    <w:rsid w:val="00576790"/>
    <w:rsid w:val="005768CB"/>
    <w:rsid w:val="00576B10"/>
    <w:rsid w:val="00576C27"/>
    <w:rsid w:val="00576C33"/>
    <w:rsid w:val="00577005"/>
    <w:rsid w:val="00577553"/>
    <w:rsid w:val="005776E0"/>
    <w:rsid w:val="005779F5"/>
    <w:rsid w:val="00577E80"/>
    <w:rsid w:val="005805F0"/>
    <w:rsid w:val="005806A8"/>
    <w:rsid w:val="005806AC"/>
    <w:rsid w:val="005806ED"/>
    <w:rsid w:val="0058083B"/>
    <w:rsid w:val="005809EC"/>
    <w:rsid w:val="00581167"/>
    <w:rsid w:val="0058177E"/>
    <w:rsid w:val="0058195A"/>
    <w:rsid w:val="005819CF"/>
    <w:rsid w:val="00581AC0"/>
    <w:rsid w:val="00581F5F"/>
    <w:rsid w:val="00582024"/>
    <w:rsid w:val="00582191"/>
    <w:rsid w:val="005823AE"/>
    <w:rsid w:val="005823D0"/>
    <w:rsid w:val="00582427"/>
    <w:rsid w:val="0058251C"/>
    <w:rsid w:val="005827F2"/>
    <w:rsid w:val="005828D2"/>
    <w:rsid w:val="005828D9"/>
    <w:rsid w:val="00582C7D"/>
    <w:rsid w:val="00582CE1"/>
    <w:rsid w:val="00582EA0"/>
    <w:rsid w:val="005839A5"/>
    <w:rsid w:val="005840BA"/>
    <w:rsid w:val="0058411C"/>
    <w:rsid w:val="005842EF"/>
    <w:rsid w:val="00584365"/>
    <w:rsid w:val="0058437B"/>
    <w:rsid w:val="00584419"/>
    <w:rsid w:val="00584444"/>
    <w:rsid w:val="00584485"/>
    <w:rsid w:val="005844B3"/>
    <w:rsid w:val="00584F6C"/>
    <w:rsid w:val="00585366"/>
    <w:rsid w:val="00585430"/>
    <w:rsid w:val="00585D7D"/>
    <w:rsid w:val="0058608C"/>
    <w:rsid w:val="005868C9"/>
    <w:rsid w:val="00586999"/>
    <w:rsid w:val="00586A07"/>
    <w:rsid w:val="00587001"/>
    <w:rsid w:val="00587009"/>
    <w:rsid w:val="00587294"/>
    <w:rsid w:val="0058746C"/>
    <w:rsid w:val="00587607"/>
    <w:rsid w:val="005876AF"/>
    <w:rsid w:val="005876FA"/>
    <w:rsid w:val="005879FB"/>
    <w:rsid w:val="005900A8"/>
    <w:rsid w:val="00590101"/>
    <w:rsid w:val="005906BE"/>
    <w:rsid w:val="005908FE"/>
    <w:rsid w:val="00590962"/>
    <w:rsid w:val="00590AC8"/>
    <w:rsid w:val="00590AC9"/>
    <w:rsid w:val="00590B36"/>
    <w:rsid w:val="00591056"/>
    <w:rsid w:val="00591122"/>
    <w:rsid w:val="0059112C"/>
    <w:rsid w:val="00591375"/>
    <w:rsid w:val="005918D0"/>
    <w:rsid w:val="00591AB5"/>
    <w:rsid w:val="00591B7B"/>
    <w:rsid w:val="00591CAB"/>
    <w:rsid w:val="00591D94"/>
    <w:rsid w:val="005920F0"/>
    <w:rsid w:val="00592353"/>
    <w:rsid w:val="0059245C"/>
    <w:rsid w:val="00592542"/>
    <w:rsid w:val="00592582"/>
    <w:rsid w:val="005925C5"/>
    <w:rsid w:val="005926EC"/>
    <w:rsid w:val="00592872"/>
    <w:rsid w:val="00592BC3"/>
    <w:rsid w:val="005938BA"/>
    <w:rsid w:val="0059405A"/>
    <w:rsid w:val="0059415F"/>
    <w:rsid w:val="00594353"/>
    <w:rsid w:val="0059446B"/>
    <w:rsid w:val="0059450F"/>
    <w:rsid w:val="00594DDB"/>
    <w:rsid w:val="00595159"/>
    <w:rsid w:val="005951C8"/>
    <w:rsid w:val="00595289"/>
    <w:rsid w:val="005953F0"/>
    <w:rsid w:val="00595B22"/>
    <w:rsid w:val="00595F70"/>
    <w:rsid w:val="005962CD"/>
    <w:rsid w:val="005966D4"/>
    <w:rsid w:val="00596F1A"/>
    <w:rsid w:val="00596F3B"/>
    <w:rsid w:val="00596F6A"/>
    <w:rsid w:val="00597222"/>
    <w:rsid w:val="0059755B"/>
    <w:rsid w:val="005975B7"/>
    <w:rsid w:val="005976A8"/>
    <w:rsid w:val="00597A07"/>
    <w:rsid w:val="005A0467"/>
    <w:rsid w:val="005A05C8"/>
    <w:rsid w:val="005A0BB4"/>
    <w:rsid w:val="005A1045"/>
    <w:rsid w:val="005A1353"/>
    <w:rsid w:val="005A135D"/>
    <w:rsid w:val="005A183F"/>
    <w:rsid w:val="005A1BB7"/>
    <w:rsid w:val="005A1D32"/>
    <w:rsid w:val="005A22A7"/>
    <w:rsid w:val="005A24BD"/>
    <w:rsid w:val="005A251F"/>
    <w:rsid w:val="005A2BD2"/>
    <w:rsid w:val="005A2C9C"/>
    <w:rsid w:val="005A2F67"/>
    <w:rsid w:val="005A37A3"/>
    <w:rsid w:val="005A3CD0"/>
    <w:rsid w:val="005A3D8B"/>
    <w:rsid w:val="005A4423"/>
    <w:rsid w:val="005A4AAB"/>
    <w:rsid w:val="005A4B43"/>
    <w:rsid w:val="005A4DF6"/>
    <w:rsid w:val="005A5123"/>
    <w:rsid w:val="005A5466"/>
    <w:rsid w:val="005A599B"/>
    <w:rsid w:val="005A6211"/>
    <w:rsid w:val="005A648F"/>
    <w:rsid w:val="005A652E"/>
    <w:rsid w:val="005A6780"/>
    <w:rsid w:val="005A6B07"/>
    <w:rsid w:val="005A6E6A"/>
    <w:rsid w:val="005A6F61"/>
    <w:rsid w:val="005A6F82"/>
    <w:rsid w:val="005A743C"/>
    <w:rsid w:val="005A7813"/>
    <w:rsid w:val="005A7BB1"/>
    <w:rsid w:val="005A7BD2"/>
    <w:rsid w:val="005B0407"/>
    <w:rsid w:val="005B05FA"/>
    <w:rsid w:val="005B09B0"/>
    <w:rsid w:val="005B0A01"/>
    <w:rsid w:val="005B0AF4"/>
    <w:rsid w:val="005B0F81"/>
    <w:rsid w:val="005B1090"/>
    <w:rsid w:val="005B12C8"/>
    <w:rsid w:val="005B175A"/>
    <w:rsid w:val="005B17AB"/>
    <w:rsid w:val="005B19E3"/>
    <w:rsid w:val="005B1A78"/>
    <w:rsid w:val="005B1C89"/>
    <w:rsid w:val="005B1C8C"/>
    <w:rsid w:val="005B1E40"/>
    <w:rsid w:val="005B1E86"/>
    <w:rsid w:val="005B2301"/>
    <w:rsid w:val="005B261A"/>
    <w:rsid w:val="005B26E3"/>
    <w:rsid w:val="005B289F"/>
    <w:rsid w:val="005B2AE1"/>
    <w:rsid w:val="005B2B36"/>
    <w:rsid w:val="005B35CB"/>
    <w:rsid w:val="005B3833"/>
    <w:rsid w:val="005B3C59"/>
    <w:rsid w:val="005B3E27"/>
    <w:rsid w:val="005B43D9"/>
    <w:rsid w:val="005B44A1"/>
    <w:rsid w:val="005B47D1"/>
    <w:rsid w:val="005B4C0F"/>
    <w:rsid w:val="005B4E05"/>
    <w:rsid w:val="005B548C"/>
    <w:rsid w:val="005B563F"/>
    <w:rsid w:val="005B5E8E"/>
    <w:rsid w:val="005B6187"/>
    <w:rsid w:val="005B63C5"/>
    <w:rsid w:val="005B6568"/>
    <w:rsid w:val="005B683A"/>
    <w:rsid w:val="005B6ED7"/>
    <w:rsid w:val="005B7168"/>
    <w:rsid w:val="005B76D6"/>
    <w:rsid w:val="005B76FC"/>
    <w:rsid w:val="005B7950"/>
    <w:rsid w:val="005B7BEF"/>
    <w:rsid w:val="005B7C28"/>
    <w:rsid w:val="005B7CBA"/>
    <w:rsid w:val="005C0008"/>
    <w:rsid w:val="005C0053"/>
    <w:rsid w:val="005C0159"/>
    <w:rsid w:val="005C05DF"/>
    <w:rsid w:val="005C08DF"/>
    <w:rsid w:val="005C0B0D"/>
    <w:rsid w:val="005C0E7F"/>
    <w:rsid w:val="005C102D"/>
    <w:rsid w:val="005C1430"/>
    <w:rsid w:val="005C14F7"/>
    <w:rsid w:val="005C1711"/>
    <w:rsid w:val="005C19A1"/>
    <w:rsid w:val="005C1E57"/>
    <w:rsid w:val="005C2862"/>
    <w:rsid w:val="005C292A"/>
    <w:rsid w:val="005C2A40"/>
    <w:rsid w:val="005C32C3"/>
    <w:rsid w:val="005C3368"/>
    <w:rsid w:val="005C38EF"/>
    <w:rsid w:val="005C3C07"/>
    <w:rsid w:val="005C41F4"/>
    <w:rsid w:val="005C4215"/>
    <w:rsid w:val="005C4294"/>
    <w:rsid w:val="005C47A4"/>
    <w:rsid w:val="005C47B2"/>
    <w:rsid w:val="005C4D69"/>
    <w:rsid w:val="005C4E02"/>
    <w:rsid w:val="005C4F7B"/>
    <w:rsid w:val="005C5127"/>
    <w:rsid w:val="005C520D"/>
    <w:rsid w:val="005C5503"/>
    <w:rsid w:val="005C576E"/>
    <w:rsid w:val="005C5CBE"/>
    <w:rsid w:val="005C60F3"/>
    <w:rsid w:val="005C619A"/>
    <w:rsid w:val="005C62E5"/>
    <w:rsid w:val="005C6578"/>
    <w:rsid w:val="005C6595"/>
    <w:rsid w:val="005C703C"/>
    <w:rsid w:val="005C7130"/>
    <w:rsid w:val="005C735C"/>
    <w:rsid w:val="005C7440"/>
    <w:rsid w:val="005C7477"/>
    <w:rsid w:val="005C798E"/>
    <w:rsid w:val="005C7A6A"/>
    <w:rsid w:val="005C7AC0"/>
    <w:rsid w:val="005C7D15"/>
    <w:rsid w:val="005C7F20"/>
    <w:rsid w:val="005D0165"/>
    <w:rsid w:val="005D041C"/>
    <w:rsid w:val="005D0553"/>
    <w:rsid w:val="005D0952"/>
    <w:rsid w:val="005D0C1B"/>
    <w:rsid w:val="005D0CB0"/>
    <w:rsid w:val="005D0D0D"/>
    <w:rsid w:val="005D107A"/>
    <w:rsid w:val="005D1C26"/>
    <w:rsid w:val="005D1C6D"/>
    <w:rsid w:val="005D20DC"/>
    <w:rsid w:val="005D2116"/>
    <w:rsid w:val="005D22C6"/>
    <w:rsid w:val="005D25D1"/>
    <w:rsid w:val="005D2600"/>
    <w:rsid w:val="005D265E"/>
    <w:rsid w:val="005D26CE"/>
    <w:rsid w:val="005D29C4"/>
    <w:rsid w:val="005D35DC"/>
    <w:rsid w:val="005D3629"/>
    <w:rsid w:val="005D3807"/>
    <w:rsid w:val="005D386E"/>
    <w:rsid w:val="005D3EB4"/>
    <w:rsid w:val="005D3F9C"/>
    <w:rsid w:val="005D466E"/>
    <w:rsid w:val="005D4A45"/>
    <w:rsid w:val="005D4D0C"/>
    <w:rsid w:val="005D4EA5"/>
    <w:rsid w:val="005D4F2E"/>
    <w:rsid w:val="005D505C"/>
    <w:rsid w:val="005D511A"/>
    <w:rsid w:val="005D5574"/>
    <w:rsid w:val="005D57DB"/>
    <w:rsid w:val="005D59A2"/>
    <w:rsid w:val="005D5EFA"/>
    <w:rsid w:val="005D5F67"/>
    <w:rsid w:val="005D5FD0"/>
    <w:rsid w:val="005D6102"/>
    <w:rsid w:val="005D622F"/>
    <w:rsid w:val="005D6254"/>
    <w:rsid w:val="005D64F7"/>
    <w:rsid w:val="005D6753"/>
    <w:rsid w:val="005D6ADF"/>
    <w:rsid w:val="005D6B6F"/>
    <w:rsid w:val="005D6BC8"/>
    <w:rsid w:val="005D6DF0"/>
    <w:rsid w:val="005D7364"/>
    <w:rsid w:val="005D74C3"/>
    <w:rsid w:val="005D7F23"/>
    <w:rsid w:val="005E00A4"/>
    <w:rsid w:val="005E0158"/>
    <w:rsid w:val="005E0347"/>
    <w:rsid w:val="005E0FEC"/>
    <w:rsid w:val="005E104B"/>
    <w:rsid w:val="005E12D6"/>
    <w:rsid w:val="005E13F2"/>
    <w:rsid w:val="005E15D5"/>
    <w:rsid w:val="005E171B"/>
    <w:rsid w:val="005E18F9"/>
    <w:rsid w:val="005E207C"/>
    <w:rsid w:val="005E222A"/>
    <w:rsid w:val="005E2263"/>
    <w:rsid w:val="005E255B"/>
    <w:rsid w:val="005E2A2D"/>
    <w:rsid w:val="005E2B03"/>
    <w:rsid w:val="005E2C18"/>
    <w:rsid w:val="005E2D11"/>
    <w:rsid w:val="005E30C4"/>
    <w:rsid w:val="005E3B85"/>
    <w:rsid w:val="005E4416"/>
    <w:rsid w:val="005E4892"/>
    <w:rsid w:val="005E4AE3"/>
    <w:rsid w:val="005E4CFB"/>
    <w:rsid w:val="005E5095"/>
    <w:rsid w:val="005E50FD"/>
    <w:rsid w:val="005E5250"/>
    <w:rsid w:val="005E5439"/>
    <w:rsid w:val="005E559C"/>
    <w:rsid w:val="005E5E6C"/>
    <w:rsid w:val="005E604E"/>
    <w:rsid w:val="005E6417"/>
    <w:rsid w:val="005E64B3"/>
    <w:rsid w:val="005E680D"/>
    <w:rsid w:val="005E6919"/>
    <w:rsid w:val="005E691D"/>
    <w:rsid w:val="005E7017"/>
    <w:rsid w:val="005E70B3"/>
    <w:rsid w:val="005E70BE"/>
    <w:rsid w:val="005E7970"/>
    <w:rsid w:val="005E7C95"/>
    <w:rsid w:val="005F0050"/>
    <w:rsid w:val="005F0283"/>
    <w:rsid w:val="005F031E"/>
    <w:rsid w:val="005F0966"/>
    <w:rsid w:val="005F0D1C"/>
    <w:rsid w:val="005F0EA8"/>
    <w:rsid w:val="005F1227"/>
    <w:rsid w:val="005F123F"/>
    <w:rsid w:val="005F177C"/>
    <w:rsid w:val="005F1C03"/>
    <w:rsid w:val="005F1CFB"/>
    <w:rsid w:val="005F1DA5"/>
    <w:rsid w:val="005F1DF5"/>
    <w:rsid w:val="005F1E67"/>
    <w:rsid w:val="005F1E7A"/>
    <w:rsid w:val="005F1FA2"/>
    <w:rsid w:val="005F2281"/>
    <w:rsid w:val="005F23C5"/>
    <w:rsid w:val="005F26D7"/>
    <w:rsid w:val="005F276D"/>
    <w:rsid w:val="005F283A"/>
    <w:rsid w:val="005F2F73"/>
    <w:rsid w:val="005F2F8D"/>
    <w:rsid w:val="005F3009"/>
    <w:rsid w:val="005F34FC"/>
    <w:rsid w:val="005F3713"/>
    <w:rsid w:val="005F3778"/>
    <w:rsid w:val="005F38C4"/>
    <w:rsid w:val="005F3C3D"/>
    <w:rsid w:val="005F3F9B"/>
    <w:rsid w:val="005F3FB5"/>
    <w:rsid w:val="005F4188"/>
    <w:rsid w:val="005F4DC8"/>
    <w:rsid w:val="005F4FF7"/>
    <w:rsid w:val="005F4FFF"/>
    <w:rsid w:val="005F52A0"/>
    <w:rsid w:val="005F531B"/>
    <w:rsid w:val="005F5396"/>
    <w:rsid w:val="005F5430"/>
    <w:rsid w:val="005F55EF"/>
    <w:rsid w:val="005F560A"/>
    <w:rsid w:val="005F573D"/>
    <w:rsid w:val="005F5789"/>
    <w:rsid w:val="005F58D4"/>
    <w:rsid w:val="005F5B09"/>
    <w:rsid w:val="005F6247"/>
    <w:rsid w:val="005F62B9"/>
    <w:rsid w:val="005F63D2"/>
    <w:rsid w:val="005F6CE4"/>
    <w:rsid w:val="005F6D6B"/>
    <w:rsid w:val="005F6F15"/>
    <w:rsid w:val="005F6FF6"/>
    <w:rsid w:val="005F75E8"/>
    <w:rsid w:val="005F7B4D"/>
    <w:rsid w:val="006000DC"/>
    <w:rsid w:val="0060013B"/>
    <w:rsid w:val="0060019E"/>
    <w:rsid w:val="00600295"/>
    <w:rsid w:val="006003F1"/>
    <w:rsid w:val="006006F4"/>
    <w:rsid w:val="00600B59"/>
    <w:rsid w:val="00600F9D"/>
    <w:rsid w:val="00601316"/>
    <w:rsid w:val="0060183A"/>
    <w:rsid w:val="006018E3"/>
    <w:rsid w:val="00601B3D"/>
    <w:rsid w:val="00602403"/>
    <w:rsid w:val="00602AEB"/>
    <w:rsid w:val="00602CF2"/>
    <w:rsid w:val="00602D90"/>
    <w:rsid w:val="006032D8"/>
    <w:rsid w:val="0060350D"/>
    <w:rsid w:val="006037E3"/>
    <w:rsid w:val="006042F4"/>
    <w:rsid w:val="0060492D"/>
    <w:rsid w:val="006049DA"/>
    <w:rsid w:val="00604D31"/>
    <w:rsid w:val="00604E70"/>
    <w:rsid w:val="00605127"/>
    <w:rsid w:val="006053AD"/>
    <w:rsid w:val="00605DC9"/>
    <w:rsid w:val="006066E1"/>
    <w:rsid w:val="006068C3"/>
    <w:rsid w:val="00606ADE"/>
    <w:rsid w:val="00606DC5"/>
    <w:rsid w:val="00606ED2"/>
    <w:rsid w:val="00607229"/>
    <w:rsid w:val="00607C42"/>
    <w:rsid w:val="006104EF"/>
    <w:rsid w:val="00610600"/>
    <w:rsid w:val="0061068A"/>
    <w:rsid w:val="00610709"/>
    <w:rsid w:val="00610715"/>
    <w:rsid w:val="00610F0C"/>
    <w:rsid w:val="00610FE6"/>
    <w:rsid w:val="00611137"/>
    <w:rsid w:val="00611153"/>
    <w:rsid w:val="00611189"/>
    <w:rsid w:val="0061186D"/>
    <w:rsid w:val="00611C69"/>
    <w:rsid w:val="00611D3F"/>
    <w:rsid w:val="00611D78"/>
    <w:rsid w:val="00611E49"/>
    <w:rsid w:val="00611F7C"/>
    <w:rsid w:val="006123FE"/>
    <w:rsid w:val="0061241A"/>
    <w:rsid w:val="00612AB5"/>
    <w:rsid w:val="00612B7B"/>
    <w:rsid w:val="00612C2F"/>
    <w:rsid w:val="00612DDA"/>
    <w:rsid w:val="00612DDE"/>
    <w:rsid w:val="00612E57"/>
    <w:rsid w:val="006137DD"/>
    <w:rsid w:val="00613C42"/>
    <w:rsid w:val="00613DF5"/>
    <w:rsid w:val="00613EBD"/>
    <w:rsid w:val="00614164"/>
    <w:rsid w:val="00614331"/>
    <w:rsid w:val="00614709"/>
    <w:rsid w:val="0061484F"/>
    <w:rsid w:val="00614A4A"/>
    <w:rsid w:val="00614C27"/>
    <w:rsid w:val="00614F3D"/>
    <w:rsid w:val="0061509B"/>
    <w:rsid w:val="00615446"/>
    <w:rsid w:val="00615AAB"/>
    <w:rsid w:val="00616678"/>
    <w:rsid w:val="00616774"/>
    <w:rsid w:val="00616BAA"/>
    <w:rsid w:val="00616F9F"/>
    <w:rsid w:val="00617179"/>
    <w:rsid w:val="006171A4"/>
    <w:rsid w:val="0061722E"/>
    <w:rsid w:val="006172CB"/>
    <w:rsid w:val="006174CB"/>
    <w:rsid w:val="006178C5"/>
    <w:rsid w:val="0061794C"/>
    <w:rsid w:val="006179D0"/>
    <w:rsid w:val="00617C2D"/>
    <w:rsid w:val="0062021F"/>
    <w:rsid w:val="0062031B"/>
    <w:rsid w:val="00620493"/>
    <w:rsid w:val="00620703"/>
    <w:rsid w:val="00620866"/>
    <w:rsid w:val="00620CC9"/>
    <w:rsid w:val="00620E84"/>
    <w:rsid w:val="00620F1D"/>
    <w:rsid w:val="006210E5"/>
    <w:rsid w:val="00621302"/>
    <w:rsid w:val="006213E1"/>
    <w:rsid w:val="00621689"/>
    <w:rsid w:val="00621B56"/>
    <w:rsid w:val="00621E10"/>
    <w:rsid w:val="00621F56"/>
    <w:rsid w:val="0062223A"/>
    <w:rsid w:val="00622284"/>
    <w:rsid w:val="0062280A"/>
    <w:rsid w:val="006228D2"/>
    <w:rsid w:val="00622C52"/>
    <w:rsid w:val="00622D3E"/>
    <w:rsid w:val="00623023"/>
    <w:rsid w:val="00623395"/>
    <w:rsid w:val="006233C5"/>
    <w:rsid w:val="0062390F"/>
    <w:rsid w:val="006239D3"/>
    <w:rsid w:val="00623A63"/>
    <w:rsid w:val="00623ACB"/>
    <w:rsid w:val="00623C2F"/>
    <w:rsid w:val="00623C7E"/>
    <w:rsid w:val="00623E70"/>
    <w:rsid w:val="00623FEE"/>
    <w:rsid w:val="00624A08"/>
    <w:rsid w:val="00624C41"/>
    <w:rsid w:val="006251F0"/>
    <w:rsid w:val="006257AA"/>
    <w:rsid w:val="00625829"/>
    <w:rsid w:val="00625A7E"/>
    <w:rsid w:val="00625A81"/>
    <w:rsid w:val="00625B80"/>
    <w:rsid w:val="00625C4B"/>
    <w:rsid w:val="00625D21"/>
    <w:rsid w:val="0062602D"/>
    <w:rsid w:val="006260E6"/>
    <w:rsid w:val="006267F3"/>
    <w:rsid w:val="00626C2E"/>
    <w:rsid w:val="00626DB7"/>
    <w:rsid w:val="00627098"/>
    <w:rsid w:val="00627524"/>
    <w:rsid w:val="006278B5"/>
    <w:rsid w:val="00627E22"/>
    <w:rsid w:val="00627F38"/>
    <w:rsid w:val="00630088"/>
    <w:rsid w:val="00630268"/>
    <w:rsid w:val="006303B0"/>
    <w:rsid w:val="00630ECB"/>
    <w:rsid w:val="00630F19"/>
    <w:rsid w:val="00631009"/>
    <w:rsid w:val="006313E0"/>
    <w:rsid w:val="006315B4"/>
    <w:rsid w:val="00631916"/>
    <w:rsid w:val="00631B33"/>
    <w:rsid w:val="00631B3A"/>
    <w:rsid w:val="00631EAE"/>
    <w:rsid w:val="00632894"/>
    <w:rsid w:val="00632AA6"/>
    <w:rsid w:val="00632D9F"/>
    <w:rsid w:val="00632E6D"/>
    <w:rsid w:val="00633079"/>
    <w:rsid w:val="00633089"/>
    <w:rsid w:val="00633128"/>
    <w:rsid w:val="00633749"/>
    <w:rsid w:val="00634077"/>
    <w:rsid w:val="00634367"/>
    <w:rsid w:val="0063442C"/>
    <w:rsid w:val="00634555"/>
    <w:rsid w:val="006347DF"/>
    <w:rsid w:val="006347E8"/>
    <w:rsid w:val="00634A7D"/>
    <w:rsid w:val="00635178"/>
    <w:rsid w:val="006351D8"/>
    <w:rsid w:val="00635520"/>
    <w:rsid w:val="006359B6"/>
    <w:rsid w:val="00635D64"/>
    <w:rsid w:val="00635F7E"/>
    <w:rsid w:val="006362B7"/>
    <w:rsid w:val="0063670E"/>
    <w:rsid w:val="006368B4"/>
    <w:rsid w:val="00636C46"/>
    <w:rsid w:val="00636F8E"/>
    <w:rsid w:val="00637144"/>
    <w:rsid w:val="0063721E"/>
    <w:rsid w:val="00637275"/>
    <w:rsid w:val="006375CF"/>
    <w:rsid w:val="00637DE0"/>
    <w:rsid w:val="00640200"/>
    <w:rsid w:val="00640494"/>
    <w:rsid w:val="00640640"/>
    <w:rsid w:val="00640B1E"/>
    <w:rsid w:val="00640C2A"/>
    <w:rsid w:val="00640DB8"/>
    <w:rsid w:val="00641044"/>
    <w:rsid w:val="00641269"/>
    <w:rsid w:val="0064150D"/>
    <w:rsid w:val="00641DD1"/>
    <w:rsid w:val="00641F1C"/>
    <w:rsid w:val="00642308"/>
    <w:rsid w:val="006423DB"/>
    <w:rsid w:val="006425DD"/>
    <w:rsid w:val="00642608"/>
    <w:rsid w:val="00642840"/>
    <w:rsid w:val="00642BDD"/>
    <w:rsid w:val="006431AA"/>
    <w:rsid w:val="0064334D"/>
    <w:rsid w:val="00643796"/>
    <w:rsid w:val="006437CB"/>
    <w:rsid w:val="00643848"/>
    <w:rsid w:val="0064386A"/>
    <w:rsid w:val="00643912"/>
    <w:rsid w:val="00643BF6"/>
    <w:rsid w:val="00643D5C"/>
    <w:rsid w:val="00643DFA"/>
    <w:rsid w:val="0064414A"/>
    <w:rsid w:val="0064446F"/>
    <w:rsid w:val="00644615"/>
    <w:rsid w:val="006446C9"/>
    <w:rsid w:val="0064477F"/>
    <w:rsid w:val="00644954"/>
    <w:rsid w:val="00644A73"/>
    <w:rsid w:val="00644BD2"/>
    <w:rsid w:val="00644D56"/>
    <w:rsid w:val="00645077"/>
    <w:rsid w:val="00645525"/>
    <w:rsid w:val="00645764"/>
    <w:rsid w:val="00645962"/>
    <w:rsid w:val="006459B8"/>
    <w:rsid w:val="00645A8D"/>
    <w:rsid w:val="00645CBC"/>
    <w:rsid w:val="00646408"/>
    <w:rsid w:val="00646840"/>
    <w:rsid w:val="00646935"/>
    <w:rsid w:val="00646A19"/>
    <w:rsid w:val="00646A28"/>
    <w:rsid w:val="00646BA7"/>
    <w:rsid w:val="00646C89"/>
    <w:rsid w:val="00646D91"/>
    <w:rsid w:val="00646E04"/>
    <w:rsid w:val="00646E5C"/>
    <w:rsid w:val="00647230"/>
    <w:rsid w:val="006472F4"/>
    <w:rsid w:val="0064731F"/>
    <w:rsid w:val="00647A65"/>
    <w:rsid w:val="00647F15"/>
    <w:rsid w:val="00647F6B"/>
    <w:rsid w:val="00650053"/>
    <w:rsid w:val="0065009A"/>
    <w:rsid w:val="0065047A"/>
    <w:rsid w:val="00650694"/>
    <w:rsid w:val="006506F4"/>
    <w:rsid w:val="00650782"/>
    <w:rsid w:val="006509FD"/>
    <w:rsid w:val="00650A25"/>
    <w:rsid w:val="00650DFA"/>
    <w:rsid w:val="00650EC1"/>
    <w:rsid w:val="00650FCF"/>
    <w:rsid w:val="006511CB"/>
    <w:rsid w:val="0065185C"/>
    <w:rsid w:val="0065243C"/>
    <w:rsid w:val="00652645"/>
    <w:rsid w:val="006526DC"/>
    <w:rsid w:val="00652AA8"/>
    <w:rsid w:val="00652FE6"/>
    <w:rsid w:val="00653015"/>
    <w:rsid w:val="00653083"/>
    <w:rsid w:val="0065308E"/>
    <w:rsid w:val="00653128"/>
    <w:rsid w:val="00653541"/>
    <w:rsid w:val="00653794"/>
    <w:rsid w:val="00653C0B"/>
    <w:rsid w:val="00654016"/>
    <w:rsid w:val="006541C2"/>
    <w:rsid w:val="0065420E"/>
    <w:rsid w:val="0065435E"/>
    <w:rsid w:val="0065460F"/>
    <w:rsid w:val="00655233"/>
    <w:rsid w:val="00655A8C"/>
    <w:rsid w:val="00655B6A"/>
    <w:rsid w:val="00655E31"/>
    <w:rsid w:val="006562F1"/>
    <w:rsid w:val="00656C10"/>
    <w:rsid w:val="00656CBF"/>
    <w:rsid w:val="00657832"/>
    <w:rsid w:val="00657994"/>
    <w:rsid w:val="00657E9E"/>
    <w:rsid w:val="00657F8A"/>
    <w:rsid w:val="0066040A"/>
    <w:rsid w:val="006606FB"/>
    <w:rsid w:val="00660A30"/>
    <w:rsid w:val="00660B79"/>
    <w:rsid w:val="00660DA0"/>
    <w:rsid w:val="00660FA9"/>
    <w:rsid w:val="00661357"/>
    <w:rsid w:val="00661451"/>
    <w:rsid w:val="006618C7"/>
    <w:rsid w:val="00661B8B"/>
    <w:rsid w:val="0066203F"/>
    <w:rsid w:val="0066223C"/>
    <w:rsid w:val="0066241B"/>
    <w:rsid w:val="006626E5"/>
    <w:rsid w:val="00662850"/>
    <w:rsid w:val="00662BAE"/>
    <w:rsid w:val="006632CA"/>
    <w:rsid w:val="00663BE0"/>
    <w:rsid w:val="00663EFA"/>
    <w:rsid w:val="00663F2E"/>
    <w:rsid w:val="00663FD6"/>
    <w:rsid w:val="006643EC"/>
    <w:rsid w:val="006643F2"/>
    <w:rsid w:val="00664E83"/>
    <w:rsid w:val="00664ED1"/>
    <w:rsid w:val="00664F5D"/>
    <w:rsid w:val="006656A3"/>
    <w:rsid w:val="0066578E"/>
    <w:rsid w:val="00665A27"/>
    <w:rsid w:val="00666737"/>
    <w:rsid w:val="00666A05"/>
    <w:rsid w:val="00666D9F"/>
    <w:rsid w:val="00667173"/>
    <w:rsid w:val="00667220"/>
    <w:rsid w:val="006675E0"/>
    <w:rsid w:val="00667911"/>
    <w:rsid w:val="00667A60"/>
    <w:rsid w:val="00670018"/>
    <w:rsid w:val="0067070D"/>
    <w:rsid w:val="0067071F"/>
    <w:rsid w:val="0067085F"/>
    <w:rsid w:val="006708C6"/>
    <w:rsid w:val="006709D1"/>
    <w:rsid w:val="00670A7C"/>
    <w:rsid w:val="00671052"/>
    <w:rsid w:val="006711DD"/>
    <w:rsid w:val="00671523"/>
    <w:rsid w:val="0067160E"/>
    <w:rsid w:val="00671661"/>
    <w:rsid w:val="006717C9"/>
    <w:rsid w:val="00671CF8"/>
    <w:rsid w:val="00671D00"/>
    <w:rsid w:val="006720D6"/>
    <w:rsid w:val="00672114"/>
    <w:rsid w:val="00672169"/>
    <w:rsid w:val="006724FF"/>
    <w:rsid w:val="00672613"/>
    <w:rsid w:val="00672649"/>
    <w:rsid w:val="00672956"/>
    <w:rsid w:val="006730B1"/>
    <w:rsid w:val="006735EE"/>
    <w:rsid w:val="00673A1F"/>
    <w:rsid w:val="00673D4D"/>
    <w:rsid w:val="00673DE3"/>
    <w:rsid w:val="00674758"/>
    <w:rsid w:val="006747B4"/>
    <w:rsid w:val="00674B39"/>
    <w:rsid w:val="00674C44"/>
    <w:rsid w:val="00674F02"/>
    <w:rsid w:val="006755C5"/>
    <w:rsid w:val="006755ED"/>
    <w:rsid w:val="006755FB"/>
    <w:rsid w:val="00675649"/>
    <w:rsid w:val="0067575E"/>
    <w:rsid w:val="006758BC"/>
    <w:rsid w:val="00675974"/>
    <w:rsid w:val="006759F0"/>
    <w:rsid w:val="00675ACD"/>
    <w:rsid w:val="00675AFE"/>
    <w:rsid w:val="00675E1D"/>
    <w:rsid w:val="00675E25"/>
    <w:rsid w:val="00675ECA"/>
    <w:rsid w:val="00675F33"/>
    <w:rsid w:val="00675F40"/>
    <w:rsid w:val="006765B5"/>
    <w:rsid w:val="00676683"/>
    <w:rsid w:val="0067681E"/>
    <w:rsid w:val="0067695C"/>
    <w:rsid w:val="00676B49"/>
    <w:rsid w:val="00676C11"/>
    <w:rsid w:val="00676C7A"/>
    <w:rsid w:val="00676F3A"/>
    <w:rsid w:val="0067707B"/>
    <w:rsid w:val="006771A2"/>
    <w:rsid w:val="006771D0"/>
    <w:rsid w:val="006771E5"/>
    <w:rsid w:val="0067741E"/>
    <w:rsid w:val="00677467"/>
    <w:rsid w:val="00677C3D"/>
    <w:rsid w:val="00677EA3"/>
    <w:rsid w:val="00677F0E"/>
    <w:rsid w:val="006801FB"/>
    <w:rsid w:val="006803FA"/>
    <w:rsid w:val="006807CB"/>
    <w:rsid w:val="00680AC0"/>
    <w:rsid w:val="00680B14"/>
    <w:rsid w:val="00680FDE"/>
    <w:rsid w:val="0068122C"/>
    <w:rsid w:val="006819A1"/>
    <w:rsid w:val="00681A59"/>
    <w:rsid w:val="00681F04"/>
    <w:rsid w:val="00681F40"/>
    <w:rsid w:val="0068230A"/>
    <w:rsid w:val="00682314"/>
    <w:rsid w:val="00682C1F"/>
    <w:rsid w:val="00682CA3"/>
    <w:rsid w:val="00682DF1"/>
    <w:rsid w:val="00682EF3"/>
    <w:rsid w:val="006831D7"/>
    <w:rsid w:val="0068353F"/>
    <w:rsid w:val="00683876"/>
    <w:rsid w:val="00683CD1"/>
    <w:rsid w:val="00683EE8"/>
    <w:rsid w:val="0068419C"/>
    <w:rsid w:val="006845DB"/>
    <w:rsid w:val="006847DD"/>
    <w:rsid w:val="006847FE"/>
    <w:rsid w:val="00684B73"/>
    <w:rsid w:val="00684BD4"/>
    <w:rsid w:val="00684CA9"/>
    <w:rsid w:val="00684DBC"/>
    <w:rsid w:val="00685034"/>
    <w:rsid w:val="00685164"/>
    <w:rsid w:val="00685D7D"/>
    <w:rsid w:val="00685D94"/>
    <w:rsid w:val="00686005"/>
    <w:rsid w:val="0068610E"/>
    <w:rsid w:val="00686419"/>
    <w:rsid w:val="00686436"/>
    <w:rsid w:val="00686611"/>
    <w:rsid w:val="0068696F"/>
    <w:rsid w:val="00686999"/>
    <w:rsid w:val="00686A2D"/>
    <w:rsid w:val="00686BD5"/>
    <w:rsid w:val="00686DD1"/>
    <w:rsid w:val="00687007"/>
    <w:rsid w:val="0068725C"/>
    <w:rsid w:val="006874E4"/>
    <w:rsid w:val="006875E4"/>
    <w:rsid w:val="00687BAD"/>
    <w:rsid w:val="00687BB3"/>
    <w:rsid w:val="00687BC9"/>
    <w:rsid w:val="00687CF0"/>
    <w:rsid w:val="00687F6F"/>
    <w:rsid w:val="00690209"/>
    <w:rsid w:val="006904B4"/>
    <w:rsid w:val="00690590"/>
    <w:rsid w:val="006906B0"/>
    <w:rsid w:val="006908FE"/>
    <w:rsid w:val="00690A30"/>
    <w:rsid w:val="00690CAF"/>
    <w:rsid w:val="00690CD0"/>
    <w:rsid w:val="00690D44"/>
    <w:rsid w:val="00691168"/>
    <w:rsid w:val="0069126F"/>
    <w:rsid w:val="0069130C"/>
    <w:rsid w:val="00691712"/>
    <w:rsid w:val="0069179E"/>
    <w:rsid w:val="0069202B"/>
    <w:rsid w:val="006925DE"/>
    <w:rsid w:val="00692A11"/>
    <w:rsid w:val="00692D48"/>
    <w:rsid w:val="00693155"/>
    <w:rsid w:val="00693344"/>
    <w:rsid w:val="006935C3"/>
    <w:rsid w:val="006935D8"/>
    <w:rsid w:val="006935F3"/>
    <w:rsid w:val="00693716"/>
    <w:rsid w:val="00693983"/>
    <w:rsid w:val="0069399F"/>
    <w:rsid w:val="00693A20"/>
    <w:rsid w:val="00693FE8"/>
    <w:rsid w:val="00694049"/>
    <w:rsid w:val="006946AE"/>
    <w:rsid w:val="006947F9"/>
    <w:rsid w:val="006948AF"/>
    <w:rsid w:val="006949B4"/>
    <w:rsid w:val="00694A21"/>
    <w:rsid w:val="00694F35"/>
    <w:rsid w:val="00694FA8"/>
    <w:rsid w:val="0069534E"/>
    <w:rsid w:val="00695623"/>
    <w:rsid w:val="00695A5D"/>
    <w:rsid w:val="00695AB4"/>
    <w:rsid w:val="00695B99"/>
    <w:rsid w:val="00695C2D"/>
    <w:rsid w:val="00695ED4"/>
    <w:rsid w:val="00695F88"/>
    <w:rsid w:val="0069601F"/>
    <w:rsid w:val="00696111"/>
    <w:rsid w:val="00696130"/>
    <w:rsid w:val="00696894"/>
    <w:rsid w:val="00696AEC"/>
    <w:rsid w:val="00696CFB"/>
    <w:rsid w:val="00696F74"/>
    <w:rsid w:val="006975DC"/>
    <w:rsid w:val="006977CB"/>
    <w:rsid w:val="006A0282"/>
    <w:rsid w:val="006A0326"/>
    <w:rsid w:val="006A054F"/>
    <w:rsid w:val="006A087A"/>
    <w:rsid w:val="006A0B53"/>
    <w:rsid w:val="006A0C6B"/>
    <w:rsid w:val="006A0DBC"/>
    <w:rsid w:val="006A0DF6"/>
    <w:rsid w:val="006A0EF3"/>
    <w:rsid w:val="006A0FEE"/>
    <w:rsid w:val="006A10FF"/>
    <w:rsid w:val="006A12C5"/>
    <w:rsid w:val="006A1B28"/>
    <w:rsid w:val="006A1B83"/>
    <w:rsid w:val="006A1D16"/>
    <w:rsid w:val="006A1D5F"/>
    <w:rsid w:val="006A1F05"/>
    <w:rsid w:val="006A2098"/>
    <w:rsid w:val="006A2334"/>
    <w:rsid w:val="006A273F"/>
    <w:rsid w:val="006A2AAF"/>
    <w:rsid w:val="006A2B17"/>
    <w:rsid w:val="006A2C25"/>
    <w:rsid w:val="006A2E28"/>
    <w:rsid w:val="006A2E3E"/>
    <w:rsid w:val="006A2E78"/>
    <w:rsid w:val="006A3014"/>
    <w:rsid w:val="006A331F"/>
    <w:rsid w:val="006A3779"/>
    <w:rsid w:val="006A3934"/>
    <w:rsid w:val="006A3A73"/>
    <w:rsid w:val="006A3C44"/>
    <w:rsid w:val="006A41CC"/>
    <w:rsid w:val="006A4240"/>
    <w:rsid w:val="006A458E"/>
    <w:rsid w:val="006A4B9B"/>
    <w:rsid w:val="006A503E"/>
    <w:rsid w:val="006A50DD"/>
    <w:rsid w:val="006A5BBA"/>
    <w:rsid w:val="006A5BC0"/>
    <w:rsid w:val="006A615A"/>
    <w:rsid w:val="006A6165"/>
    <w:rsid w:val="006A6331"/>
    <w:rsid w:val="006A646C"/>
    <w:rsid w:val="006A679E"/>
    <w:rsid w:val="006A6A40"/>
    <w:rsid w:val="006A6A62"/>
    <w:rsid w:val="006A6EF6"/>
    <w:rsid w:val="006A7A14"/>
    <w:rsid w:val="006A7AA3"/>
    <w:rsid w:val="006A7ACF"/>
    <w:rsid w:val="006A7BCF"/>
    <w:rsid w:val="006A7DC8"/>
    <w:rsid w:val="006B02A3"/>
    <w:rsid w:val="006B02C6"/>
    <w:rsid w:val="006B04A5"/>
    <w:rsid w:val="006B0815"/>
    <w:rsid w:val="006B0BC4"/>
    <w:rsid w:val="006B0D6C"/>
    <w:rsid w:val="006B0F0A"/>
    <w:rsid w:val="006B0F7D"/>
    <w:rsid w:val="006B11AD"/>
    <w:rsid w:val="006B14C2"/>
    <w:rsid w:val="006B1656"/>
    <w:rsid w:val="006B187B"/>
    <w:rsid w:val="006B1A71"/>
    <w:rsid w:val="006B2092"/>
    <w:rsid w:val="006B254D"/>
    <w:rsid w:val="006B2996"/>
    <w:rsid w:val="006B2B73"/>
    <w:rsid w:val="006B2EE2"/>
    <w:rsid w:val="006B3283"/>
    <w:rsid w:val="006B3528"/>
    <w:rsid w:val="006B356D"/>
    <w:rsid w:val="006B3576"/>
    <w:rsid w:val="006B3611"/>
    <w:rsid w:val="006B378F"/>
    <w:rsid w:val="006B38B2"/>
    <w:rsid w:val="006B3937"/>
    <w:rsid w:val="006B3970"/>
    <w:rsid w:val="006B3A50"/>
    <w:rsid w:val="006B3CED"/>
    <w:rsid w:val="006B3CF0"/>
    <w:rsid w:val="006B3E6B"/>
    <w:rsid w:val="006B3EE1"/>
    <w:rsid w:val="006B4AA4"/>
    <w:rsid w:val="006B50B2"/>
    <w:rsid w:val="006B516B"/>
    <w:rsid w:val="006B55C3"/>
    <w:rsid w:val="006B59EE"/>
    <w:rsid w:val="006B5A64"/>
    <w:rsid w:val="006B5BB6"/>
    <w:rsid w:val="006B5C72"/>
    <w:rsid w:val="006B5CB3"/>
    <w:rsid w:val="006B6814"/>
    <w:rsid w:val="006B6B17"/>
    <w:rsid w:val="006B6DF7"/>
    <w:rsid w:val="006B6F86"/>
    <w:rsid w:val="006B769B"/>
    <w:rsid w:val="006B76F4"/>
    <w:rsid w:val="006C0134"/>
    <w:rsid w:val="006C02BD"/>
    <w:rsid w:val="006C06E3"/>
    <w:rsid w:val="006C07F2"/>
    <w:rsid w:val="006C0A72"/>
    <w:rsid w:val="006C0AF3"/>
    <w:rsid w:val="006C1001"/>
    <w:rsid w:val="006C18E4"/>
    <w:rsid w:val="006C1CC0"/>
    <w:rsid w:val="006C1E3B"/>
    <w:rsid w:val="006C1F25"/>
    <w:rsid w:val="006C1F54"/>
    <w:rsid w:val="006C2071"/>
    <w:rsid w:val="006C2481"/>
    <w:rsid w:val="006C24EE"/>
    <w:rsid w:val="006C28EF"/>
    <w:rsid w:val="006C2A67"/>
    <w:rsid w:val="006C2C34"/>
    <w:rsid w:val="006C2D25"/>
    <w:rsid w:val="006C361D"/>
    <w:rsid w:val="006C3AC2"/>
    <w:rsid w:val="006C3AEC"/>
    <w:rsid w:val="006C4F09"/>
    <w:rsid w:val="006C4FDB"/>
    <w:rsid w:val="006C5130"/>
    <w:rsid w:val="006C553E"/>
    <w:rsid w:val="006C58B9"/>
    <w:rsid w:val="006C5C34"/>
    <w:rsid w:val="006C5DC1"/>
    <w:rsid w:val="006C6001"/>
    <w:rsid w:val="006C60F9"/>
    <w:rsid w:val="006C622E"/>
    <w:rsid w:val="006C63BF"/>
    <w:rsid w:val="006C6432"/>
    <w:rsid w:val="006C6C6B"/>
    <w:rsid w:val="006C72B0"/>
    <w:rsid w:val="006C7305"/>
    <w:rsid w:val="006C7457"/>
    <w:rsid w:val="006C7A12"/>
    <w:rsid w:val="006C7CF6"/>
    <w:rsid w:val="006D00B9"/>
    <w:rsid w:val="006D011F"/>
    <w:rsid w:val="006D03F2"/>
    <w:rsid w:val="006D0571"/>
    <w:rsid w:val="006D087B"/>
    <w:rsid w:val="006D08F8"/>
    <w:rsid w:val="006D0A18"/>
    <w:rsid w:val="006D0A55"/>
    <w:rsid w:val="006D0DA0"/>
    <w:rsid w:val="006D0F86"/>
    <w:rsid w:val="006D0FE3"/>
    <w:rsid w:val="006D12A6"/>
    <w:rsid w:val="006D12D1"/>
    <w:rsid w:val="006D135D"/>
    <w:rsid w:val="006D13A6"/>
    <w:rsid w:val="006D15C3"/>
    <w:rsid w:val="006D1842"/>
    <w:rsid w:val="006D1CE4"/>
    <w:rsid w:val="006D241A"/>
    <w:rsid w:val="006D24A0"/>
    <w:rsid w:val="006D2638"/>
    <w:rsid w:val="006D285D"/>
    <w:rsid w:val="006D2861"/>
    <w:rsid w:val="006D2A42"/>
    <w:rsid w:val="006D2ACA"/>
    <w:rsid w:val="006D2C02"/>
    <w:rsid w:val="006D2E43"/>
    <w:rsid w:val="006D2FF6"/>
    <w:rsid w:val="006D32AB"/>
    <w:rsid w:val="006D3355"/>
    <w:rsid w:val="006D3602"/>
    <w:rsid w:val="006D36F0"/>
    <w:rsid w:val="006D3810"/>
    <w:rsid w:val="006D3A7B"/>
    <w:rsid w:val="006D3BCD"/>
    <w:rsid w:val="006D43B0"/>
    <w:rsid w:val="006D48F3"/>
    <w:rsid w:val="006D494E"/>
    <w:rsid w:val="006D4A70"/>
    <w:rsid w:val="006D4AC7"/>
    <w:rsid w:val="006D4D64"/>
    <w:rsid w:val="006D4FB8"/>
    <w:rsid w:val="006D5071"/>
    <w:rsid w:val="006D5227"/>
    <w:rsid w:val="006D53C3"/>
    <w:rsid w:val="006D57F1"/>
    <w:rsid w:val="006D594A"/>
    <w:rsid w:val="006D5A6C"/>
    <w:rsid w:val="006D5AB7"/>
    <w:rsid w:val="006D5C2D"/>
    <w:rsid w:val="006D5E3C"/>
    <w:rsid w:val="006D610B"/>
    <w:rsid w:val="006D6254"/>
    <w:rsid w:val="006D63DB"/>
    <w:rsid w:val="006D6632"/>
    <w:rsid w:val="006D6775"/>
    <w:rsid w:val="006D6A06"/>
    <w:rsid w:val="006D6A32"/>
    <w:rsid w:val="006D6A9A"/>
    <w:rsid w:val="006D6AF8"/>
    <w:rsid w:val="006D78D2"/>
    <w:rsid w:val="006D7E82"/>
    <w:rsid w:val="006E024F"/>
    <w:rsid w:val="006E0373"/>
    <w:rsid w:val="006E0668"/>
    <w:rsid w:val="006E06DE"/>
    <w:rsid w:val="006E0753"/>
    <w:rsid w:val="006E082B"/>
    <w:rsid w:val="006E0B0D"/>
    <w:rsid w:val="006E0BCC"/>
    <w:rsid w:val="006E110F"/>
    <w:rsid w:val="006E1622"/>
    <w:rsid w:val="006E17AC"/>
    <w:rsid w:val="006E19EC"/>
    <w:rsid w:val="006E1D59"/>
    <w:rsid w:val="006E1FAA"/>
    <w:rsid w:val="006E300F"/>
    <w:rsid w:val="006E30CD"/>
    <w:rsid w:val="006E327A"/>
    <w:rsid w:val="006E34AB"/>
    <w:rsid w:val="006E364F"/>
    <w:rsid w:val="006E37DE"/>
    <w:rsid w:val="006E3AD6"/>
    <w:rsid w:val="006E3B0F"/>
    <w:rsid w:val="006E3E53"/>
    <w:rsid w:val="006E3F9D"/>
    <w:rsid w:val="006E408D"/>
    <w:rsid w:val="006E448E"/>
    <w:rsid w:val="006E4569"/>
    <w:rsid w:val="006E4776"/>
    <w:rsid w:val="006E4BAD"/>
    <w:rsid w:val="006E4DEB"/>
    <w:rsid w:val="006E4E6E"/>
    <w:rsid w:val="006E54B2"/>
    <w:rsid w:val="006E54EB"/>
    <w:rsid w:val="006E566E"/>
    <w:rsid w:val="006E5808"/>
    <w:rsid w:val="006E5AE0"/>
    <w:rsid w:val="006E5B67"/>
    <w:rsid w:val="006E6177"/>
    <w:rsid w:val="006E6297"/>
    <w:rsid w:val="006E6396"/>
    <w:rsid w:val="006E6773"/>
    <w:rsid w:val="006E6B70"/>
    <w:rsid w:val="006E6D21"/>
    <w:rsid w:val="006E71DB"/>
    <w:rsid w:val="006E7237"/>
    <w:rsid w:val="006E72DA"/>
    <w:rsid w:val="006E7362"/>
    <w:rsid w:val="006E73D8"/>
    <w:rsid w:val="006E79BA"/>
    <w:rsid w:val="006E7A09"/>
    <w:rsid w:val="006E7A0B"/>
    <w:rsid w:val="006E7CB0"/>
    <w:rsid w:val="006E7E02"/>
    <w:rsid w:val="006F015E"/>
    <w:rsid w:val="006F02E0"/>
    <w:rsid w:val="006F06FC"/>
    <w:rsid w:val="006F091E"/>
    <w:rsid w:val="006F0DD9"/>
    <w:rsid w:val="006F0EDE"/>
    <w:rsid w:val="006F1099"/>
    <w:rsid w:val="006F111B"/>
    <w:rsid w:val="006F11E1"/>
    <w:rsid w:val="006F129B"/>
    <w:rsid w:val="006F1411"/>
    <w:rsid w:val="006F176B"/>
    <w:rsid w:val="006F18CC"/>
    <w:rsid w:val="006F1AEC"/>
    <w:rsid w:val="006F1D5D"/>
    <w:rsid w:val="006F1D5E"/>
    <w:rsid w:val="006F1E7C"/>
    <w:rsid w:val="006F1EA7"/>
    <w:rsid w:val="006F1FF4"/>
    <w:rsid w:val="006F26BA"/>
    <w:rsid w:val="006F26BE"/>
    <w:rsid w:val="006F27A0"/>
    <w:rsid w:val="006F2931"/>
    <w:rsid w:val="006F2AF8"/>
    <w:rsid w:val="006F2BA3"/>
    <w:rsid w:val="006F2BC0"/>
    <w:rsid w:val="006F35FA"/>
    <w:rsid w:val="006F3651"/>
    <w:rsid w:val="006F38E6"/>
    <w:rsid w:val="006F3DD1"/>
    <w:rsid w:val="006F41F4"/>
    <w:rsid w:val="006F422C"/>
    <w:rsid w:val="006F4481"/>
    <w:rsid w:val="006F45A2"/>
    <w:rsid w:val="006F49B8"/>
    <w:rsid w:val="006F502A"/>
    <w:rsid w:val="006F50D8"/>
    <w:rsid w:val="006F532C"/>
    <w:rsid w:val="006F56D6"/>
    <w:rsid w:val="006F57E2"/>
    <w:rsid w:val="006F5803"/>
    <w:rsid w:val="006F59FD"/>
    <w:rsid w:val="006F5D46"/>
    <w:rsid w:val="006F6083"/>
    <w:rsid w:val="006F639D"/>
    <w:rsid w:val="006F65C3"/>
    <w:rsid w:val="006F6650"/>
    <w:rsid w:val="006F6880"/>
    <w:rsid w:val="006F6E47"/>
    <w:rsid w:val="006F6EC3"/>
    <w:rsid w:val="006F6FF7"/>
    <w:rsid w:val="006F708B"/>
    <w:rsid w:val="006F71C1"/>
    <w:rsid w:val="006F7496"/>
    <w:rsid w:val="006F75EA"/>
    <w:rsid w:val="006F7822"/>
    <w:rsid w:val="006F7BB0"/>
    <w:rsid w:val="006F7CE2"/>
    <w:rsid w:val="00700309"/>
    <w:rsid w:val="007006F1"/>
    <w:rsid w:val="007006FD"/>
    <w:rsid w:val="007009D7"/>
    <w:rsid w:val="00700CF9"/>
    <w:rsid w:val="00700F66"/>
    <w:rsid w:val="007014C6"/>
    <w:rsid w:val="007014E9"/>
    <w:rsid w:val="00701C24"/>
    <w:rsid w:val="007020F9"/>
    <w:rsid w:val="00702445"/>
    <w:rsid w:val="007024D2"/>
    <w:rsid w:val="00702637"/>
    <w:rsid w:val="0070282D"/>
    <w:rsid w:val="00702C1E"/>
    <w:rsid w:val="00702F6F"/>
    <w:rsid w:val="00702FD4"/>
    <w:rsid w:val="0070307B"/>
    <w:rsid w:val="007032A5"/>
    <w:rsid w:val="0070352F"/>
    <w:rsid w:val="007035A2"/>
    <w:rsid w:val="00703663"/>
    <w:rsid w:val="00703916"/>
    <w:rsid w:val="0070395A"/>
    <w:rsid w:val="007039A4"/>
    <w:rsid w:val="00703AF6"/>
    <w:rsid w:val="00703B63"/>
    <w:rsid w:val="00703BAD"/>
    <w:rsid w:val="00703BB8"/>
    <w:rsid w:val="00704005"/>
    <w:rsid w:val="007049A9"/>
    <w:rsid w:val="00704E74"/>
    <w:rsid w:val="00704FD2"/>
    <w:rsid w:val="007052E7"/>
    <w:rsid w:val="00705645"/>
    <w:rsid w:val="00705833"/>
    <w:rsid w:val="007058D4"/>
    <w:rsid w:val="00705A4B"/>
    <w:rsid w:val="00705BA3"/>
    <w:rsid w:val="00705CC7"/>
    <w:rsid w:val="00705F10"/>
    <w:rsid w:val="007060BB"/>
    <w:rsid w:val="007061CA"/>
    <w:rsid w:val="00706223"/>
    <w:rsid w:val="00706468"/>
    <w:rsid w:val="00706811"/>
    <w:rsid w:val="0070688C"/>
    <w:rsid w:val="00706BE1"/>
    <w:rsid w:val="00706C80"/>
    <w:rsid w:val="00706E38"/>
    <w:rsid w:val="00706F7F"/>
    <w:rsid w:val="007070AD"/>
    <w:rsid w:val="00707B99"/>
    <w:rsid w:val="00707CA0"/>
    <w:rsid w:val="007102E6"/>
    <w:rsid w:val="00710648"/>
    <w:rsid w:val="00711581"/>
    <w:rsid w:val="007115AE"/>
    <w:rsid w:val="0071173F"/>
    <w:rsid w:val="00711A15"/>
    <w:rsid w:val="00711AFE"/>
    <w:rsid w:val="00711D95"/>
    <w:rsid w:val="00711F2C"/>
    <w:rsid w:val="007121D3"/>
    <w:rsid w:val="00712418"/>
    <w:rsid w:val="00712533"/>
    <w:rsid w:val="00712612"/>
    <w:rsid w:val="00712682"/>
    <w:rsid w:val="00712A74"/>
    <w:rsid w:val="00712CBA"/>
    <w:rsid w:val="007131C3"/>
    <w:rsid w:val="007132FC"/>
    <w:rsid w:val="0071345B"/>
    <w:rsid w:val="00713B4B"/>
    <w:rsid w:val="00713CF8"/>
    <w:rsid w:val="007141B9"/>
    <w:rsid w:val="007142BD"/>
    <w:rsid w:val="00714509"/>
    <w:rsid w:val="00714542"/>
    <w:rsid w:val="0071474D"/>
    <w:rsid w:val="00714825"/>
    <w:rsid w:val="007149B1"/>
    <w:rsid w:val="00714A31"/>
    <w:rsid w:val="00714B82"/>
    <w:rsid w:val="00714D24"/>
    <w:rsid w:val="00714F4E"/>
    <w:rsid w:val="00715449"/>
    <w:rsid w:val="00715599"/>
    <w:rsid w:val="00715655"/>
    <w:rsid w:val="0071566A"/>
    <w:rsid w:val="00715ABF"/>
    <w:rsid w:val="00715F57"/>
    <w:rsid w:val="007162DA"/>
    <w:rsid w:val="00716564"/>
    <w:rsid w:val="007166CD"/>
    <w:rsid w:val="0071673D"/>
    <w:rsid w:val="0071676D"/>
    <w:rsid w:val="007167F3"/>
    <w:rsid w:val="00716A7E"/>
    <w:rsid w:val="00716C63"/>
    <w:rsid w:val="007175CD"/>
    <w:rsid w:val="00720284"/>
    <w:rsid w:val="00720627"/>
    <w:rsid w:val="00720980"/>
    <w:rsid w:val="00720AB2"/>
    <w:rsid w:val="00720B45"/>
    <w:rsid w:val="0072102F"/>
    <w:rsid w:val="007210BB"/>
    <w:rsid w:val="00721294"/>
    <w:rsid w:val="007212A1"/>
    <w:rsid w:val="0072136E"/>
    <w:rsid w:val="007213B8"/>
    <w:rsid w:val="00721501"/>
    <w:rsid w:val="00721C7C"/>
    <w:rsid w:val="00721DE5"/>
    <w:rsid w:val="0072231E"/>
    <w:rsid w:val="00722534"/>
    <w:rsid w:val="00722A60"/>
    <w:rsid w:val="00722E0D"/>
    <w:rsid w:val="00722E15"/>
    <w:rsid w:val="00722EAA"/>
    <w:rsid w:val="007239AD"/>
    <w:rsid w:val="00723BB4"/>
    <w:rsid w:val="0072420A"/>
    <w:rsid w:val="00724417"/>
    <w:rsid w:val="00724602"/>
    <w:rsid w:val="00724BD6"/>
    <w:rsid w:val="00724D21"/>
    <w:rsid w:val="00724E2A"/>
    <w:rsid w:val="00725201"/>
    <w:rsid w:val="0072546E"/>
    <w:rsid w:val="0072548B"/>
    <w:rsid w:val="007257F1"/>
    <w:rsid w:val="00726848"/>
    <w:rsid w:val="0072689D"/>
    <w:rsid w:val="00726AB3"/>
    <w:rsid w:val="00726EB6"/>
    <w:rsid w:val="00726F11"/>
    <w:rsid w:val="00726F33"/>
    <w:rsid w:val="0072701A"/>
    <w:rsid w:val="007276D6"/>
    <w:rsid w:val="0072787B"/>
    <w:rsid w:val="00727E3E"/>
    <w:rsid w:val="00730027"/>
    <w:rsid w:val="00730271"/>
    <w:rsid w:val="0073058D"/>
    <w:rsid w:val="0073086F"/>
    <w:rsid w:val="00730AEC"/>
    <w:rsid w:val="00730C82"/>
    <w:rsid w:val="007314A1"/>
    <w:rsid w:val="00731A39"/>
    <w:rsid w:val="00731A64"/>
    <w:rsid w:val="00731C27"/>
    <w:rsid w:val="00731D21"/>
    <w:rsid w:val="0073205D"/>
    <w:rsid w:val="00732342"/>
    <w:rsid w:val="0073252C"/>
    <w:rsid w:val="00732595"/>
    <w:rsid w:val="00732618"/>
    <w:rsid w:val="0073268E"/>
    <w:rsid w:val="0073276C"/>
    <w:rsid w:val="007328B3"/>
    <w:rsid w:val="00732B9F"/>
    <w:rsid w:val="00732BBE"/>
    <w:rsid w:val="00732BCF"/>
    <w:rsid w:val="00732FB2"/>
    <w:rsid w:val="007333B6"/>
    <w:rsid w:val="007338D9"/>
    <w:rsid w:val="00733BA8"/>
    <w:rsid w:val="00733BFA"/>
    <w:rsid w:val="00733E29"/>
    <w:rsid w:val="00734256"/>
    <w:rsid w:val="00734745"/>
    <w:rsid w:val="007349A9"/>
    <w:rsid w:val="00734AEA"/>
    <w:rsid w:val="00734E4C"/>
    <w:rsid w:val="00735228"/>
    <w:rsid w:val="007353B4"/>
    <w:rsid w:val="007354DC"/>
    <w:rsid w:val="007354ED"/>
    <w:rsid w:val="00735523"/>
    <w:rsid w:val="007355D9"/>
    <w:rsid w:val="007357E2"/>
    <w:rsid w:val="00735852"/>
    <w:rsid w:val="0073590A"/>
    <w:rsid w:val="0073590F"/>
    <w:rsid w:val="00735B6E"/>
    <w:rsid w:val="00735BD1"/>
    <w:rsid w:val="00735E65"/>
    <w:rsid w:val="00735E82"/>
    <w:rsid w:val="00735E9C"/>
    <w:rsid w:val="0073604E"/>
    <w:rsid w:val="007360E1"/>
    <w:rsid w:val="007361C5"/>
    <w:rsid w:val="007363D9"/>
    <w:rsid w:val="007363F5"/>
    <w:rsid w:val="00736445"/>
    <w:rsid w:val="00736643"/>
    <w:rsid w:val="0073726D"/>
    <w:rsid w:val="007373CF"/>
    <w:rsid w:val="007373E7"/>
    <w:rsid w:val="00737AEA"/>
    <w:rsid w:val="00737CB5"/>
    <w:rsid w:val="00737DEB"/>
    <w:rsid w:val="00737E95"/>
    <w:rsid w:val="0074007C"/>
    <w:rsid w:val="00740202"/>
    <w:rsid w:val="00740659"/>
    <w:rsid w:val="00740682"/>
    <w:rsid w:val="0074071F"/>
    <w:rsid w:val="00740883"/>
    <w:rsid w:val="0074089D"/>
    <w:rsid w:val="007410D0"/>
    <w:rsid w:val="0074122A"/>
    <w:rsid w:val="00741654"/>
    <w:rsid w:val="0074178F"/>
    <w:rsid w:val="00741893"/>
    <w:rsid w:val="00741B2B"/>
    <w:rsid w:val="00741C98"/>
    <w:rsid w:val="00742036"/>
    <w:rsid w:val="00742605"/>
    <w:rsid w:val="00742932"/>
    <w:rsid w:val="00742BB0"/>
    <w:rsid w:val="00742E06"/>
    <w:rsid w:val="00742E22"/>
    <w:rsid w:val="007433A8"/>
    <w:rsid w:val="00743493"/>
    <w:rsid w:val="007436A6"/>
    <w:rsid w:val="00743707"/>
    <w:rsid w:val="0074373D"/>
    <w:rsid w:val="00743769"/>
    <w:rsid w:val="0074376F"/>
    <w:rsid w:val="007438E3"/>
    <w:rsid w:val="00743B2F"/>
    <w:rsid w:val="00743EC5"/>
    <w:rsid w:val="00743F90"/>
    <w:rsid w:val="00743FA2"/>
    <w:rsid w:val="0074448D"/>
    <w:rsid w:val="007448B2"/>
    <w:rsid w:val="00744995"/>
    <w:rsid w:val="00744DDA"/>
    <w:rsid w:val="00745233"/>
    <w:rsid w:val="007452BD"/>
    <w:rsid w:val="00745616"/>
    <w:rsid w:val="0074596C"/>
    <w:rsid w:val="00745CB4"/>
    <w:rsid w:val="00745D1F"/>
    <w:rsid w:val="0074629F"/>
    <w:rsid w:val="0074657C"/>
    <w:rsid w:val="0074683D"/>
    <w:rsid w:val="00747021"/>
    <w:rsid w:val="0074716D"/>
    <w:rsid w:val="00747272"/>
    <w:rsid w:val="00747349"/>
    <w:rsid w:val="00747553"/>
    <w:rsid w:val="007475BB"/>
    <w:rsid w:val="007476CA"/>
    <w:rsid w:val="0074775C"/>
    <w:rsid w:val="00747893"/>
    <w:rsid w:val="00747C13"/>
    <w:rsid w:val="00747C30"/>
    <w:rsid w:val="00747D5C"/>
    <w:rsid w:val="00747DA3"/>
    <w:rsid w:val="00747E4E"/>
    <w:rsid w:val="00747EA7"/>
    <w:rsid w:val="00750003"/>
    <w:rsid w:val="0075015C"/>
    <w:rsid w:val="007503DC"/>
    <w:rsid w:val="007503E4"/>
    <w:rsid w:val="007503F5"/>
    <w:rsid w:val="00750473"/>
    <w:rsid w:val="00750537"/>
    <w:rsid w:val="00750679"/>
    <w:rsid w:val="00750EEA"/>
    <w:rsid w:val="0075136E"/>
    <w:rsid w:val="007514BC"/>
    <w:rsid w:val="00751E2D"/>
    <w:rsid w:val="00751F29"/>
    <w:rsid w:val="007525AE"/>
    <w:rsid w:val="00752B9B"/>
    <w:rsid w:val="00752DB4"/>
    <w:rsid w:val="00752F55"/>
    <w:rsid w:val="00752FAF"/>
    <w:rsid w:val="007531FD"/>
    <w:rsid w:val="0075331F"/>
    <w:rsid w:val="007534FB"/>
    <w:rsid w:val="0075354D"/>
    <w:rsid w:val="007535AD"/>
    <w:rsid w:val="00753809"/>
    <w:rsid w:val="00753C0C"/>
    <w:rsid w:val="00753CBE"/>
    <w:rsid w:val="007546B2"/>
    <w:rsid w:val="00754863"/>
    <w:rsid w:val="00754AF4"/>
    <w:rsid w:val="00754CB2"/>
    <w:rsid w:val="00754D41"/>
    <w:rsid w:val="0075508E"/>
    <w:rsid w:val="0075516B"/>
    <w:rsid w:val="0075534F"/>
    <w:rsid w:val="00755A0C"/>
    <w:rsid w:val="00756345"/>
    <w:rsid w:val="00756355"/>
    <w:rsid w:val="00756845"/>
    <w:rsid w:val="00756EF1"/>
    <w:rsid w:val="00756F27"/>
    <w:rsid w:val="00757091"/>
    <w:rsid w:val="007571D2"/>
    <w:rsid w:val="0075723F"/>
    <w:rsid w:val="00757509"/>
    <w:rsid w:val="00757639"/>
    <w:rsid w:val="007578EB"/>
    <w:rsid w:val="00760067"/>
    <w:rsid w:val="007602B6"/>
    <w:rsid w:val="007603E9"/>
    <w:rsid w:val="007603FD"/>
    <w:rsid w:val="00760418"/>
    <w:rsid w:val="00760837"/>
    <w:rsid w:val="00760B45"/>
    <w:rsid w:val="00760E9E"/>
    <w:rsid w:val="00761135"/>
    <w:rsid w:val="00761E89"/>
    <w:rsid w:val="00761EC6"/>
    <w:rsid w:val="00762285"/>
    <w:rsid w:val="00762894"/>
    <w:rsid w:val="0076293A"/>
    <w:rsid w:val="00762EDA"/>
    <w:rsid w:val="007631C3"/>
    <w:rsid w:val="007631F2"/>
    <w:rsid w:val="00763443"/>
    <w:rsid w:val="007634E1"/>
    <w:rsid w:val="007635D7"/>
    <w:rsid w:val="00763C4D"/>
    <w:rsid w:val="00763D7A"/>
    <w:rsid w:val="0076420C"/>
    <w:rsid w:val="00764588"/>
    <w:rsid w:val="007647C7"/>
    <w:rsid w:val="00764A21"/>
    <w:rsid w:val="00764E62"/>
    <w:rsid w:val="00764F08"/>
    <w:rsid w:val="0076564D"/>
    <w:rsid w:val="0076588F"/>
    <w:rsid w:val="007658F8"/>
    <w:rsid w:val="00765A56"/>
    <w:rsid w:val="00765D9D"/>
    <w:rsid w:val="00765E90"/>
    <w:rsid w:val="007661ED"/>
    <w:rsid w:val="0076636C"/>
    <w:rsid w:val="00766778"/>
    <w:rsid w:val="007667DC"/>
    <w:rsid w:val="0076687A"/>
    <w:rsid w:val="00766C08"/>
    <w:rsid w:val="00766CD8"/>
    <w:rsid w:val="0076782D"/>
    <w:rsid w:val="00767922"/>
    <w:rsid w:val="00767E5D"/>
    <w:rsid w:val="00767F23"/>
    <w:rsid w:val="0077081C"/>
    <w:rsid w:val="00770995"/>
    <w:rsid w:val="007709BB"/>
    <w:rsid w:val="00770D8D"/>
    <w:rsid w:val="0077118B"/>
    <w:rsid w:val="007711E8"/>
    <w:rsid w:val="00771321"/>
    <w:rsid w:val="0077136C"/>
    <w:rsid w:val="00771611"/>
    <w:rsid w:val="007716C5"/>
    <w:rsid w:val="00771B4D"/>
    <w:rsid w:val="00771CC1"/>
    <w:rsid w:val="00771DC7"/>
    <w:rsid w:val="00771F37"/>
    <w:rsid w:val="0077257B"/>
    <w:rsid w:val="007726DD"/>
    <w:rsid w:val="00772A6C"/>
    <w:rsid w:val="00772ABD"/>
    <w:rsid w:val="00772C22"/>
    <w:rsid w:val="00772D23"/>
    <w:rsid w:val="00772D36"/>
    <w:rsid w:val="00772F7C"/>
    <w:rsid w:val="007733CF"/>
    <w:rsid w:val="00773729"/>
    <w:rsid w:val="00773754"/>
    <w:rsid w:val="00773819"/>
    <w:rsid w:val="00773B34"/>
    <w:rsid w:val="00774155"/>
    <w:rsid w:val="007742C2"/>
    <w:rsid w:val="0077445A"/>
    <w:rsid w:val="007747FC"/>
    <w:rsid w:val="007748BD"/>
    <w:rsid w:val="00774CC5"/>
    <w:rsid w:val="00774CC6"/>
    <w:rsid w:val="00774DA4"/>
    <w:rsid w:val="00775038"/>
    <w:rsid w:val="007752DC"/>
    <w:rsid w:val="00775373"/>
    <w:rsid w:val="00775947"/>
    <w:rsid w:val="0077599B"/>
    <w:rsid w:val="00775D12"/>
    <w:rsid w:val="00775D58"/>
    <w:rsid w:val="00775DA7"/>
    <w:rsid w:val="007766DA"/>
    <w:rsid w:val="007767AF"/>
    <w:rsid w:val="007769D5"/>
    <w:rsid w:val="007769F0"/>
    <w:rsid w:val="00776A2F"/>
    <w:rsid w:val="00776C67"/>
    <w:rsid w:val="00776EEA"/>
    <w:rsid w:val="00777380"/>
    <w:rsid w:val="007774F0"/>
    <w:rsid w:val="00777929"/>
    <w:rsid w:val="007801DA"/>
    <w:rsid w:val="0078028C"/>
    <w:rsid w:val="007802CF"/>
    <w:rsid w:val="007803E8"/>
    <w:rsid w:val="007808EC"/>
    <w:rsid w:val="007809C6"/>
    <w:rsid w:val="00780AC5"/>
    <w:rsid w:val="00780BE6"/>
    <w:rsid w:val="00780CF4"/>
    <w:rsid w:val="00780E4C"/>
    <w:rsid w:val="00780E5E"/>
    <w:rsid w:val="0078110E"/>
    <w:rsid w:val="007813A5"/>
    <w:rsid w:val="00781487"/>
    <w:rsid w:val="007814CC"/>
    <w:rsid w:val="007816AF"/>
    <w:rsid w:val="00781814"/>
    <w:rsid w:val="0078187B"/>
    <w:rsid w:val="0078192B"/>
    <w:rsid w:val="00781A02"/>
    <w:rsid w:val="00781B85"/>
    <w:rsid w:val="00781BDB"/>
    <w:rsid w:val="0078201B"/>
    <w:rsid w:val="0078238C"/>
    <w:rsid w:val="0078240A"/>
    <w:rsid w:val="00782864"/>
    <w:rsid w:val="007829D8"/>
    <w:rsid w:val="00782C56"/>
    <w:rsid w:val="00782E90"/>
    <w:rsid w:val="007833F0"/>
    <w:rsid w:val="007838FA"/>
    <w:rsid w:val="00783CBE"/>
    <w:rsid w:val="00783E80"/>
    <w:rsid w:val="00783F74"/>
    <w:rsid w:val="00784565"/>
    <w:rsid w:val="007845E4"/>
    <w:rsid w:val="00784604"/>
    <w:rsid w:val="00784774"/>
    <w:rsid w:val="0078486D"/>
    <w:rsid w:val="00784A4A"/>
    <w:rsid w:val="00784AA5"/>
    <w:rsid w:val="00784C91"/>
    <w:rsid w:val="00784DA3"/>
    <w:rsid w:val="00784F10"/>
    <w:rsid w:val="0078509E"/>
    <w:rsid w:val="00785193"/>
    <w:rsid w:val="0078526B"/>
    <w:rsid w:val="0078527D"/>
    <w:rsid w:val="00785617"/>
    <w:rsid w:val="00785BF4"/>
    <w:rsid w:val="007861C3"/>
    <w:rsid w:val="00786534"/>
    <w:rsid w:val="00786636"/>
    <w:rsid w:val="00786798"/>
    <w:rsid w:val="00786830"/>
    <w:rsid w:val="007868E7"/>
    <w:rsid w:val="007869B5"/>
    <w:rsid w:val="00786D93"/>
    <w:rsid w:val="007870F8"/>
    <w:rsid w:val="007906A5"/>
    <w:rsid w:val="007908A5"/>
    <w:rsid w:val="00790919"/>
    <w:rsid w:val="00790B64"/>
    <w:rsid w:val="00790BCF"/>
    <w:rsid w:val="00790C4A"/>
    <w:rsid w:val="00790D0C"/>
    <w:rsid w:val="00790EB5"/>
    <w:rsid w:val="00791212"/>
    <w:rsid w:val="00791437"/>
    <w:rsid w:val="00791524"/>
    <w:rsid w:val="007915FC"/>
    <w:rsid w:val="00791651"/>
    <w:rsid w:val="00791759"/>
    <w:rsid w:val="00791A18"/>
    <w:rsid w:val="00791BCA"/>
    <w:rsid w:val="00791FC8"/>
    <w:rsid w:val="00792081"/>
    <w:rsid w:val="00792309"/>
    <w:rsid w:val="00792342"/>
    <w:rsid w:val="007923F0"/>
    <w:rsid w:val="007923FE"/>
    <w:rsid w:val="007928C4"/>
    <w:rsid w:val="00792995"/>
    <w:rsid w:val="00792BE0"/>
    <w:rsid w:val="007930FD"/>
    <w:rsid w:val="0079351A"/>
    <w:rsid w:val="00793760"/>
    <w:rsid w:val="0079394C"/>
    <w:rsid w:val="00793AFE"/>
    <w:rsid w:val="00793E71"/>
    <w:rsid w:val="007941FC"/>
    <w:rsid w:val="0079436A"/>
    <w:rsid w:val="00794895"/>
    <w:rsid w:val="00794C7E"/>
    <w:rsid w:val="00794D5C"/>
    <w:rsid w:val="00794DBF"/>
    <w:rsid w:val="00795066"/>
    <w:rsid w:val="007951AA"/>
    <w:rsid w:val="00795230"/>
    <w:rsid w:val="0079530B"/>
    <w:rsid w:val="0079534B"/>
    <w:rsid w:val="00795E8A"/>
    <w:rsid w:val="00795EE1"/>
    <w:rsid w:val="00795F19"/>
    <w:rsid w:val="007960B3"/>
    <w:rsid w:val="00796806"/>
    <w:rsid w:val="00796B8D"/>
    <w:rsid w:val="007976A2"/>
    <w:rsid w:val="007978B8"/>
    <w:rsid w:val="007979EA"/>
    <w:rsid w:val="00797BA4"/>
    <w:rsid w:val="00797BBF"/>
    <w:rsid w:val="00797C32"/>
    <w:rsid w:val="00797C5E"/>
    <w:rsid w:val="007A01B6"/>
    <w:rsid w:val="007A0B7C"/>
    <w:rsid w:val="007A0D71"/>
    <w:rsid w:val="007A138E"/>
    <w:rsid w:val="007A1548"/>
    <w:rsid w:val="007A17D3"/>
    <w:rsid w:val="007A189E"/>
    <w:rsid w:val="007A1B12"/>
    <w:rsid w:val="007A1C93"/>
    <w:rsid w:val="007A2015"/>
    <w:rsid w:val="007A2027"/>
    <w:rsid w:val="007A224D"/>
    <w:rsid w:val="007A227F"/>
    <w:rsid w:val="007A2297"/>
    <w:rsid w:val="007A27D6"/>
    <w:rsid w:val="007A291C"/>
    <w:rsid w:val="007A2AB0"/>
    <w:rsid w:val="007A2CAE"/>
    <w:rsid w:val="007A2D4F"/>
    <w:rsid w:val="007A2E8D"/>
    <w:rsid w:val="007A2EC4"/>
    <w:rsid w:val="007A2ECC"/>
    <w:rsid w:val="007A2F33"/>
    <w:rsid w:val="007A3239"/>
    <w:rsid w:val="007A3966"/>
    <w:rsid w:val="007A42B7"/>
    <w:rsid w:val="007A48CD"/>
    <w:rsid w:val="007A4E44"/>
    <w:rsid w:val="007A523B"/>
    <w:rsid w:val="007A5440"/>
    <w:rsid w:val="007A5A10"/>
    <w:rsid w:val="007A5CE4"/>
    <w:rsid w:val="007A5E0F"/>
    <w:rsid w:val="007A5F24"/>
    <w:rsid w:val="007A5F9E"/>
    <w:rsid w:val="007A5FEB"/>
    <w:rsid w:val="007A610A"/>
    <w:rsid w:val="007A63CD"/>
    <w:rsid w:val="007A64BA"/>
    <w:rsid w:val="007A6627"/>
    <w:rsid w:val="007A67DD"/>
    <w:rsid w:val="007A68D3"/>
    <w:rsid w:val="007A6952"/>
    <w:rsid w:val="007A6C11"/>
    <w:rsid w:val="007A6EC6"/>
    <w:rsid w:val="007A70E7"/>
    <w:rsid w:val="007A73A3"/>
    <w:rsid w:val="007A75B9"/>
    <w:rsid w:val="007A76E7"/>
    <w:rsid w:val="007A78D1"/>
    <w:rsid w:val="007A79E9"/>
    <w:rsid w:val="007A7FCF"/>
    <w:rsid w:val="007B002E"/>
    <w:rsid w:val="007B00AF"/>
    <w:rsid w:val="007B0DB3"/>
    <w:rsid w:val="007B1073"/>
    <w:rsid w:val="007B176C"/>
    <w:rsid w:val="007B1A3D"/>
    <w:rsid w:val="007B1AAD"/>
    <w:rsid w:val="007B1AD7"/>
    <w:rsid w:val="007B1DDD"/>
    <w:rsid w:val="007B1ED1"/>
    <w:rsid w:val="007B23C9"/>
    <w:rsid w:val="007B26A0"/>
    <w:rsid w:val="007B2854"/>
    <w:rsid w:val="007B2C1C"/>
    <w:rsid w:val="007B2C6E"/>
    <w:rsid w:val="007B3709"/>
    <w:rsid w:val="007B3852"/>
    <w:rsid w:val="007B3932"/>
    <w:rsid w:val="007B3949"/>
    <w:rsid w:val="007B3A17"/>
    <w:rsid w:val="007B3B20"/>
    <w:rsid w:val="007B3BDB"/>
    <w:rsid w:val="007B3CE7"/>
    <w:rsid w:val="007B3D04"/>
    <w:rsid w:val="007B3D40"/>
    <w:rsid w:val="007B3F5C"/>
    <w:rsid w:val="007B4245"/>
    <w:rsid w:val="007B43E4"/>
    <w:rsid w:val="007B448E"/>
    <w:rsid w:val="007B4B11"/>
    <w:rsid w:val="007B4B39"/>
    <w:rsid w:val="007B4F97"/>
    <w:rsid w:val="007B536B"/>
    <w:rsid w:val="007B537F"/>
    <w:rsid w:val="007B5B0A"/>
    <w:rsid w:val="007B5D1F"/>
    <w:rsid w:val="007B5F1E"/>
    <w:rsid w:val="007B6332"/>
    <w:rsid w:val="007B63BF"/>
    <w:rsid w:val="007B64BE"/>
    <w:rsid w:val="007B6551"/>
    <w:rsid w:val="007B6761"/>
    <w:rsid w:val="007B6BBA"/>
    <w:rsid w:val="007B6D9D"/>
    <w:rsid w:val="007B7106"/>
    <w:rsid w:val="007B71D4"/>
    <w:rsid w:val="007B73CC"/>
    <w:rsid w:val="007B74C1"/>
    <w:rsid w:val="007B787E"/>
    <w:rsid w:val="007B7B84"/>
    <w:rsid w:val="007B7C01"/>
    <w:rsid w:val="007B7E0D"/>
    <w:rsid w:val="007C027E"/>
    <w:rsid w:val="007C03E3"/>
    <w:rsid w:val="007C0586"/>
    <w:rsid w:val="007C06DF"/>
    <w:rsid w:val="007C0717"/>
    <w:rsid w:val="007C0790"/>
    <w:rsid w:val="007C08AF"/>
    <w:rsid w:val="007C0D00"/>
    <w:rsid w:val="007C0ED9"/>
    <w:rsid w:val="007C1761"/>
    <w:rsid w:val="007C2055"/>
    <w:rsid w:val="007C21F6"/>
    <w:rsid w:val="007C226C"/>
    <w:rsid w:val="007C2307"/>
    <w:rsid w:val="007C26C9"/>
    <w:rsid w:val="007C2871"/>
    <w:rsid w:val="007C2A06"/>
    <w:rsid w:val="007C2BCE"/>
    <w:rsid w:val="007C2D93"/>
    <w:rsid w:val="007C2E67"/>
    <w:rsid w:val="007C2E89"/>
    <w:rsid w:val="007C31F0"/>
    <w:rsid w:val="007C32AE"/>
    <w:rsid w:val="007C345D"/>
    <w:rsid w:val="007C356B"/>
    <w:rsid w:val="007C3861"/>
    <w:rsid w:val="007C387F"/>
    <w:rsid w:val="007C38D7"/>
    <w:rsid w:val="007C3B3F"/>
    <w:rsid w:val="007C4254"/>
    <w:rsid w:val="007C4303"/>
    <w:rsid w:val="007C4315"/>
    <w:rsid w:val="007C4465"/>
    <w:rsid w:val="007C44DD"/>
    <w:rsid w:val="007C477F"/>
    <w:rsid w:val="007C47CA"/>
    <w:rsid w:val="007C490E"/>
    <w:rsid w:val="007C49BD"/>
    <w:rsid w:val="007C4A8E"/>
    <w:rsid w:val="007C4C62"/>
    <w:rsid w:val="007C4CBC"/>
    <w:rsid w:val="007C4D21"/>
    <w:rsid w:val="007C514F"/>
    <w:rsid w:val="007C531D"/>
    <w:rsid w:val="007C5635"/>
    <w:rsid w:val="007C5D44"/>
    <w:rsid w:val="007C649B"/>
    <w:rsid w:val="007C65DF"/>
    <w:rsid w:val="007C6642"/>
    <w:rsid w:val="007C69A5"/>
    <w:rsid w:val="007C6B71"/>
    <w:rsid w:val="007C6BF2"/>
    <w:rsid w:val="007C6E22"/>
    <w:rsid w:val="007C7029"/>
    <w:rsid w:val="007C75EB"/>
    <w:rsid w:val="007C7EC1"/>
    <w:rsid w:val="007D03BB"/>
    <w:rsid w:val="007D045B"/>
    <w:rsid w:val="007D09B3"/>
    <w:rsid w:val="007D0ACC"/>
    <w:rsid w:val="007D0FC3"/>
    <w:rsid w:val="007D1359"/>
    <w:rsid w:val="007D146D"/>
    <w:rsid w:val="007D1643"/>
    <w:rsid w:val="007D16F9"/>
    <w:rsid w:val="007D1C23"/>
    <w:rsid w:val="007D1C6F"/>
    <w:rsid w:val="007D1C9C"/>
    <w:rsid w:val="007D1CCF"/>
    <w:rsid w:val="007D226B"/>
    <w:rsid w:val="007D2412"/>
    <w:rsid w:val="007D29C8"/>
    <w:rsid w:val="007D2B5E"/>
    <w:rsid w:val="007D301B"/>
    <w:rsid w:val="007D3221"/>
    <w:rsid w:val="007D3378"/>
    <w:rsid w:val="007D3550"/>
    <w:rsid w:val="007D355F"/>
    <w:rsid w:val="007D38D4"/>
    <w:rsid w:val="007D3F96"/>
    <w:rsid w:val="007D3FE2"/>
    <w:rsid w:val="007D400E"/>
    <w:rsid w:val="007D4159"/>
    <w:rsid w:val="007D4838"/>
    <w:rsid w:val="007D49C1"/>
    <w:rsid w:val="007D49FE"/>
    <w:rsid w:val="007D4DC8"/>
    <w:rsid w:val="007D5194"/>
    <w:rsid w:val="007D523F"/>
    <w:rsid w:val="007D5569"/>
    <w:rsid w:val="007D56B5"/>
    <w:rsid w:val="007D5E67"/>
    <w:rsid w:val="007D626E"/>
    <w:rsid w:val="007D6618"/>
    <w:rsid w:val="007D6A25"/>
    <w:rsid w:val="007D6C29"/>
    <w:rsid w:val="007D7227"/>
    <w:rsid w:val="007D729A"/>
    <w:rsid w:val="007D7348"/>
    <w:rsid w:val="007D750E"/>
    <w:rsid w:val="007D7BD0"/>
    <w:rsid w:val="007D7F46"/>
    <w:rsid w:val="007E02C7"/>
    <w:rsid w:val="007E0832"/>
    <w:rsid w:val="007E0841"/>
    <w:rsid w:val="007E0A6E"/>
    <w:rsid w:val="007E0D9E"/>
    <w:rsid w:val="007E1031"/>
    <w:rsid w:val="007E12D3"/>
    <w:rsid w:val="007E1368"/>
    <w:rsid w:val="007E1D1C"/>
    <w:rsid w:val="007E25E6"/>
    <w:rsid w:val="007E26EE"/>
    <w:rsid w:val="007E2792"/>
    <w:rsid w:val="007E2838"/>
    <w:rsid w:val="007E28A0"/>
    <w:rsid w:val="007E2900"/>
    <w:rsid w:val="007E296F"/>
    <w:rsid w:val="007E2CD0"/>
    <w:rsid w:val="007E2D53"/>
    <w:rsid w:val="007E2F97"/>
    <w:rsid w:val="007E3191"/>
    <w:rsid w:val="007E394E"/>
    <w:rsid w:val="007E3BCE"/>
    <w:rsid w:val="007E3F70"/>
    <w:rsid w:val="007E3FAC"/>
    <w:rsid w:val="007E40CE"/>
    <w:rsid w:val="007E42C4"/>
    <w:rsid w:val="007E43A0"/>
    <w:rsid w:val="007E43D1"/>
    <w:rsid w:val="007E43D6"/>
    <w:rsid w:val="007E4473"/>
    <w:rsid w:val="007E4660"/>
    <w:rsid w:val="007E46A0"/>
    <w:rsid w:val="007E4709"/>
    <w:rsid w:val="007E4EBD"/>
    <w:rsid w:val="007E50D7"/>
    <w:rsid w:val="007E59F2"/>
    <w:rsid w:val="007E5ACB"/>
    <w:rsid w:val="007E5C15"/>
    <w:rsid w:val="007E5CA4"/>
    <w:rsid w:val="007E5FB7"/>
    <w:rsid w:val="007E620F"/>
    <w:rsid w:val="007E6786"/>
    <w:rsid w:val="007E6A98"/>
    <w:rsid w:val="007E7142"/>
    <w:rsid w:val="007E7616"/>
    <w:rsid w:val="007E775E"/>
    <w:rsid w:val="007E79E7"/>
    <w:rsid w:val="007E7F01"/>
    <w:rsid w:val="007F03B8"/>
    <w:rsid w:val="007F064C"/>
    <w:rsid w:val="007F097D"/>
    <w:rsid w:val="007F0AC7"/>
    <w:rsid w:val="007F0D45"/>
    <w:rsid w:val="007F0EE0"/>
    <w:rsid w:val="007F0F10"/>
    <w:rsid w:val="007F0FC6"/>
    <w:rsid w:val="007F10FC"/>
    <w:rsid w:val="007F1293"/>
    <w:rsid w:val="007F1423"/>
    <w:rsid w:val="007F1604"/>
    <w:rsid w:val="007F18CA"/>
    <w:rsid w:val="007F18D2"/>
    <w:rsid w:val="007F1E08"/>
    <w:rsid w:val="007F1F01"/>
    <w:rsid w:val="007F1F34"/>
    <w:rsid w:val="007F2578"/>
    <w:rsid w:val="007F27F4"/>
    <w:rsid w:val="007F2ADD"/>
    <w:rsid w:val="007F2B8E"/>
    <w:rsid w:val="007F2C3D"/>
    <w:rsid w:val="007F2C69"/>
    <w:rsid w:val="007F2D37"/>
    <w:rsid w:val="007F2DFA"/>
    <w:rsid w:val="007F2FDC"/>
    <w:rsid w:val="007F3225"/>
    <w:rsid w:val="007F37AD"/>
    <w:rsid w:val="007F3C4F"/>
    <w:rsid w:val="007F4401"/>
    <w:rsid w:val="007F4428"/>
    <w:rsid w:val="007F476F"/>
    <w:rsid w:val="007F48BC"/>
    <w:rsid w:val="007F4A29"/>
    <w:rsid w:val="007F4E8E"/>
    <w:rsid w:val="007F5881"/>
    <w:rsid w:val="007F5AF6"/>
    <w:rsid w:val="007F5CDF"/>
    <w:rsid w:val="007F5F03"/>
    <w:rsid w:val="007F60BD"/>
    <w:rsid w:val="007F610B"/>
    <w:rsid w:val="007F654C"/>
    <w:rsid w:val="007F6F76"/>
    <w:rsid w:val="007F7269"/>
    <w:rsid w:val="007F749F"/>
    <w:rsid w:val="007F77F5"/>
    <w:rsid w:val="007F78A5"/>
    <w:rsid w:val="007F790E"/>
    <w:rsid w:val="007F7A2E"/>
    <w:rsid w:val="007F7E3C"/>
    <w:rsid w:val="0080049B"/>
    <w:rsid w:val="00800727"/>
    <w:rsid w:val="00800C31"/>
    <w:rsid w:val="00800D34"/>
    <w:rsid w:val="00800E94"/>
    <w:rsid w:val="0080109F"/>
    <w:rsid w:val="00801308"/>
    <w:rsid w:val="0080147E"/>
    <w:rsid w:val="008014F3"/>
    <w:rsid w:val="00801617"/>
    <w:rsid w:val="008018C5"/>
    <w:rsid w:val="00801CE4"/>
    <w:rsid w:val="00801F39"/>
    <w:rsid w:val="00801F58"/>
    <w:rsid w:val="00801F77"/>
    <w:rsid w:val="008020D2"/>
    <w:rsid w:val="00802B9D"/>
    <w:rsid w:val="00802D2C"/>
    <w:rsid w:val="00802DA8"/>
    <w:rsid w:val="00802FEC"/>
    <w:rsid w:val="008032B5"/>
    <w:rsid w:val="0080333D"/>
    <w:rsid w:val="0080340F"/>
    <w:rsid w:val="00803500"/>
    <w:rsid w:val="0080370C"/>
    <w:rsid w:val="00803D2C"/>
    <w:rsid w:val="00803D58"/>
    <w:rsid w:val="00803E9E"/>
    <w:rsid w:val="00803F83"/>
    <w:rsid w:val="0080425B"/>
    <w:rsid w:val="0080444C"/>
    <w:rsid w:val="00804549"/>
    <w:rsid w:val="00804867"/>
    <w:rsid w:val="00804D52"/>
    <w:rsid w:val="00804D78"/>
    <w:rsid w:val="00805278"/>
    <w:rsid w:val="0080573D"/>
    <w:rsid w:val="00805819"/>
    <w:rsid w:val="00805845"/>
    <w:rsid w:val="008059D9"/>
    <w:rsid w:val="00805CEB"/>
    <w:rsid w:val="00806055"/>
    <w:rsid w:val="008061C6"/>
    <w:rsid w:val="0080638D"/>
    <w:rsid w:val="008067C5"/>
    <w:rsid w:val="008068D9"/>
    <w:rsid w:val="00806EEE"/>
    <w:rsid w:val="008071A4"/>
    <w:rsid w:val="00807219"/>
    <w:rsid w:val="008077A7"/>
    <w:rsid w:val="00807877"/>
    <w:rsid w:val="008078E0"/>
    <w:rsid w:val="00807910"/>
    <w:rsid w:val="0080799C"/>
    <w:rsid w:val="00807FBE"/>
    <w:rsid w:val="0081006C"/>
    <w:rsid w:val="008100A5"/>
    <w:rsid w:val="008100DC"/>
    <w:rsid w:val="008103AC"/>
    <w:rsid w:val="008107D7"/>
    <w:rsid w:val="00810947"/>
    <w:rsid w:val="00810E61"/>
    <w:rsid w:val="00810EBA"/>
    <w:rsid w:val="00810EF0"/>
    <w:rsid w:val="00811037"/>
    <w:rsid w:val="0081188E"/>
    <w:rsid w:val="00811D9A"/>
    <w:rsid w:val="00811FC2"/>
    <w:rsid w:val="00812228"/>
    <w:rsid w:val="0081228A"/>
    <w:rsid w:val="00812299"/>
    <w:rsid w:val="00812411"/>
    <w:rsid w:val="00812722"/>
    <w:rsid w:val="00812A60"/>
    <w:rsid w:val="00812ABA"/>
    <w:rsid w:val="00812AD9"/>
    <w:rsid w:val="00812DA9"/>
    <w:rsid w:val="00812E63"/>
    <w:rsid w:val="00812FCD"/>
    <w:rsid w:val="008130C9"/>
    <w:rsid w:val="008134FE"/>
    <w:rsid w:val="00813576"/>
    <w:rsid w:val="00813690"/>
    <w:rsid w:val="008137F1"/>
    <w:rsid w:val="00813856"/>
    <w:rsid w:val="00813BC6"/>
    <w:rsid w:val="00813C18"/>
    <w:rsid w:val="00813CA7"/>
    <w:rsid w:val="00813F96"/>
    <w:rsid w:val="00814102"/>
    <w:rsid w:val="00814311"/>
    <w:rsid w:val="008143E9"/>
    <w:rsid w:val="00814522"/>
    <w:rsid w:val="00814628"/>
    <w:rsid w:val="0081489C"/>
    <w:rsid w:val="008149CF"/>
    <w:rsid w:val="008149E9"/>
    <w:rsid w:val="00814C46"/>
    <w:rsid w:val="00814EFF"/>
    <w:rsid w:val="008150D4"/>
    <w:rsid w:val="0081516D"/>
    <w:rsid w:val="0081533A"/>
    <w:rsid w:val="00815390"/>
    <w:rsid w:val="00816138"/>
    <w:rsid w:val="008166DC"/>
    <w:rsid w:val="00816B41"/>
    <w:rsid w:val="00816DDE"/>
    <w:rsid w:val="008170FC"/>
    <w:rsid w:val="008175FB"/>
    <w:rsid w:val="0081766C"/>
    <w:rsid w:val="0081791D"/>
    <w:rsid w:val="00817D43"/>
    <w:rsid w:val="008200E8"/>
    <w:rsid w:val="008201AA"/>
    <w:rsid w:val="00820586"/>
    <w:rsid w:val="00820787"/>
    <w:rsid w:val="008209A8"/>
    <w:rsid w:val="00820C1F"/>
    <w:rsid w:val="00820D3A"/>
    <w:rsid w:val="00820F96"/>
    <w:rsid w:val="00821535"/>
    <w:rsid w:val="00822338"/>
    <w:rsid w:val="008223B8"/>
    <w:rsid w:val="00822471"/>
    <w:rsid w:val="008224B5"/>
    <w:rsid w:val="0082252D"/>
    <w:rsid w:val="0082279A"/>
    <w:rsid w:val="00822E4A"/>
    <w:rsid w:val="008233C0"/>
    <w:rsid w:val="0082372B"/>
    <w:rsid w:val="008239F7"/>
    <w:rsid w:val="00823D99"/>
    <w:rsid w:val="00823FC9"/>
    <w:rsid w:val="00824272"/>
    <w:rsid w:val="00824649"/>
    <w:rsid w:val="00824657"/>
    <w:rsid w:val="00824E3F"/>
    <w:rsid w:val="0082502A"/>
    <w:rsid w:val="0082525D"/>
    <w:rsid w:val="0082542B"/>
    <w:rsid w:val="008259E6"/>
    <w:rsid w:val="008260B5"/>
    <w:rsid w:val="008264A6"/>
    <w:rsid w:val="008264AE"/>
    <w:rsid w:val="008267EB"/>
    <w:rsid w:val="00826B7E"/>
    <w:rsid w:val="00826C9B"/>
    <w:rsid w:val="00826F54"/>
    <w:rsid w:val="00827450"/>
    <w:rsid w:val="008274CE"/>
    <w:rsid w:val="008274F7"/>
    <w:rsid w:val="00827517"/>
    <w:rsid w:val="0082797D"/>
    <w:rsid w:val="00827A78"/>
    <w:rsid w:val="00827AC6"/>
    <w:rsid w:val="00827B2D"/>
    <w:rsid w:val="00827BF7"/>
    <w:rsid w:val="00827D45"/>
    <w:rsid w:val="00830290"/>
    <w:rsid w:val="0083092A"/>
    <w:rsid w:val="00830A94"/>
    <w:rsid w:val="00830F5F"/>
    <w:rsid w:val="00831080"/>
    <w:rsid w:val="00831157"/>
    <w:rsid w:val="00831358"/>
    <w:rsid w:val="008316E2"/>
    <w:rsid w:val="008318BD"/>
    <w:rsid w:val="00831DC6"/>
    <w:rsid w:val="00831F16"/>
    <w:rsid w:val="008322A6"/>
    <w:rsid w:val="008322A8"/>
    <w:rsid w:val="00832826"/>
    <w:rsid w:val="00832C7F"/>
    <w:rsid w:val="00832CB5"/>
    <w:rsid w:val="0083307C"/>
    <w:rsid w:val="0083311A"/>
    <w:rsid w:val="0083327E"/>
    <w:rsid w:val="0083337D"/>
    <w:rsid w:val="008333EF"/>
    <w:rsid w:val="00833405"/>
    <w:rsid w:val="0083382D"/>
    <w:rsid w:val="00833AB9"/>
    <w:rsid w:val="00833B5C"/>
    <w:rsid w:val="00834090"/>
    <w:rsid w:val="00834104"/>
    <w:rsid w:val="0083412F"/>
    <w:rsid w:val="00834368"/>
    <w:rsid w:val="00834A6E"/>
    <w:rsid w:val="00834B4E"/>
    <w:rsid w:val="008351F1"/>
    <w:rsid w:val="00835276"/>
    <w:rsid w:val="0083552A"/>
    <w:rsid w:val="00835BA2"/>
    <w:rsid w:val="00835C25"/>
    <w:rsid w:val="00835CA0"/>
    <w:rsid w:val="00835D12"/>
    <w:rsid w:val="008362BC"/>
    <w:rsid w:val="008362EE"/>
    <w:rsid w:val="008363CC"/>
    <w:rsid w:val="00836487"/>
    <w:rsid w:val="008364CA"/>
    <w:rsid w:val="00836851"/>
    <w:rsid w:val="00836A7E"/>
    <w:rsid w:val="00836B06"/>
    <w:rsid w:val="00836CF2"/>
    <w:rsid w:val="00836F43"/>
    <w:rsid w:val="00836F83"/>
    <w:rsid w:val="0083727E"/>
    <w:rsid w:val="00837382"/>
    <w:rsid w:val="00837435"/>
    <w:rsid w:val="00837446"/>
    <w:rsid w:val="0083749B"/>
    <w:rsid w:val="00837F1A"/>
    <w:rsid w:val="008404FD"/>
    <w:rsid w:val="0084061C"/>
    <w:rsid w:val="00840666"/>
    <w:rsid w:val="008406B1"/>
    <w:rsid w:val="008408CA"/>
    <w:rsid w:val="00840B6A"/>
    <w:rsid w:val="00840D79"/>
    <w:rsid w:val="00840F77"/>
    <w:rsid w:val="00840FA4"/>
    <w:rsid w:val="008412CC"/>
    <w:rsid w:val="008416B8"/>
    <w:rsid w:val="008416E1"/>
    <w:rsid w:val="00841A79"/>
    <w:rsid w:val="00841B8D"/>
    <w:rsid w:val="00841C79"/>
    <w:rsid w:val="008425FE"/>
    <w:rsid w:val="0084276D"/>
    <w:rsid w:val="008428CC"/>
    <w:rsid w:val="00842C17"/>
    <w:rsid w:val="00842DD4"/>
    <w:rsid w:val="00842DFE"/>
    <w:rsid w:val="00842EDD"/>
    <w:rsid w:val="008430B4"/>
    <w:rsid w:val="0084351F"/>
    <w:rsid w:val="00843982"/>
    <w:rsid w:val="00843C2A"/>
    <w:rsid w:val="00843C53"/>
    <w:rsid w:val="00843EB8"/>
    <w:rsid w:val="00843ED4"/>
    <w:rsid w:val="008440D5"/>
    <w:rsid w:val="0084423B"/>
    <w:rsid w:val="008445C2"/>
    <w:rsid w:val="008445FC"/>
    <w:rsid w:val="00844C44"/>
    <w:rsid w:val="008450AB"/>
    <w:rsid w:val="00845241"/>
    <w:rsid w:val="0084525F"/>
    <w:rsid w:val="0084534A"/>
    <w:rsid w:val="0084539D"/>
    <w:rsid w:val="00845A37"/>
    <w:rsid w:val="00845DFA"/>
    <w:rsid w:val="00845FBA"/>
    <w:rsid w:val="008465A8"/>
    <w:rsid w:val="00846660"/>
    <w:rsid w:val="0084675B"/>
    <w:rsid w:val="008468FC"/>
    <w:rsid w:val="00846CA6"/>
    <w:rsid w:val="008475DB"/>
    <w:rsid w:val="0084760E"/>
    <w:rsid w:val="0084764F"/>
    <w:rsid w:val="008477DA"/>
    <w:rsid w:val="00847821"/>
    <w:rsid w:val="00847A19"/>
    <w:rsid w:val="00847BEF"/>
    <w:rsid w:val="00847CE6"/>
    <w:rsid w:val="00847E5B"/>
    <w:rsid w:val="008503AE"/>
    <w:rsid w:val="008503B4"/>
    <w:rsid w:val="0085079E"/>
    <w:rsid w:val="00850B39"/>
    <w:rsid w:val="00850C37"/>
    <w:rsid w:val="00850CE0"/>
    <w:rsid w:val="008510A5"/>
    <w:rsid w:val="00851102"/>
    <w:rsid w:val="00851204"/>
    <w:rsid w:val="0085170F"/>
    <w:rsid w:val="00851A14"/>
    <w:rsid w:val="00851EB8"/>
    <w:rsid w:val="008525BD"/>
    <w:rsid w:val="00852AE5"/>
    <w:rsid w:val="00852C87"/>
    <w:rsid w:val="0085327A"/>
    <w:rsid w:val="00853A71"/>
    <w:rsid w:val="00853F50"/>
    <w:rsid w:val="00854322"/>
    <w:rsid w:val="0085453E"/>
    <w:rsid w:val="008545B7"/>
    <w:rsid w:val="00854692"/>
    <w:rsid w:val="008551E0"/>
    <w:rsid w:val="00855218"/>
    <w:rsid w:val="008552CB"/>
    <w:rsid w:val="008554AA"/>
    <w:rsid w:val="008554C6"/>
    <w:rsid w:val="0085597B"/>
    <w:rsid w:val="00855C27"/>
    <w:rsid w:val="00855DD9"/>
    <w:rsid w:val="00856067"/>
    <w:rsid w:val="008564E3"/>
    <w:rsid w:val="008566F4"/>
    <w:rsid w:val="00856985"/>
    <w:rsid w:val="0085698E"/>
    <w:rsid w:val="00856C9C"/>
    <w:rsid w:val="00856F36"/>
    <w:rsid w:val="00857550"/>
    <w:rsid w:val="008575D6"/>
    <w:rsid w:val="00857641"/>
    <w:rsid w:val="00857736"/>
    <w:rsid w:val="0085777B"/>
    <w:rsid w:val="00857AC7"/>
    <w:rsid w:val="00857AED"/>
    <w:rsid w:val="00857E2E"/>
    <w:rsid w:val="00857FB2"/>
    <w:rsid w:val="008606AA"/>
    <w:rsid w:val="0086072F"/>
    <w:rsid w:val="00860822"/>
    <w:rsid w:val="0086082E"/>
    <w:rsid w:val="00860B4B"/>
    <w:rsid w:val="00860EC5"/>
    <w:rsid w:val="00861169"/>
    <w:rsid w:val="008618AC"/>
    <w:rsid w:val="00861AC4"/>
    <w:rsid w:val="00861D96"/>
    <w:rsid w:val="00861DCB"/>
    <w:rsid w:val="0086213D"/>
    <w:rsid w:val="00862430"/>
    <w:rsid w:val="00862477"/>
    <w:rsid w:val="00862611"/>
    <w:rsid w:val="0086294B"/>
    <w:rsid w:val="008629AD"/>
    <w:rsid w:val="00862A83"/>
    <w:rsid w:val="00862CD1"/>
    <w:rsid w:val="00862F1D"/>
    <w:rsid w:val="00862F8D"/>
    <w:rsid w:val="00862FD0"/>
    <w:rsid w:val="0086322A"/>
    <w:rsid w:val="008633E2"/>
    <w:rsid w:val="008634CF"/>
    <w:rsid w:val="008638ED"/>
    <w:rsid w:val="008639A0"/>
    <w:rsid w:val="00863A27"/>
    <w:rsid w:val="00863AB3"/>
    <w:rsid w:val="00864120"/>
    <w:rsid w:val="0086465B"/>
    <w:rsid w:val="0086496B"/>
    <w:rsid w:val="00864C7A"/>
    <w:rsid w:val="00864DBC"/>
    <w:rsid w:val="00865009"/>
    <w:rsid w:val="00865099"/>
    <w:rsid w:val="008651E9"/>
    <w:rsid w:val="0086527D"/>
    <w:rsid w:val="0086569F"/>
    <w:rsid w:val="00866349"/>
    <w:rsid w:val="0086652E"/>
    <w:rsid w:val="00867010"/>
    <w:rsid w:val="00867242"/>
    <w:rsid w:val="008677D4"/>
    <w:rsid w:val="00867853"/>
    <w:rsid w:val="00867920"/>
    <w:rsid w:val="00867A21"/>
    <w:rsid w:val="00867C19"/>
    <w:rsid w:val="00867D25"/>
    <w:rsid w:val="00870145"/>
    <w:rsid w:val="0087027E"/>
    <w:rsid w:val="008707E4"/>
    <w:rsid w:val="008708C6"/>
    <w:rsid w:val="00870BA0"/>
    <w:rsid w:val="00870DA9"/>
    <w:rsid w:val="0087145C"/>
    <w:rsid w:val="00871530"/>
    <w:rsid w:val="00871676"/>
    <w:rsid w:val="00871CC7"/>
    <w:rsid w:val="00871E23"/>
    <w:rsid w:val="00872299"/>
    <w:rsid w:val="0087252F"/>
    <w:rsid w:val="00872860"/>
    <w:rsid w:val="00872B5B"/>
    <w:rsid w:val="00872EB4"/>
    <w:rsid w:val="00872F7A"/>
    <w:rsid w:val="0087318E"/>
    <w:rsid w:val="008736CF"/>
    <w:rsid w:val="00873846"/>
    <w:rsid w:val="0087396D"/>
    <w:rsid w:val="00874AEA"/>
    <w:rsid w:val="00874C2C"/>
    <w:rsid w:val="00874EA5"/>
    <w:rsid w:val="008754B8"/>
    <w:rsid w:val="008754ED"/>
    <w:rsid w:val="00875BA9"/>
    <w:rsid w:val="008766CF"/>
    <w:rsid w:val="0087679E"/>
    <w:rsid w:val="00876A5D"/>
    <w:rsid w:val="00876B58"/>
    <w:rsid w:val="00876BC9"/>
    <w:rsid w:val="00876F16"/>
    <w:rsid w:val="00877044"/>
    <w:rsid w:val="008770E5"/>
    <w:rsid w:val="00877279"/>
    <w:rsid w:val="0087727B"/>
    <w:rsid w:val="00877450"/>
    <w:rsid w:val="008778AC"/>
    <w:rsid w:val="00877FDE"/>
    <w:rsid w:val="00880556"/>
    <w:rsid w:val="00881030"/>
    <w:rsid w:val="0088106C"/>
    <w:rsid w:val="0088134C"/>
    <w:rsid w:val="00881517"/>
    <w:rsid w:val="00881849"/>
    <w:rsid w:val="00881C44"/>
    <w:rsid w:val="00882004"/>
    <w:rsid w:val="00882230"/>
    <w:rsid w:val="0088258B"/>
    <w:rsid w:val="008829DE"/>
    <w:rsid w:val="00882B70"/>
    <w:rsid w:val="00882C51"/>
    <w:rsid w:val="00882F5A"/>
    <w:rsid w:val="0088340B"/>
    <w:rsid w:val="008836F1"/>
    <w:rsid w:val="00883809"/>
    <w:rsid w:val="008840C5"/>
    <w:rsid w:val="00884484"/>
    <w:rsid w:val="008847A6"/>
    <w:rsid w:val="00884DDD"/>
    <w:rsid w:val="0088512F"/>
    <w:rsid w:val="008851E2"/>
    <w:rsid w:val="00885594"/>
    <w:rsid w:val="0088563F"/>
    <w:rsid w:val="00885704"/>
    <w:rsid w:val="00885803"/>
    <w:rsid w:val="008860B5"/>
    <w:rsid w:val="008864F1"/>
    <w:rsid w:val="008865A6"/>
    <w:rsid w:val="008866B0"/>
    <w:rsid w:val="00886AF0"/>
    <w:rsid w:val="008870DF"/>
    <w:rsid w:val="00887A9D"/>
    <w:rsid w:val="008901D6"/>
    <w:rsid w:val="00890890"/>
    <w:rsid w:val="008909F7"/>
    <w:rsid w:val="00890DD4"/>
    <w:rsid w:val="00890DDA"/>
    <w:rsid w:val="0089101F"/>
    <w:rsid w:val="00891417"/>
    <w:rsid w:val="0089149D"/>
    <w:rsid w:val="00891830"/>
    <w:rsid w:val="00891DA8"/>
    <w:rsid w:val="0089208C"/>
    <w:rsid w:val="008921E2"/>
    <w:rsid w:val="00892756"/>
    <w:rsid w:val="00892866"/>
    <w:rsid w:val="00892B11"/>
    <w:rsid w:val="00892E1F"/>
    <w:rsid w:val="0089304C"/>
    <w:rsid w:val="00893235"/>
    <w:rsid w:val="00893598"/>
    <w:rsid w:val="00893C3B"/>
    <w:rsid w:val="00893FF9"/>
    <w:rsid w:val="00894131"/>
    <w:rsid w:val="008947D0"/>
    <w:rsid w:val="00894927"/>
    <w:rsid w:val="00894AD4"/>
    <w:rsid w:val="00894C17"/>
    <w:rsid w:val="00894DAC"/>
    <w:rsid w:val="008950BC"/>
    <w:rsid w:val="008958F1"/>
    <w:rsid w:val="00895A40"/>
    <w:rsid w:val="00895CF0"/>
    <w:rsid w:val="00895D0F"/>
    <w:rsid w:val="00895F27"/>
    <w:rsid w:val="008960E1"/>
    <w:rsid w:val="0089628D"/>
    <w:rsid w:val="00896330"/>
    <w:rsid w:val="008964B3"/>
    <w:rsid w:val="008966B2"/>
    <w:rsid w:val="008966E2"/>
    <w:rsid w:val="00896AEB"/>
    <w:rsid w:val="00896B60"/>
    <w:rsid w:val="00896E6A"/>
    <w:rsid w:val="0089708F"/>
    <w:rsid w:val="00897123"/>
    <w:rsid w:val="0089713A"/>
    <w:rsid w:val="0089751B"/>
    <w:rsid w:val="008975EE"/>
    <w:rsid w:val="00897D1F"/>
    <w:rsid w:val="008A014A"/>
    <w:rsid w:val="008A02CB"/>
    <w:rsid w:val="008A05C7"/>
    <w:rsid w:val="008A07AC"/>
    <w:rsid w:val="008A07E7"/>
    <w:rsid w:val="008A0A56"/>
    <w:rsid w:val="008A0A5A"/>
    <w:rsid w:val="008A0A96"/>
    <w:rsid w:val="008A0B3A"/>
    <w:rsid w:val="008A171C"/>
    <w:rsid w:val="008A1722"/>
    <w:rsid w:val="008A1818"/>
    <w:rsid w:val="008A1932"/>
    <w:rsid w:val="008A1934"/>
    <w:rsid w:val="008A1C5A"/>
    <w:rsid w:val="008A1E11"/>
    <w:rsid w:val="008A1F13"/>
    <w:rsid w:val="008A1F90"/>
    <w:rsid w:val="008A2285"/>
    <w:rsid w:val="008A2348"/>
    <w:rsid w:val="008A2388"/>
    <w:rsid w:val="008A23F5"/>
    <w:rsid w:val="008A261F"/>
    <w:rsid w:val="008A2785"/>
    <w:rsid w:val="008A2934"/>
    <w:rsid w:val="008A2D8D"/>
    <w:rsid w:val="008A3A34"/>
    <w:rsid w:val="008A3A56"/>
    <w:rsid w:val="008A3A86"/>
    <w:rsid w:val="008A3F5E"/>
    <w:rsid w:val="008A40D3"/>
    <w:rsid w:val="008A4513"/>
    <w:rsid w:val="008A467D"/>
    <w:rsid w:val="008A4793"/>
    <w:rsid w:val="008A487A"/>
    <w:rsid w:val="008A4893"/>
    <w:rsid w:val="008A4B0B"/>
    <w:rsid w:val="008A4B8C"/>
    <w:rsid w:val="008A4BB0"/>
    <w:rsid w:val="008A4D12"/>
    <w:rsid w:val="008A547D"/>
    <w:rsid w:val="008A5560"/>
    <w:rsid w:val="008A56A7"/>
    <w:rsid w:val="008A5911"/>
    <w:rsid w:val="008A5C79"/>
    <w:rsid w:val="008A5DFA"/>
    <w:rsid w:val="008A5F1A"/>
    <w:rsid w:val="008A5FFA"/>
    <w:rsid w:val="008A6035"/>
    <w:rsid w:val="008A6173"/>
    <w:rsid w:val="008A62DD"/>
    <w:rsid w:val="008A659D"/>
    <w:rsid w:val="008A6718"/>
    <w:rsid w:val="008A6889"/>
    <w:rsid w:val="008A6902"/>
    <w:rsid w:val="008A69C4"/>
    <w:rsid w:val="008A6EB7"/>
    <w:rsid w:val="008A6F0E"/>
    <w:rsid w:val="008A7065"/>
    <w:rsid w:val="008A7234"/>
    <w:rsid w:val="008A74EE"/>
    <w:rsid w:val="008A756D"/>
    <w:rsid w:val="008A763D"/>
    <w:rsid w:val="008A78E0"/>
    <w:rsid w:val="008A7E1E"/>
    <w:rsid w:val="008A7E22"/>
    <w:rsid w:val="008A7EC4"/>
    <w:rsid w:val="008B001E"/>
    <w:rsid w:val="008B0189"/>
    <w:rsid w:val="008B0272"/>
    <w:rsid w:val="008B0895"/>
    <w:rsid w:val="008B0EEF"/>
    <w:rsid w:val="008B1141"/>
    <w:rsid w:val="008B15D0"/>
    <w:rsid w:val="008B181B"/>
    <w:rsid w:val="008B214A"/>
    <w:rsid w:val="008B2157"/>
    <w:rsid w:val="008B2216"/>
    <w:rsid w:val="008B2234"/>
    <w:rsid w:val="008B25B0"/>
    <w:rsid w:val="008B28D0"/>
    <w:rsid w:val="008B2D39"/>
    <w:rsid w:val="008B2FA1"/>
    <w:rsid w:val="008B3438"/>
    <w:rsid w:val="008B3569"/>
    <w:rsid w:val="008B3B5A"/>
    <w:rsid w:val="008B3FAB"/>
    <w:rsid w:val="008B42F9"/>
    <w:rsid w:val="008B447C"/>
    <w:rsid w:val="008B4838"/>
    <w:rsid w:val="008B4A95"/>
    <w:rsid w:val="008B5003"/>
    <w:rsid w:val="008B56CC"/>
    <w:rsid w:val="008B5861"/>
    <w:rsid w:val="008B59B9"/>
    <w:rsid w:val="008B5DBB"/>
    <w:rsid w:val="008B630C"/>
    <w:rsid w:val="008B6398"/>
    <w:rsid w:val="008B6959"/>
    <w:rsid w:val="008B6AED"/>
    <w:rsid w:val="008B6B0C"/>
    <w:rsid w:val="008B71A3"/>
    <w:rsid w:val="008B72AF"/>
    <w:rsid w:val="008B78A3"/>
    <w:rsid w:val="008B7A21"/>
    <w:rsid w:val="008B7E1D"/>
    <w:rsid w:val="008B7EA7"/>
    <w:rsid w:val="008B7EA9"/>
    <w:rsid w:val="008C0033"/>
    <w:rsid w:val="008C00D8"/>
    <w:rsid w:val="008C01AB"/>
    <w:rsid w:val="008C01AC"/>
    <w:rsid w:val="008C01DE"/>
    <w:rsid w:val="008C02AF"/>
    <w:rsid w:val="008C02D4"/>
    <w:rsid w:val="008C07A9"/>
    <w:rsid w:val="008C07C2"/>
    <w:rsid w:val="008C18BB"/>
    <w:rsid w:val="008C1915"/>
    <w:rsid w:val="008C1FDD"/>
    <w:rsid w:val="008C2221"/>
    <w:rsid w:val="008C2323"/>
    <w:rsid w:val="008C2446"/>
    <w:rsid w:val="008C293A"/>
    <w:rsid w:val="008C2C66"/>
    <w:rsid w:val="008C2D0B"/>
    <w:rsid w:val="008C2F7C"/>
    <w:rsid w:val="008C2FBC"/>
    <w:rsid w:val="008C30EB"/>
    <w:rsid w:val="008C322F"/>
    <w:rsid w:val="008C3338"/>
    <w:rsid w:val="008C356A"/>
    <w:rsid w:val="008C3588"/>
    <w:rsid w:val="008C35FE"/>
    <w:rsid w:val="008C38D5"/>
    <w:rsid w:val="008C38F4"/>
    <w:rsid w:val="008C3A44"/>
    <w:rsid w:val="008C3CFE"/>
    <w:rsid w:val="008C3E67"/>
    <w:rsid w:val="008C3F0D"/>
    <w:rsid w:val="008C4075"/>
    <w:rsid w:val="008C4505"/>
    <w:rsid w:val="008C45AB"/>
    <w:rsid w:val="008C4702"/>
    <w:rsid w:val="008C4761"/>
    <w:rsid w:val="008C4765"/>
    <w:rsid w:val="008C4B7E"/>
    <w:rsid w:val="008C4CFB"/>
    <w:rsid w:val="008C4D82"/>
    <w:rsid w:val="008C5307"/>
    <w:rsid w:val="008C5465"/>
    <w:rsid w:val="008C5687"/>
    <w:rsid w:val="008C5726"/>
    <w:rsid w:val="008C574F"/>
    <w:rsid w:val="008C5B39"/>
    <w:rsid w:val="008C5B51"/>
    <w:rsid w:val="008C5DBA"/>
    <w:rsid w:val="008C6240"/>
    <w:rsid w:val="008C6437"/>
    <w:rsid w:val="008C6696"/>
    <w:rsid w:val="008C6710"/>
    <w:rsid w:val="008C6955"/>
    <w:rsid w:val="008C6D07"/>
    <w:rsid w:val="008C6EAB"/>
    <w:rsid w:val="008C7016"/>
    <w:rsid w:val="008C731F"/>
    <w:rsid w:val="008C7346"/>
    <w:rsid w:val="008C758F"/>
    <w:rsid w:val="008C7A3A"/>
    <w:rsid w:val="008C7B65"/>
    <w:rsid w:val="008C7EA4"/>
    <w:rsid w:val="008C7FF0"/>
    <w:rsid w:val="008D053F"/>
    <w:rsid w:val="008D0A74"/>
    <w:rsid w:val="008D0BB1"/>
    <w:rsid w:val="008D0DE2"/>
    <w:rsid w:val="008D19D1"/>
    <w:rsid w:val="008D20C1"/>
    <w:rsid w:val="008D28D5"/>
    <w:rsid w:val="008D2FC1"/>
    <w:rsid w:val="008D30DE"/>
    <w:rsid w:val="008D31C5"/>
    <w:rsid w:val="008D31DC"/>
    <w:rsid w:val="008D3535"/>
    <w:rsid w:val="008D35A1"/>
    <w:rsid w:val="008D4187"/>
    <w:rsid w:val="008D470B"/>
    <w:rsid w:val="008D4892"/>
    <w:rsid w:val="008D491A"/>
    <w:rsid w:val="008D4941"/>
    <w:rsid w:val="008D49A9"/>
    <w:rsid w:val="008D49F5"/>
    <w:rsid w:val="008D4C10"/>
    <w:rsid w:val="008D500B"/>
    <w:rsid w:val="008D50F4"/>
    <w:rsid w:val="008D5D98"/>
    <w:rsid w:val="008D5E2F"/>
    <w:rsid w:val="008D634C"/>
    <w:rsid w:val="008D6AC5"/>
    <w:rsid w:val="008D6BC4"/>
    <w:rsid w:val="008D7B60"/>
    <w:rsid w:val="008D7EED"/>
    <w:rsid w:val="008E035D"/>
    <w:rsid w:val="008E0D9A"/>
    <w:rsid w:val="008E1427"/>
    <w:rsid w:val="008E18B7"/>
    <w:rsid w:val="008E18C7"/>
    <w:rsid w:val="008E1CD6"/>
    <w:rsid w:val="008E1D1B"/>
    <w:rsid w:val="008E1E34"/>
    <w:rsid w:val="008E2076"/>
    <w:rsid w:val="008E21D7"/>
    <w:rsid w:val="008E228F"/>
    <w:rsid w:val="008E2310"/>
    <w:rsid w:val="008E2929"/>
    <w:rsid w:val="008E30DC"/>
    <w:rsid w:val="008E34CB"/>
    <w:rsid w:val="008E36B7"/>
    <w:rsid w:val="008E3C7C"/>
    <w:rsid w:val="008E3D97"/>
    <w:rsid w:val="008E420D"/>
    <w:rsid w:val="008E47CA"/>
    <w:rsid w:val="008E4BB1"/>
    <w:rsid w:val="008E4EE0"/>
    <w:rsid w:val="008E5000"/>
    <w:rsid w:val="008E50DC"/>
    <w:rsid w:val="008E5619"/>
    <w:rsid w:val="008E56E3"/>
    <w:rsid w:val="008E56FE"/>
    <w:rsid w:val="008E595D"/>
    <w:rsid w:val="008E6428"/>
    <w:rsid w:val="008E644A"/>
    <w:rsid w:val="008E6499"/>
    <w:rsid w:val="008E6708"/>
    <w:rsid w:val="008E6873"/>
    <w:rsid w:val="008E7340"/>
    <w:rsid w:val="008E775B"/>
    <w:rsid w:val="008E78DA"/>
    <w:rsid w:val="008E7FCB"/>
    <w:rsid w:val="008F0061"/>
    <w:rsid w:val="008F0185"/>
    <w:rsid w:val="008F01DD"/>
    <w:rsid w:val="008F04CF"/>
    <w:rsid w:val="008F052F"/>
    <w:rsid w:val="008F06DC"/>
    <w:rsid w:val="008F0CE7"/>
    <w:rsid w:val="008F15F6"/>
    <w:rsid w:val="008F1633"/>
    <w:rsid w:val="008F16B0"/>
    <w:rsid w:val="008F177B"/>
    <w:rsid w:val="008F17FA"/>
    <w:rsid w:val="008F193F"/>
    <w:rsid w:val="008F1B62"/>
    <w:rsid w:val="008F2047"/>
    <w:rsid w:val="008F2161"/>
    <w:rsid w:val="008F2233"/>
    <w:rsid w:val="008F227C"/>
    <w:rsid w:val="008F2296"/>
    <w:rsid w:val="008F23A2"/>
    <w:rsid w:val="008F2576"/>
    <w:rsid w:val="008F2956"/>
    <w:rsid w:val="008F2BC8"/>
    <w:rsid w:val="008F2CC4"/>
    <w:rsid w:val="008F2E33"/>
    <w:rsid w:val="008F31EF"/>
    <w:rsid w:val="008F33B5"/>
    <w:rsid w:val="008F34DD"/>
    <w:rsid w:val="008F3646"/>
    <w:rsid w:val="008F369B"/>
    <w:rsid w:val="008F376B"/>
    <w:rsid w:val="008F37CB"/>
    <w:rsid w:val="008F3959"/>
    <w:rsid w:val="008F39B8"/>
    <w:rsid w:val="008F3DC6"/>
    <w:rsid w:val="008F4158"/>
    <w:rsid w:val="008F4287"/>
    <w:rsid w:val="008F48DC"/>
    <w:rsid w:val="008F4AE2"/>
    <w:rsid w:val="008F4D22"/>
    <w:rsid w:val="008F4F66"/>
    <w:rsid w:val="008F5099"/>
    <w:rsid w:val="008F5191"/>
    <w:rsid w:val="008F5886"/>
    <w:rsid w:val="008F5AAB"/>
    <w:rsid w:val="008F5C9D"/>
    <w:rsid w:val="008F5D33"/>
    <w:rsid w:val="008F650F"/>
    <w:rsid w:val="008F67BF"/>
    <w:rsid w:val="008F698E"/>
    <w:rsid w:val="008F6AB2"/>
    <w:rsid w:val="008F6DF5"/>
    <w:rsid w:val="008F6E60"/>
    <w:rsid w:val="008F727E"/>
    <w:rsid w:val="008F73F2"/>
    <w:rsid w:val="008F74D7"/>
    <w:rsid w:val="008F7570"/>
    <w:rsid w:val="008F7655"/>
    <w:rsid w:val="008F7700"/>
    <w:rsid w:val="008F77BB"/>
    <w:rsid w:val="008F7B5B"/>
    <w:rsid w:val="008F7B93"/>
    <w:rsid w:val="008F7C7A"/>
    <w:rsid w:val="008F7DD3"/>
    <w:rsid w:val="008F7E37"/>
    <w:rsid w:val="008F7E4B"/>
    <w:rsid w:val="008F7F5E"/>
    <w:rsid w:val="00900073"/>
    <w:rsid w:val="0090019B"/>
    <w:rsid w:val="009002A0"/>
    <w:rsid w:val="00900589"/>
    <w:rsid w:val="009006B7"/>
    <w:rsid w:val="009006DE"/>
    <w:rsid w:val="00900817"/>
    <w:rsid w:val="009008CC"/>
    <w:rsid w:val="00900935"/>
    <w:rsid w:val="00900ABC"/>
    <w:rsid w:val="00900E57"/>
    <w:rsid w:val="00900F24"/>
    <w:rsid w:val="00901162"/>
    <w:rsid w:val="0090136F"/>
    <w:rsid w:val="009013ED"/>
    <w:rsid w:val="00901424"/>
    <w:rsid w:val="0090159E"/>
    <w:rsid w:val="0090183A"/>
    <w:rsid w:val="00901906"/>
    <w:rsid w:val="00901937"/>
    <w:rsid w:val="00901BD6"/>
    <w:rsid w:val="009020ED"/>
    <w:rsid w:val="009022B5"/>
    <w:rsid w:val="009022CF"/>
    <w:rsid w:val="009024AA"/>
    <w:rsid w:val="00902BD3"/>
    <w:rsid w:val="00902F60"/>
    <w:rsid w:val="00903354"/>
    <w:rsid w:val="0090366A"/>
    <w:rsid w:val="00903E00"/>
    <w:rsid w:val="00903E9A"/>
    <w:rsid w:val="009040F9"/>
    <w:rsid w:val="009041D1"/>
    <w:rsid w:val="00904283"/>
    <w:rsid w:val="00904347"/>
    <w:rsid w:val="00904505"/>
    <w:rsid w:val="0090453B"/>
    <w:rsid w:val="0090490B"/>
    <w:rsid w:val="009049F6"/>
    <w:rsid w:val="00904BCF"/>
    <w:rsid w:val="00904DC9"/>
    <w:rsid w:val="00904F80"/>
    <w:rsid w:val="009056FF"/>
    <w:rsid w:val="00905D2A"/>
    <w:rsid w:val="00906204"/>
    <w:rsid w:val="0090625D"/>
    <w:rsid w:val="0090643E"/>
    <w:rsid w:val="00906459"/>
    <w:rsid w:val="00906753"/>
    <w:rsid w:val="00906924"/>
    <w:rsid w:val="00906D7B"/>
    <w:rsid w:val="00906EEE"/>
    <w:rsid w:val="009071D4"/>
    <w:rsid w:val="00907496"/>
    <w:rsid w:val="0090753A"/>
    <w:rsid w:val="0090757D"/>
    <w:rsid w:val="00907685"/>
    <w:rsid w:val="00907916"/>
    <w:rsid w:val="00907F88"/>
    <w:rsid w:val="009100E7"/>
    <w:rsid w:val="00910110"/>
    <w:rsid w:val="00910189"/>
    <w:rsid w:val="00910343"/>
    <w:rsid w:val="0091088C"/>
    <w:rsid w:val="0091119C"/>
    <w:rsid w:val="0091125A"/>
    <w:rsid w:val="009118C3"/>
    <w:rsid w:val="009119A6"/>
    <w:rsid w:val="00911CCD"/>
    <w:rsid w:val="009125EC"/>
    <w:rsid w:val="00912654"/>
    <w:rsid w:val="00912866"/>
    <w:rsid w:val="0091331F"/>
    <w:rsid w:val="00913710"/>
    <w:rsid w:val="00913D42"/>
    <w:rsid w:val="00914243"/>
    <w:rsid w:val="009145DE"/>
    <w:rsid w:val="00914723"/>
    <w:rsid w:val="009148CD"/>
    <w:rsid w:val="009151BD"/>
    <w:rsid w:val="009152B6"/>
    <w:rsid w:val="009157B7"/>
    <w:rsid w:val="00915825"/>
    <w:rsid w:val="00915CE6"/>
    <w:rsid w:val="00916121"/>
    <w:rsid w:val="0091612A"/>
    <w:rsid w:val="009171EB"/>
    <w:rsid w:val="009172F5"/>
    <w:rsid w:val="0091740D"/>
    <w:rsid w:val="0091751C"/>
    <w:rsid w:val="0091792F"/>
    <w:rsid w:val="00917C2B"/>
    <w:rsid w:val="009201BB"/>
    <w:rsid w:val="00920283"/>
    <w:rsid w:val="0092043F"/>
    <w:rsid w:val="00920D2C"/>
    <w:rsid w:val="009210B5"/>
    <w:rsid w:val="009212E2"/>
    <w:rsid w:val="009215C3"/>
    <w:rsid w:val="0092196F"/>
    <w:rsid w:val="00921994"/>
    <w:rsid w:val="00921A89"/>
    <w:rsid w:val="00921E64"/>
    <w:rsid w:val="00921E92"/>
    <w:rsid w:val="0092217F"/>
    <w:rsid w:val="0092229E"/>
    <w:rsid w:val="00922891"/>
    <w:rsid w:val="009228C1"/>
    <w:rsid w:val="0092292B"/>
    <w:rsid w:val="00922B9F"/>
    <w:rsid w:val="00922C6D"/>
    <w:rsid w:val="009236D8"/>
    <w:rsid w:val="0092387A"/>
    <w:rsid w:val="009238C0"/>
    <w:rsid w:val="00923AA7"/>
    <w:rsid w:val="00923E08"/>
    <w:rsid w:val="00923E75"/>
    <w:rsid w:val="00923F0B"/>
    <w:rsid w:val="00923F0E"/>
    <w:rsid w:val="00924315"/>
    <w:rsid w:val="00924731"/>
    <w:rsid w:val="0092489C"/>
    <w:rsid w:val="00924B56"/>
    <w:rsid w:val="00924F67"/>
    <w:rsid w:val="0092517C"/>
    <w:rsid w:val="009251E5"/>
    <w:rsid w:val="00925719"/>
    <w:rsid w:val="00925791"/>
    <w:rsid w:val="00925C2A"/>
    <w:rsid w:val="00925FD0"/>
    <w:rsid w:val="00926451"/>
    <w:rsid w:val="009268CB"/>
    <w:rsid w:val="00926E55"/>
    <w:rsid w:val="00927013"/>
    <w:rsid w:val="0092763D"/>
    <w:rsid w:val="00927649"/>
    <w:rsid w:val="00927671"/>
    <w:rsid w:val="009276EB"/>
    <w:rsid w:val="00927BF7"/>
    <w:rsid w:val="00927D87"/>
    <w:rsid w:val="00930953"/>
    <w:rsid w:val="00930973"/>
    <w:rsid w:val="00930A98"/>
    <w:rsid w:val="00930DD1"/>
    <w:rsid w:val="00931149"/>
    <w:rsid w:val="009312B2"/>
    <w:rsid w:val="0093131F"/>
    <w:rsid w:val="0093153B"/>
    <w:rsid w:val="00931BC0"/>
    <w:rsid w:val="00932378"/>
    <w:rsid w:val="0093280E"/>
    <w:rsid w:val="00932A8B"/>
    <w:rsid w:val="00932F68"/>
    <w:rsid w:val="00933087"/>
    <w:rsid w:val="0093349E"/>
    <w:rsid w:val="009337A2"/>
    <w:rsid w:val="00934088"/>
    <w:rsid w:val="009342E9"/>
    <w:rsid w:val="009344D6"/>
    <w:rsid w:val="0093483C"/>
    <w:rsid w:val="00934B30"/>
    <w:rsid w:val="00934B93"/>
    <w:rsid w:val="00934BEE"/>
    <w:rsid w:val="00934C9D"/>
    <w:rsid w:val="00935247"/>
    <w:rsid w:val="00935573"/>
    <w:rsid w:val="009359AB"/>
    <w:rsid w:val="00935AC1"/>
    <w:rsid w:val="00935FE1"/>
    <w:rsid w:val="009364ED"/>
    <w:rsid w:val="00936B14"/>
    <w:rsid w:val="00936E52"/>
    <w:rsid w:val="00936E78"/>
    <w:rsid w:val="00937259"/>
    <w:rsid w:val="0093778B"/>
    <w:rsid w:val="009377D9"/>
    <w:rsid w:val="009377EA"/>
    <w:rsid w:val="00937874"/>
    <w:rsid w:val="00937C47"/>
    <w:rsid w:val="00937C4D"/>
    <w:rsid w:val="00937D06"/>
    <w:rsid w:val="00937EE2"/>
    <w:rsid w:val="00940354"/>
    <w:rsid w:val="00940404"/>
    <w:rsid w:val="009411C7"/>
    <w:rsid w:val="00941781"/>
    <w:rsid w:val="009424A7"/>
    <w:rsid w:val="0094294B"/>
    <w:rsid w:val="009429AA"/>
    <w:rsid w:val="00942CC5"/>
    <w:rsid w:val="00942E31"/>
    <w:rsid w:val="00943535"/>
    <w:rsid w:val="00943689"/>
    <w:rsid w:val="009439B2"/>
    <w:rsid w:val="00943A05"/>
    <w:rsid w:val="00943AF1"/>
    <w:rsid w:val="00943C43"/>
    <w:rsid w:val="009442F9"/>
    <w:rsid w:val="00945101"/>
    <w:rsid w:val="009452E3"/>
    <w:rsid w:val="0094545F"/>
    <w:rsid w:val="009455B2"/>
    <w:rsid w:val="009457DD"/>
    <w:rsid w:val="00945960"/>
    <w:rsid w:val="00945EB1"/>
    <w:rsid w:val="00946406"/>
    <w:rsid w:val="009464B5"/>
    <w:rsid w:val="009466D6"/>
    <w:rsid w:val="00946AD3"/>
    <w:rsid w:val="00946C43"/>
    <w:rsid w:val="00946C93"/>
    <w:rsid w:val="00946EB6"/>
    <w:rsid w:val="00946FE2"/>
    <w:rsid w:val="0094717D"/>
    <w:rsid w:val="00947228"/>
    <w:rsid w:val="00947417"/>
    <w:rsid w:val="009477D6"/>
    <w:rsid w:val="0094787C"/>
    <w:rsid w:val="009501BD"/>
    <w:rsid w:val="0095053A"/>
    <w:rsid w:val="00951870"/>
    <w:rsid w:val="00952259"/>
    <w:rsid w:val="00952613"/>
    <w:rsid w:val="00952E04"/>
    <w:rsid w:val="00952E1A"/>
    <w:rsid w:val="00952F6A"/>
    <w:rsid w:val="00953508"/>
    <w:rsid w:val="00953C09"/>
    <w:rsid w:val="00953C61"/>
    <w:rsid w:val="00953F1A"/>
    <w:rsid w:val="00953FA7"/>
    <w:rsid w:val="00954217"/>
    <w:rsid w:val="009544C6"/>
    <w:rsid w:val="0095491B"/>
    <w:rsid w:val="00954930"/>
    <w:rsid w:val="00955443"/>
    <w:rsid w:val="0095566C"/>
    <w:rsid w:val="00955BC0"/>
    <w:rsid w:val="00955EA1"/>
    <w:rsid w:val="00955FE8"/>
    <w:rsid w:val="00955FFA"/>
    <w:rsid w:val="00956B77"/>
    <w:rsid w:val="00956D46"/>
    <w:rsid w:val="00956F23"/>
    <w:rsid w:val="009576B9"/>
    <w:rsid w:val="009579F9"/>
    <w:rsid w:val="00957C97"/>
    <w:rsid w:val="00957CE0"/>
    <w:rsid w:val="00957D3A"/>
    <w:rsid w:val="00957EE1"/>
    <w:rsid w:val="00957F9B"/>
    <w:rsid w:val="009601CF"/>
    <w:rsid w:val="009604CD"/>
    <w:rsid w:val="00960564"/>
    <w:rsid w:val="009608C1"/>
    <w:rsid w:val="00960BA9"/>
    <w:rsid w:val="00960CA8"/>
    <w:rsid w:val="00960E59"/>
    <w:rsid w:val="00960EFC"/>
    <w:rsid w:val="0096117B"/>
    <w:rsid w:val="00961412"/>
    <w:rsid w:val="00961AE6"/>
    <w:rsid w:val="00961B07"/>
    <w:rsid w:val="00962092"/>
    <w:rsid w:val="009621FD"/>
    <w:rsid w:val="009624DD"/>
    <w:rsid w:val="00962F01"/>
    <w:rsid w:val="00962F6A"/>
    <w:rsid w:val="00963199"/>
    <w:rsid w:val="009632EB"/>
    <w:rsid w:val="009632F6"/>
    <w:rsid w:val="009635D0"/>
    <w:rsid w:val="009639A5"/>
    <w:rsid w:val="00963E9F"/>
    <w:rsid w:val="00964124"/>
    <w:rsid w:val="00964406"/>
    <w:rsid w:val="00964429"/>
    <w:rsid w:val="009644B9"/>
    <w:rsid w:val="009645B5"/>
    <w:rsid w:val="009645E3"/>
    <w:rsid w:val="00964730"/>
    <w:rsid w:val="00964AA0"/>
    <w:rsid w:val="00964C17"/>
    <w:rsid w:val="00964EA3"/>
    <w:rsid w:val="00964F23"/>
    <w:rsid w:val="00965165"/>
    <w:rsid w:val="00965228"/>
    <w:rsid w:val="00965858"/>
    <w:rsid w:val="00965A7A"/>
    <w:rsid w:val="00966119"/>
    <w:rsid w:val="00966183"/>
    <w:rsid w:val="009661D5"/>
    <w:rsid w:val="00966208"/>
    <w:rsid w:val="009664DF"/>
    <w:rsid w:val="009665C9"/>
    <w:rsid w:val="00966643"/>
    <w:rsid w:val="00966CD7"/>
    <w:rsid w:val="00966E82"/>
    <w:rsid w:val="0096715B"/>
    <w:rsid w:val="009671CF"/>
    <w:rsid w:val="0096728D"/>
    <w:rsid w:val="00967331"/>
    <w:rsid w:val="00967474"/>
    <w:rsid w:val="00970264"/>
    <w:rsid w:val="00970265"/>
    <w:rsid w:val="009702D5"/>
    <w:rsid w:val="00970E42"/>
    <w:rsid w:val="0097131B"/>
    <w:rsid w:val="0097157F"/>
    <w:rsid w:val="009716D3"/>
    <w:rsid w:val="00971B8C"/>
    <w:rsid w:val="00971C34"/>
    <w:rsid w:val="00972297"/>
    <w:rsid w:val="00972398"/>
    <w:rsid w:val="0097285F"/>
    <w:rsid w:val="00972B49"/>
    <w:rsid w:val="00972CA3"/>
    <w:rsid w:val="00972E38"/>
    <w:rsid w:val="009730F1"/>
    <w:rsid w:val="0097344D"/>
    <w:rsid w:val="00973A98"/>
    <w:rsid w:val="00973D21"/>
    <w:rsid w:val="00973E26"/>
    <w:rsid w:val="00973FA2"/>
    <w:rsid w:val="009740D6"/>
    <w:rsid w:val="00974184"/>
    <w:rsid w:val="00974191"/>
    <w:rsid w:val="00974435"/>
    <w:rsid w:val="009746CE"/>
    <w:rsid w:val="00974742"/>
    <w:rsid w:val="00974B2D"/>
    <w:rsid w:val="00974C2D"/>
    <w:rsid w:val="00974DD7"/>
    <w:rsid w:val="00974ED5"/>
    <w:rsid w:val="00975072"/>
    <w:rsid w:val="009750AF"/>
    <w:rsid w:val="0097515E"/>
    <w:rsid w:val="00975352"/>
    <w:rsid w:val="009757D7"/>
    <w:rsid w:val="00975CE1"/>
    <w:rsid w:val="00975F5A"/>
    <w:rsid w:val="00976126"/>
    <w:rsid w:val="00976199"/>
    <w:rsid w:val="009761D4"/>
    <w:rsid w:val="0097670F"/>
    <w:rsid w:val="0097697F"/>
    <w:rsid w:val="00976B32"/>
    <w:rsid w:val="00976BA3"/>
    <w:rsid w:val="00976D39"/>
    <w:rsid w:val="00976F38"/>
    <w:rsid w:val="0097706F"/>
    <w:rsid w:val="009776D8"/>
    <w:rsid w:val="00977903"/>
    <w:rsid w:val="0097795D"/>
    <w:rsid w:val="00977AC7"/>
    <w:rsid w:val="00977DEB"/>
    <w:rsid w:val="0098016E"/>
    <w:rsid w:val="00980245"/>
    <w:rsid w:val="0098038B"/>
    <w:rsid w:val="009809DF"/>
    <w:rsid w:val="00980F33"/>
    <w:rsid w:val="00980FCD"/>
    <w:rsid w:val="009812E7"/>
    <w:rsid w:val="009813C0"/>
    <w:rsid w:val="00981624"/>
    <w:rsid w:val="009818BA"/>
    <w:rsid w:val="009819B7"/>
    <w:rsid w:val="00981C40"/>
    <w:rsid w:val="00981FAE"/>
    <w:rsid w:val="0098213C"/>
    <w:rsid w:val="009824DA"/>
    <w:rsid w:val="00982555"/>
    <w:rsid w:val="00982C39"/>
    <w:rsid w:val="00982F77"/>
    <w:rsid w:val="00982FDB"/>
    <w:rsid w:val="009835A3"/>
    <w:rsid w:val="009836CC"/>
    <w:rsid w:val="009837F3"/>
    <w:rsid w:val="00983870"/>
    <w:rsid w:val="00983ACA"/>
    <w:rsid w:val="00983C67"/>
    <w:rsid w:val="00983D43"/>
    <w:rsid w:val="00983EDB"/>
    <w:rsid w:val="00984234"/>
    <w:rsid w:val="009842D2"/>
    <w:rsid w:val="009843D5"/>
    <w:rsid w:val="00984510"/>
    <w:rsid w:val="00984835"/>
    <w:rsid w:val="00984BDB"/>
    <w:rsid w:val="00984E2E"/>
    <w:rsid w:val="00984ECD"/>
    <w:rsid w:val="00985AA5"/>
    <w:rsid w:val="00985AE7"/>
    <w:rsid w:val="00985CB1"/>
    <w:rsid w:val="00985E29"/>
    <w:rsid w:val="0098606E"/>
    <w:rsid w:val="00986481"/>
    <w:rsid w:val="009865B8"/>
    <w:rsid w:val="00986698"/>
    <w:rsid w:val="009867BC"/>
    <w:rsid w:val="0098689A"/>
    <w:rsid w:val="00986970"/>
    <w:rsid w:val="00986EB2"/>
    <w:rsid w:val="00987086"/>
    <w:rsid w:val="00987116"/>
    <w:rsid w:val="009871EC"/>
    <w:rsid w:val="00987536"/>
    <w:rsid w:val="009876D4"/>
    <w:rsid w:val="0098785F"/>
    <w:rsid w:val="00987B48"/>
    <w:rsid w:val="00987B51"/>
    <w:rsid w:val="00987C52"/>
    <w:rsid w:val="00987D4C"/>
    <w:rsid w:val="00987D68"/>
    <w:rsid w:val="00987DA6"/>
    <w:rsid w:val="00987E47"/>
    <w:rsid w:val="0099004F"/>
    <w:rsid w:val="00990073"/>
    <w:rsid w:val="009900DC"/>
    <w:rsid w:val="00990242"/>
    <w:rsid w:val="009903EE"/>
    <w:rsid w:val="0099065F"/>
    <w:rsid w:val="00990686"/>
    <w:rsid w:val="009906D8"/>
    <w:rsid w:val="00990A68"/>
    <w:rsid w:val="00990AC5"/>
    <w:rsid w:val="00990D24"/>
    <w:rsid w:val="00990D57"/>
    <w:rsid w:val="0099114B"/>
    <w:rsid w:val="00991531"/>
    <w:rsid w:val="009916F9"/>
    <w:rsid w:val="0099183B"/>
    <w:rsid w:val="00991976"/>
    <w:rsid w:val="00991E38"/>
    <w:rsid w:val="00992071"/>
    <w:rsid w:val="0099256C"/>
    <w:rsid w:val="00992674"/>
    <w:rsid w:val="00992786"/>
    <w:rsid w:val="00992863"/>
    <w:rsid w:val="00992B2D"/>
    <w:rsid w:val="00992C67"/>
    <w:rsid w:val="00993301"/>
    <w:rsid w:val="0099335B"/>
    <w:rsid w:val="009934C9"/>
    <w:rsid w:val="009936D7"/>
    <w:rsid w:val="009939F5"/>
    <w:rsid w:val="00993A9C"/>
    <w:rsid w:val="00993F97"/>
    <w:rsid w:val="00994A53"/>
    <w:rsid w:val="00994BF1"/>
    <w:rsid w:val="00994C9B"/>
    <w:rsid w:val="00994EF6"/>
    <w:rsid w:val="00994F27"/>
    <w:rsid w:val="00994FF4"/>
    <w:rsid w:val="00995070"/>
    <w:rsid w:val="009955BC"/>
    <w:rsid w:val="00995C6A"/>
    <w:rsid w:val="00995C93"/>
    <w:rsid w:val="00996216"/>
    <w:rsid w:val="00996574"/>
    <w:rsid w:val="009965CA"/>
    <w:rsid w:val="009966AB"/>
    <w:rsid w:val="00996AD9"/>
    <w:rsid w:val="00996C1B"/>
    <w:rsid w:val="00996D74"/>
    <w:rsid w:val="009972C3"/>
    <w:rsid w:val="00997368"/>
    <w:rsid w:val="00997898"/>
    <w:rsid w:val="009978BD"/>
    <w:rsid w:val="009979F1"/>
    <w:rsid w:val="00997B03"/>
    <w:rsid w:val="00997BA9"/>
    <w:rsid w:val="00997E55"/>
    <w:rsid w:val="00997E65"/>
    <w:rsid w:val="00997F3D"/>
    <w:rsid w:val="009A01AA"/>
    <w:rsid w:val="009A03CB"/>
    <w:rsid w:val="009A05E5"/>
    <w:rsid w:val="009A05F1"/>
    <w:rsid w:val="009A07DA"/>
    <w:rsid w:val="009A0844"/>
    <w:rsid w:val="009A0B04"/>
    <w:rsid w:val="009A0B8C"/>
    <w:rsid w:val="009A0C3D"/>
    <w:rsid w:val="009A0E3F"/>
    <w:rsid w:val="009A0EE8"/>
    <w:rsid w:val="009A0FF8"/>
    <w:rsid w:val="009A1516"/>
    <w:rsid w:val="009A15DD"/>
    <w:rsid w:val="009A1604"/>
    <w:rsid w:val="009A18A7"/>
    <w:rsid w:val="009A1C38"/>
    <w:rsid w:val="009A1DD4"/>
    <w:rsid w:val="009A2B78"/>
    <w:rsid w:val="009A2D88"/>
    <w:rsid w:val="009A2DF1"/>
    <w:rsid w:val="009A31FC"/>
    <w:rsid w:val="009A32B2"/>
    <w:rsid w:val="009A349D"/>
    <w:rsid w:val="009A3594"/>
    <w:rsid w:val="009A3622"/>
    <w:rsid w:val="009A39DA"/>
    <w:rsid w:val="009A3C95"/>
    <w:rsid w:val="009A3F0E"/>
    <w:rsid w:val="009A4529"/>
    <w:rsid w:val="009A46FE"/>
    <w:rsid w:val="009A4B31"/>
    <w:rsid w:val="009A4C06"/>
    <w:rsid w:val="009A50A8"/>
    <w:rsid w:val="009A51A5"/>
    <w:rsid w:val="009A52E0"/>
    <w:rsid w:val="009A5820"/>
    <w:rsid w:val="009A586D"/>
    <w:rsid w:val="009A588E"/>
    <w:rsid w:val="009A5D25"/>
    <w:rsid w:val="009A61B3"/>
    <w:rsid w:val="009A68F0"/>
    <w:rsid w:val="009A6B2E"/>
    <w:rsid w:val="009A6C31"/>
    <w:rsid w:val="009A6CAE"/>
    <w:rsid w:val="009A70D2"/>
    <w:rsid w:val="009A782F"/>
    <w:rsid w:val="009A7C08"/>
    <w:rsid w:val="009B00B6"/>
    <w:rsid w:val="009B0429"/>
    <w:rsid w:val="009B0997"/>
    <w:rsid w:val="009B0B0F"/>
    <w:rsid w:val="009B122A"/>
    <w:rsid w:val="009B12E0"/>
    <w:rsid w:val="009B13E1"/>
    <w:rsid w:val="009B1507"/>
    <w:rsid w:val="009B171F"/>
    <w:rsid w:val="009B1F9A"/>
    <w:rsid w:val="009B2479"/>
    <w:rsid w:val="009B28B3"/>
    <w:rsid w:val="009B2CCB"/>
    <w:rsid w:val="009B2DBB"/>
    <w:rsid w:val="009B3398"/>
    <w:rsid w:val="009B34C8"/>
    <w:rsid w:val="009B3BA6"/>
    <w:rsid w:val="009B3DA5"/>
    <w:rsid w:val="009B3DF6"/>
    <w:rsid w:val="009B42D4"/>
    <w:rsid w:val="009B45BD"/>
    <w:rsid w:val="009B46E0"/>
    <w:rsid w:val="009B493A"/>
    <w:rsid w:val="009B49AA"/>
    <w:rsid w:val="009B4A88"/>
    <w:rsid w:val="009B4B85"/>
    <w:rsid w:val="009B4E7B"/>
    <w:rsid w:val="009B540A"/>
    <w:rsid w:val="009B558C"/>
    <w:rsid w:val="009B5AA5"/>
    <w:rsid w:val="009B5B76"/>
    <w:rsid w:val="009B5BAF"/>
    <w:rsid w:val="009B5F94"/>
    <w:rsid w:val="009B5FAE"/>
    <w:rsid w:val="009B641E"/>
    <w:rsid w:val="009B64EA"/>
    <w:rsid w:val="009B6D68"/>
    <w:rsid w:val="009B6F7E"/>
    <w:rsid w:val="009B748D"/>
    <w:rsid w:val="009B7551"/>
    <w:rsid w:val="009B7771"/>
    <w:rsid w:val="009B7800"/>
    <w:rsid w:val="009B7825"/>
    <w:rsid w:val="009B79F6"/>
    <w:rsid w:val="009B7C5D"/>
    <w:rsid w:val="009C0164"/>
    <w:rsid w:val="009C0404"/>
    <w:rsid w:val="009C0946"/>
    <w:rsid w:val="009C0985"/>
    <w:rsid w:val="009C0ACF"/>
    <w:rsid w:val="009C0CBA"/>
    <w:rsid w:val="009C0E8C"/>
    <w:rsid w:val="009C0F25"/>
    <w:rsid w:val="009C0F6E"/>
    <w:rsid w:val="009C1298"/>
    <w:rsid w:val="009C1394"/>
    <w:rsid w:val="009C1412"/>
    <w:rsid w:val="009C1528"/>
    <w:rsid w:val="009C16D6"/>
    <w:rsid w:val="009C196E"/>
    <w:rsid w:val="009C1B64"/>
    <w:rsid w:val="009C1EBF"/>
    <w:rsid w:val="009C21CF"/>
    <w:rsid w:val="009C25A9"/>
    <w:rsid w:val="009C2789"/>
    <w:rsid w:val="009C2A71"/>
    <w:rsid w:val="009C2A96"/>
    <w:rsid w:val="009C2E38"/>
    <w:rsid w:val="009C2FD7"/>
    <w:rsid w:val="009C307C"/>
    <w:rsid w:val="009C308F"/>
    <w:rsid w:val="009C3179"/>
    <w:rsid w:val="009C3304"/>
    <w:rsid w:val="009C3643"/>
    <w:rsid w:val="009C3682"/>
    <w:rsid w:val="009C38AF"/>
    <w:rsid w:val="009C38B1"/>
    <w:rsid w:val="009C3A86"/>
    <w:rsid w:val="009C3F44"/>
    <w:rsid w:val="009C4991"/>
    <w:rsid w:val="009C4A75"/>
    <w:rsid w:val="009C513C"/>
    <w:rsid w:val="009C5217"/>
    <w:rsid w:val="009C5379"/>
    <w:rsid w:val="009C5556"/>
    <w:rsid w:val="009C5584"/>
    <w:rsid w:val="009C5B32"/>
    <w:rsid w:val="009C5D22"/>
    <w:rsid w:val="009C601F"/>
    <w:rsid w:val="009C6031"/>
    <w:rsid w:val="009C62AA"/>
    <w:rsid w:val="009C64CF"/>
    <w:rsid w:val="009C6856"/>
    <w:rsid w:val="009C6E5B"/>
    <w:rsid w:val="009C7395"/>
    <w:rsid w:val="009C73F6"/>
    <w:rsid w:val="009C74D3"/>
    <w:rsid w:val="009C75B9"/>
    <w:rsid w:val="009C768E"/>
    <w:rsid w:val="009C7C0A"/>
    <w:rsid w:val="009C7CBE"/>
    <w:rsid w:val="009D03FD"/>
    <w:rsid w:val="009D0466"/>
    <w:rsid w:val="009D0638"/>
    <w:rsid w:val="009D0792"/>
    <w:rsid w:val="009D0FF6"/>
    <w:rsid w:val="009D1017"/>
    <w:rsid w:val="009D13F0"/>
    <w:rsid w:val="009D1D55"/>
    <w:rsid w:val="009D2233"/>
    <w:rsid w:val="009D25CB"/>
    <w:rsid w:val="009D2679"/>
    <w:rsid w:val="009D2966"/>
    <w:rsid w:val="009D32DD"/>
    <w:rsid w:val="009D33AD"/>
    <w:rsid w:val="009D33BE"/>
    <w:rsid w:val="009D34AB"/>
    <w:rsid w:val="009D3764"/>
    <w:rsid w:val="009D3775"/>
    <w:rsid w:val="009D3AAC"/>
    <w:rsid w:val="009D3CEA"/>
    <w:rsid w:val="009D42B6"/>
    <w:rsid w:val="009D4414"/>
    <w:rsid w:val="009D46AA"/>
    <w:rsid w:val="009D482F"/>
    <w:rsid w:val="009D48A8"/>
    <w:rsid w:val="009D4C09"/>
    <w:rsid w:val="009D4C5D"/>
    <w:rsid w:val="009D5B1E"/>
    <w:rsid w:val="009D5C2C"/>
    <w:rsid w:val="009D5C95"/>
    <w:rsid w:val="009D5E7A"/>
    <w:rsid w:val="009D6030"/>
    <w:rsid w:val="009D6191"/>
    <w:rsid w:val="009D6228"/>
    <w:rsid w:val="009D6660"/>
    <w:rsid w:val="009D6A6E"/>
    <w:rsid w:val="009D6B43"/>
    <w:rsid w:val="009D6F2A"/>
    <w:rsid w:val="009D714F"/>
    <w:rsid w:val="009D7210"/>
    <w:rsid w:val="009D7243"/>
    <w:rsid w:val="009D7281"/>
    <w:rsid w:val="009D730A"/>
    <w:rsid w:val="009D74AD"/>
    <w:rsid w:val="009D7521"/>
    <w:rsid w:val="009D79DC"/>
    <w:rsid w:val="009D7C0A"/>
    <w:rsid w:val="009D7DE2"/>
    <w:rsid w:val="009E0115"/>
    <w:rsid w:val="009E0527"/>
    <w:rsid w:val="009E05C6"/>
    <w:rsid w:val="009E080A"/>
    <w:rsid w:val="009E08F6"/>
    <w:rsid w:val="009E0B77"/>
    <w:rsid w:val="009E11CA"/>
    <w:rsid w:val="009E126B"/>
    <w:rsid w:val="009E12C2"/>
    <w:rsid w:val="009E1319"/>
    <w:rsid w:val="009E1415"/>
    <w:rsid w:val="009E178C"/>
    <w:rsid w:val="009E1898"/>
    <w:rsid w:val="009E1A5D"/>
    <w:rsid w:val="009E1A7D"/>
    <w:rsid w:val="009E1AE8"/>
    <w:rsid w:val="009E1CB6"/>
    <w:rsid w:val="009E1DCB"/>
    <w:rsid w:val="009E1DE8"/>
    <w:rsid w:val="009E20E8"/>
    <w:rsid w:val="009E221F"/>
    <w:rsid w:val="009E22BB"/>
    <w:rsid w:val="009E2644"/>
    <w:rsid w:val="009E26DE"/>
    <w:rsid w:val="009E293E"/>
    <w:rsid w:val="009E2A53"/>
    <w:rsid w:val="009E31C1"/>
    <w:rsid w:val="009E31D9"/>
    <w:rsid w:val="009E35D0"/>
    <w:rsid w:val="009E3A9C"/>
    <w:rsid w:val="009E3DA4"/>
    <w:rsid w:val="009E480F"/>
    <w:rsid w:val="009E4951"/>
    <w:rsid w:val="009E4B48"/>
    <w:rsid w:val="009E4CD2"/>
    <w:rsid w:val="009E4EAF"/>
    <w:rsid w:val="009E4F5A"/>
    <w:rsid w:val="009E509D"/>
    <w:rsid w:val="009E533A"/>
    <w:rsid w:val="009E53C2"/>
    <w:rsid w:val="009E55AD"/>
    <w:rsid w:val="009E57BA"/>
    <w:rsid w:val="009E5803"/>
    <w:rsid w:val="009E5969"/>
    <w:rsid w:val="009E5FC0"/>
    <w:rsid w:val="009E6077"/>
    <w:rsid w:val="009E62BD"/>
    <w:rsid w:val="009E62C7"/>
    <w:rsid w:val="009E62E5"/>
    <w:rsid w:val="009E63D7"/>
    <w:rsid w:val="009E644A"/>
    <w:rsid w:val="009E65E1"/>
    <w:rsid w:val="009E68DF"/>
    <w:rsid w:val="009E6A0E"/>
    <w:rsid w:val="009E6A99"/>
    <w:rsid w:val="009E6CB0"/>
    <w:rsid w:val="009E6E1D"/>
    <w:rsid w:val="009E7190"/>
    <w:rsid w:val="009E7471"/>
    <w:rsid w:val="009E79A4"/>
    <w:rsid w:val="009F0152"/>
    <w:rsid w:val="009F0197"/>
    <w:rsid w:val="009F0292"/>
    <w:rsid w:val="009F03BC"/>
    <w:rsid w:val="009F0409"/>
    <w:rsid w:val="009F0539"/>
    <w:rsid w:val="009F0702"/>
    <w:rsid w:val="009F07F1"/>
    <w:rsid w:val="009F08C0"/>
    <w:rsid w:val="009F0985"/>
    <w:rsid w:val="009F0B41"/>
    <w:rsid w:val="009F0B6C"/>
    <w:rsid w:val="009F0BD5"/>
    <w:rsid w:val="009F0BDE"/>
    <w:rsid w:val="009F0DE8"/>
    <w:rsid w:val="009F0E05"/>
    <w:rsid w:val="009F0E4C"/>
    <w:rsid w:val="009F1A84"/>
    <w:rsid w:val="009F1F01"/>
    <w:rsid w:val="009F207C"/>
    <w:rsid w:val="009F21CD"/>
    <w:rsid w:val="009F22A8"/>
    <w:rsid w:val="009F22DC"/>
    <w:rsid w:val="009F23C9"/>
    <w:rsid w:val="009F2537"/>
    <w:rsid w:val="009F2D71"/>
    <w:rsid w:val="009F2E2F"/>
    <w:rsid w:val="009F2FA0"/>
    <w:rsid w:val="009F32C5"/>
    <w:rsid w:val="009F3554"/>
    <w:rsid w:val="009F3627"/>
    <w:rsid w:val="009F3729"/>
    <w:rsid w:val="009F3B64"/>
    <w:rsid w:val="009F40A1"/>
    <w:rsid w:val="009F41DF"/>
    <w:rsid w:val="009F43B1"/>
    <w:rsid w:val="009F43FA"/>
    <w:rsid w:val="009F4B1E"/>
    <w:rsid w:val="009F4CDE"/>
    <w:rsid w:val="009F4D4C"/>
    <w:rsid w:val="009F4DB1"/>
    <w:rsid w:val="009F5464"/>
    <w:rsid w:val="009F548E"/>
    <w:rsid w:val="009F54DA"/>
    <w:rsid w:val="009F5733"/>
    <w:rsid w:val="009F5CF2"/>
    <w:rsid w:val="009F5F85"/>
    <w:rsid w:val="009F6240"/>
    <w:rsid w:val="009F6391"/>
    <w:rsid w:val="009F6685"/>
    <w:rsid w:val="009F68B1"/>
    <w:rsid w:val="009F69D5"/>
    <w:rsid w:val="009F6B1F"/>
    <w:rsid w:val="009F6BFA"/>
    <w:rsid w:val="009F6CC2"/>
    <w:rsid w:val="009F6DA2"/>
    <w:rsid w:val="009F717C"/>
    <w:rsid w:val="009F718C"/>
    <w:rsid w:val="009F7327"/>
    <w:rsid w:val="009F7816"/>
    <w:rsid w:val="009F78EA"/>
    <w:rsid w:val="009F7B15"/>
    <w:rsid w:val="009F7E1D"/>
    <w:rsid w:val="00A002E6"/>
    <w:rsid w:val="00A006D0"/>
    <w:rsid w:val="00A00CE6"/>
    <w:rsid w:val="00A00E01"/>
    <w:rsid w:val="00A00E62"/>
    <w:rsid w:val="00A0104C"/>
    <w:rsid w:val="00A01278"/>
    <w:rsid w:val="00A016C3"/>
    <w:rsid w:val="00A01796"/>
    <w:rsid w:val="00A017E4"/>
    <w:rsid w:val="00A01868"/>
    <w:rsid w:val="00A01881"/>
    <w:rsid w:val="00A01E67"/>
    <w:rsid w:val="00A01F7B"/>
    <w:rsid w:val="00A02102"/>
    <w:rsid w:val="00A0216B"/>
    <w:rsid w:val="00A0242B"/>
    <w:rsid w:val="00A02453"/>
    <w:rsid w:val="00A02881"/>
    <w:rsid w:val="00A029AE"/>
    <w:rsid w:val="00A02BA8"/>
    <w:rsid w:val="00A02BC2"/>
    <w:rsid w:val="00A02F98"/>
    <w:rsid w:val="00A02FFF"/>
    <w:rsid w:val="00A03057"/>
    <w:rsid w:val="00A0308B"/>
    <w:rsid w:val="00A030A3"/>
    <w:rsid w:val="00A03131"/>
    <w:rsid w:val="00A0392B"/>
    <w:rsid w:val="00A03A24"/>
    <w:rsid w:val="00A03A61"/>
    <w:rsid w:val="00A03DB2"/>
    <w:rsid w:val="00A04033"/>
    <w:rsid w:val="00A0414E"/>
    <w:rsid w:val="00A04227"/>
    <w:rsid w:val="00A04336"/>
    <w:rsid w:val="00A04450"/>
    <w:rsid w:val="00A04568"/>
    <w:rsid w:val="00A04BA6"/>
    <w:rsid w:val="00A04DAD"/>
    <w:rsid w:val="00A050C2"/>
    <w:rsid w:val="00A05570"/>
    <w:rsid w:val="00A05D4C"/>
    <w:rsid w:val="00A05E5A"/>
    <w:rsid w:val="00A05F92"/>
    <w:rsid w:val="00A062E9"/>
    <w:rsid w:val="00A0636B"/>
    <w:rsid w:val="00A0638F"/>
    <w:rsid w:val="00A064CB"/>
    <w:rsid w:val="00A06588"/>
    <w:rsid w:val="00A06637"/>
    <w:rsid w:val="00A0677A"/>
    <w:rsid w:val="00A067E5"/>
    <w:rsid w:val="00A06C51"/>
    <w:rsid w:val="00A071CF"/>
    <w:rsid w:val="00A0723C"/>
    <w:rsid w:val="00A07266"/>
    <w:rsid w:val="00A072D9"/>
    <w:rsid w:val="00A07388"/>
    <w:rsid w:val="00A073EF"/>
    <w:rsid w:val="00A07585"/>
    <w:rsid w:val="00A075B8"/>
    <w:rsid w:val="00A07A9F"/>
    <w:rsid w:val="00A10164"/>
    <w:rsid w:val="00A10A29"/>
    <w:rsid w:val="00A10B92"/>
    <w:rsid w:val="00A113BF"/>
    <w:rsid w:val="00A115A9"/>
    <w:rsid w:val="00A1164A"/>
    <w:rsid w:val="00A11681"/>
    <w:rsid w:val="00A119EB"/>
    <w:rsid w:val="00A11A85"/>
    <w:rsid w:val="00A11B4B"/>
    <w:rsid w:val="00A11D6A"/>
    <w:rsid w:val="00A11ECD"/>
    <w:rsid w:val="00A120E8"/>
    <w:rsid w:val="00A1216B"/>
    <w:rsid w:val="00A122D5"/>
    <w:rsid w:val="00A125F7"/>
    <w:rsid w:val="00A12621"/>
    <w:rsid w:val="00A12776"/>
    <w:rsid w:val="00A127DA"/>
    <w:rsid w:val="00A12C29"/>
    <w:rsid w:val="00A12E53"/>
    <w:rsid w:val="00A13212"/>
    <w:rsid w:val="00A132B6"/>
    <w:rsid w:val="00A13511"/>
    <w:rsid w:val="00A1370C"/>
    <w:rsid w:val="00A139C5"/>
    <w:rsid w:val="00A13D45"/>
    <w:rsid w:val="00A140EB"/>
    <w:rsid w:val="00A146AB"/>
    <w:rsid w:val="00A146C0"/>
    <w:rsid w:val="00A147F8"/>
    <w:rsid w:val="00A14D87"/>
    <w:rsid w:val="00A14E66"/>
    <w:rsid w:val="00A15256"/>
    <w:rsid w:val="00A153CE"/>
    <w:rsid w:val="00A155E4"/>
    <w:rsid w:val="00A15B11"/>
    <w:rsid w:val="00A15D09"/>
    <w:rsid w:val="00A15FA5"/>
    <w:rsid w:val="00A16431"/>
    <w:rsid w:val="00A1643B"/>
    <w:rsid w:val="00A166C4"/>
    <w:rsid w:val="00A16829"/>
    <w:rsid w:val="00A16A77"/>
    <w:rsid w:val="00A16B39"/>
    <w:rsid w:val="00A16BE4"/>
    <w:rsid w:val="00A170CF"/>
    <w:rsid w:val="00A174C5"/>
    <w:rsid w:val="00A1774F"/>
    <w:rsid w:val="00A17933"/>
    <w:rsid w:val="00A17B1A"/>
    <w:rsid w:val="00A20575"/>
    <w:rsid w:val="00A20C7C"/>
    <w:rsid w:val="00A20D2D"/>
    <w:rsid w:val="00A20D3F"/>
    <w:rsid w:val="00A218EE"/>
    <w:rsid w:val="00A21B31"/>
    <w:rsid w:val="00A2233F"/>
    <w:rsid w:val="00A22488"/>
    <w:rsid w:val="00A2284D"/>
    <w:rsid w:val="00A22905"/>
    <w:rsid w:val="00A22C55"/>
    <w:rsid w:val="00A22E16"/>
    <w:rsid w:val="00A22F1E"/>
    <w:rsid w:val="00A23277"/>
    <w:rsid w:val="00A23376"/>
    <w:rsid w:val="00A2349E"/>
    <w:rsid w:val="00A235FC"/>
    <w:rsid w:val="00A240E5"/>
    <w:rsid w:val="00A24198"/>
    <w:rsid w:val="00A243D8"/>
    <w:rsid w:val="00A2450F"/>
    <w:rsid w:val="00A2456D"/>
    <w:rsid w:val="00A2489E"/>
    <w:rsid w:val="00A249C0"/>
    <w:rsid w:val="00A24AFE"/>
    <w:rsid w:val="00A24C03"/>
    <w:rsid w:val="00A25608"/>
    <w:rsid w:val="00A25812"/>
    <w:rsid w:val="00A2587C"/>
    <w:rsid w:val="00A258E9"/>
    <w:rsid w:val="00A25F06"/>
    <w:rsid w:val="00A25FA5"/>
    <w:rsid w:val="00A262DC"/>
    <w:rsid w:val="00A26487"/>
    <w:rsid w:val="00A26B37"/>
    <w:rsid w:val="00A272AA"/>
    <w:rsid w:val="00A27637"/>
    <w:rsid w:val="00A277D2"/>
    <w:rsid w:val="00A3030A"/>
    <w:rsid w:val="00A3034C"/>
    <w:rsid w:val="00A30450"/>
    <w:rsid w:val="00A30C1F"/>
    <w:rsid w:val="00A30DF0"/>
    <w:rsid w:val="00A30EE2"/>
    <w:rsid w:val="00A31115"/>
    <w:rsid w:val="00A3123B"/>
    <w:rsid w:val="00A31455"/>
    <w:rsid w:val="00A31596"/>
    <w:rsid w:val="00A31D08"/>
    <w:rsid w:val="00A328EE"/>
    <w:rsid w:val="00A3298E"/>
    <w:rsid w:val="00A32A4D"/>
    <w:rsid w:val="00A32B36"/>
    <w:rsid w:val="00A32C2E"/>
    <w:rsid w:val="00A32E3C"/>
    <w:rsid w:val="00A32EB0"/>
    <w:rsid w:val="00A330B5"/>
    <w:rsid w:val="00A330F9"/>
    <w:rsid w:val="00A33122"/>
    <w:rsid w:val="00A3365B"/>
    <w:rsid w:val="00A33AC6"/>
    <w:rsid w:val="00A33BB4"/>
    <w:rsid w:val="00A3401C"/>
    <w:rsid w:val="00A3417F"/>
    <w:rsid w:val="00A349DC"/>
    <w:rsid w:val="00A34D59"/>
    <w:rsid w:val="00A34E14"/>
    <w:rsid w:val="00A3503C"/>
    <w:rsid w:val="00A3510C"/>
    <w:rsid w:val="00A352BF"/>
    <w:rsid w:val="00A35526"/>
    <w:rsid w:val="00A35CB8"/>
    <w:rsid w:val="00A35E16"/>
    <w:rsid w:val="00A3638A"/>
    <w:rsid w:val="00A363A5"/>
    <w:rsid w:val="00A365BB"/>
    <w:rsid w:val="00A36824"/>
    <w:rsid w:val="00A36BF0"/>
    <w:rsid w:val="00A36DB6"/>
    <w:rsid w:val="00A3718D"/>
    <w:rsid w:val="00A371E4"/>
    <w:rsid w:val="00A3745A"/>
    <w:rsid w:val="00A379A3"/>
    <w:rsid w:val="00A400AE"/>
    <w:rsid w:val="00A40423"/>
    <w:rsid w:val="00A40914"/>
    <w:rsid w:val="00A40CA0"/>
    <w:rsid w:val="00A40EAC"/>
    <w:rsid w:val="00A41031"/>
    <w:rsid w:val="00A410A4"/>
    <w:rsid w:val="00A411E0"/>
    <w:rsid w:val="00A41282"/>
    <w:rsid w:val="00A413BA"/>
    <w:rsid w:val="00A41861"/>
    <w:rsid w:val="00A41910"/>
    <w:rsid w:val="00A41D89"/>
    <w:rsid w:val="00A4252B"/>
    <w:rsid w:val="00A42621"/>
    <w:rsid w:val="00A42F42"/>
    <w:rsid w:val="00A43072"/>
    <w:rsid w:val="00A43158"/>
    <w:rsid w:val="00A43581"/>
    <w:rsid w:val="00A43DF2"/>
    <w:rsid w:val="00A43F27"/>
    <w:rsid w:val="00A43FE1"/>
    <w:rsid w:val="00A441F6"/>
    <w:rsid w:val="00A44471"/>
    <w:rsid w:val="00A44586"/>
    <w:rsid w:val="00A4486B"/>
    <w:rsid w:val="00A44CB3"/>
    <w:rsid w:val="00A44D68"/>
    <w:rsid w:val="00A45931"/>
    <w:rsid w:val="00A45B3F"/>
    <w:rsid w:val="00A45B61"/>
    <w:rsid w:val="00A45C25"/>
    <w:rsid w:val="00A45D8D"/>
    <w:rsid w:val="00A461D4"/>
    <w:rsid w:val="00A4626A"/>
    <w:rsid w:val="00A46684"/>
    <w:rsid w:val="00A467B7"/>
    <w:rsid w:val="00A468AA"/>
    <w:rsid w:val="00A4763C"/>
    <w:rsid w:val="00A47727"/>
    <w:rsid w:val="00A477FA"/>
    <w:rsid w:val="00A47E90"/>
    <w:rsid w:val="00A47EEA"/>
    <w:rsid w:val="00A502CF"/>
    <w:rsid w:val="00A502D6"/>
    <w:rsid w:val="00A50A07"/>
    <w:rsid w:val="00A50C36"/>
    <w:rsid w:val="00A50EE6"/>
    <w:rsid w:val="00A50FE2"/>
    <w:rsid w:val="00A51129"/>
    <w:rsid w:val="00A515A6"/>
    <w:rsid w:val="00A51642"/>
    <w:rsid w:val="00A519DC"/>
    <w:rsid w:val="00A51AEA"/>
    <w:rsid w:val="00A5223B"/>
    <w:rsid w:val="00A5230D"/>
    <w:rsid w:val="00A5265C"/>
    <w:rsid w:val="00A5288B"/>
    <w:rsid w:val="00A52DC5"/>
    <w:rsid w:val="00A52E51"/>
    <w:rsid w:val="00A53002"/>
    <w:rsid w:val="00A53077"/>
    <w:rsid w:val="00A53565"/>
    <w:rsid w:val="00A53A49"/>
    <w:rsid w:val="00A53AB6"/>
    <w:rsid w:val="00A53DAA"/>
    <w:rsid w:val="00A54493"/>
    <w:rsid w:val="00A547F7"/>
    <w:rsid w:val="00A548EF"/>
    <w:rsid w:val="00A54E9C"/>
    <w:rsid w:val="00A54FCB"/>
    <w:rsid w:val="00A55145"/>
    <w:rsid w:val="00A5518E"/>
    <w:rsid w:val="00A55331"/>
    <w:rsid w:val="00A5664E"/>
    <w:rsid w:val="00A566A3"/>
    <w:rsid w:val="00A566BA"/>
    <w:rsid w:val="00A56D90"/>
    <w:rsid w:val="00A56DEA"/>
    <w:rsid w:val="00A56EED"/>
    <w:rsid w:val="00A56FDD"/>
    <w:rsid w:val="00A573AC"/>
    <w:rsid w:val="00A5751B"/>
    <w:rsid w:val="00A5763C"/>
    <w:rsid w:val="00A577F5"/>
    <w:rsid w:val="00A57887"/>
    <w:rsid w:val="00A57D37"/>
    <w:rsid w:val="00A60144"/>
    <w:rsid w:val="00A60320"/>
    <w:rsid w:val="00A603E6"/>
    <w:rsid w:val="00A60577"/>
    <w:rsid w:val="00A60853"/>
    <w:rsid w:val="00A6090A"/>
    <w:rsid w:val="00A60B3F"/>
    <w:rsid w:val="00A611AC"/>
    <w:rsid w:val="00A612FE"/>
    <w:rsid w:val="00A615D6"/>
    <w:rsid w:val="00A61AA6"/>
    <w:rsid w:val="00A61F98"/>
    <w:rsid w:val="00A622BD"/>
    <w:rsid w:val="00A622F5"/>
    <w:rsid w:val="00A6230F"/>
    <w:rsid w:val="00A62356"/>
    <w:rsid w:val="00A623D1"/>
    <w:rsid w:val="00A63058"/>
    <w:rsid w:val="00A63145"/>
    <w:rsid w:val="00A633F5"/>
    <w:rsid w:val="00A6373A"/>
    <w:rsid w:val="00A63D0D"/>
    <w:rsid w:val="00A63E4A"/>
    <w:rsid w:val="00A63F9F"/>
    <w:rsid w:val="00A6432D"/>
    <w:rsid w:val="00A64527"/>
    <w:rsid w:val="00A6455F"/>
    <w:rsid w:val="00A64625"/>
    <w:rsid w:val="00A6466B"/>
    <w:rsid w:val="00A64AD3"/>
    <w:rsid w:val="00A64E5D"/>
    <w:rsid w:val="00A65178"/>
    <w:rsid w:val="00A65786"/>
    <w:rsid w:val="00A6599D"/>
    <w:rsid w:val="00A65B62"/>
    <w:rsid w:val="00A662BD"/>
    <w:rsid w:val="00A663B5"/>
    <w:rsid w:val="00A66BF4"/>
    <w:rsid w:val="00A66D0A"/>
    <w:rsid w:val="00A66DD1"/>
    <w:rsid w:val="00A66FF9"/>
    <w:rsid w:val="00A674AD"/>
    <w:rsid w:val="00A676FE"/>
    <w:rsid w:val="00A67D8A"/>
    <w:rsid w:val="00A67EA9"/>
    <w:rsid w:val="00A700BE"/>
    <w:rsid w:val="00A701A1"/>
    <w:rsid w:val="00A70261"/>
    <w:rsid w:val="00A702BE"/>
    <w:rsid w:val="00A705E2"/>
    <w:rsid w:val="00A70B88"/>
    <w:rsid w:val="00A70E8B"/>
    <w:rsid w:val="00A70F68"/>
    <w:rsid w:val="00A7101C"/>
    <w:rsid w:val="00A71112"/>
    <w:rsid w:val="00A711FE"/>
    <w:rsid w:val="00A71335"/>
    <w:rsid w:val="00A7136D"/>
    <w:rsid w:val="00A71386"/>
    <w:rsid w:val="00A71F98"/>
    <w:rsid w:val="00A722A5"/>
    <w:rsid w:val="00A7271E"/>
    <w:rsid w:val="00A72B8C"/>
    <w:rsid w:val="00A72E40"/>
    <w:rsid w:val="00A72F06"/>
    <w:rsid w:val="00A732A6"/>
    <w:rsid w:val="00A732CE"/>
    <w:rsid w:val="00A733EF"/>
    <w:rsid w:val="00A737B1"/>
    <w:rsid w:val="00A7415F"/>
    <w:rsid w:val="00A745B0"/>
    <w:rsid w:val="00A74713"/>
    <w:rsid w:val="00A74741"/>
    <w:rsid w:val="00A748CB"/>
    <w:rsid w:val="00A74AA8"/>
    <w:rsid w:val="00A7553A"/>
    <w:rsid w:val="00A755FB"/>
    <w:rsid w:val="00A75973"/>
    <w:rsid w:val="00A75A5B"/>
    <w:rsid w:val="00A75A6D"/>
    <w:rsid w:val="00A75C47"/>
    <w:rsid w:val="00A75E67"/>
    <w:rsid w:val="00A762A2"/>
    <w:rsid w:val="00A7646F"/>
    <w:rsid w:val="00A7649A"/>
    <w:rsid w:val="00A765BE"/>
    <w:rsid w:val="00A76C73"/>
    <w:rsid w:val="00A76D85"/>
    <w:rsid w:val="00A77010"/>
    <w:rsid w:val="00A77516"/>
    <w:rsid w:val="00A7756D"/>
    <w:rsid w:val="00A77663"/>
    <w:rsid w:val="00A77B3F"/>
    <w:rsid w:val="00A77E9D"/>
    <w:rsid w:val="00A802DD"/>
    <w:rsid w:val="00A80329"/>
    <w:rsid w:val="00A805E7"/>
    <w:rsid w:val="00A80FF6"/>
    <w:rsid w:val="00A8129A"/>
    <w:rsid w:val="00A812DB"/>
    <w:rsid w:val="00A8131D"/>
    <w:rsid w:val="00A81514"/>
    <w:rsid w:val="00A816D8"/>
    <w:rsid w:val="00A81ACE"/>
    <w:rsid w:val="00A81CA4"/>
    <w:rsid w:val="00A81DEF"/>
    <w:rsid w:val="00A821F2"/>
    <w:rsid w:val="00A822E9"/>
    <w:rsid w:val="00A823B6"/>
    <w:rsid w:val="00A824A4"/>
    <w:rsid w:val="00A827B6"/>
    <w:rsid w:val="00A828F1"/>
    <w:rsid w:val="00A82953"/>
    <w:rsid w:val="00A82C27"/>
    <w:rsid w:val="00A82CBF"/>
    <w:rsid w:val="00A83242"/>
    <w:rsid w:val="00A835F9"/>
    <w:rsid w:val="00A83794"/>
    <w:rsid w:val="00A83805"/>
    <w:rsid w:val="00A84093"/>
    <w:rsid w:val="00A84239"/>
    <w:rsid w:val="00A84362"/>
    <w:rsid w:val="00A84B93"/>
    <w:rsid w:val="00A84BE6"/>
    <w:rsid w:val="00A851AA"/>
    <w:rsid w:val="00A85249"/>
    <w:rsid w:val="00A858C9"/>
    <w:rsid w:val="00A858F4"/>
    <w:rsid w:val="00A85BA7"/>
    <w:rsid w:val="00A85F39"/>
    <w:rsid w:val="00A8618C"/>
    <w:rsid w:val="00A86265"/>
    <w:rsid w:val="00A862E4"/>
    <w:rsid w:val="00A863AC"/>
    <w:rsid w:val="00A863C8"/>
    <w:rsid w:val="00A866A1"/>
    <w:rsid w:val="00A8681D"/>
    <w:rsid w:val="00A86C45"/>
    <w:rsid w:val="00A86F63"/>
    <w:rsid w:val="00A87016"/>
    <w:rsid w:val="00A8703A"/>
    <w:rsid w:val="00A871ED"/>
    <w:rsid w:val="00A8721E"/>
    <w:rsid w:val="00A8740C"/>
    <w:rsid w:val="00A8791E"/>
    <w:rsid w:val="00A87A9D"/>
    <w:rsid w:val="00A87BC1"/>
    <w:rsid w:val="00A87F6E"/>
    <w:rsid w:val="00A90114"/>
    <w:rsid w:val="00A90703"/>
    <w:rsid w:val="00A90A25"/>
    <w:rsid w:val="00A90C8B"/>
    <w:rsid w:val="00A90D6C"/>
    <w:rsid w:val="00A90F27"/>
    <w:rsid w:val="00A90F52"/>
    <w:rsid w:val="00A90FEC"/>
    <w:rsid w:val="00A90FFB"/>
    <w:rsid w:val="00A910C9"/>
    <w:rsid w:val="00A913FF"/>
    <w:rsid w:val="00A91597"/>
    <w:rsid w:val="00A91B5E"/>
    <w:rsid w:val="00A91F97"/>
    <w:rsid w:val="00A922B1"/>
    <w:rsid w:val="00A9236F"/>
    <w:rsid w:val="00A9270B"/>
    <w:rsid w:val="00A9279D"/>
    <w:rsid w:val="00A927A0"/>
    <w:rsid w:val="00A92A6D"/>
    <w:rsid w:val="00A92CC7"/>
    <w:rsid w:val="00A931A8"/>
    <w:rsid w:val="00A93328"/>
    <w:rsid w:val="00A93411"/>
    <w:rsid w:val="00A934E0"/>
    <w:rsid w:val="00A93541"/>
    <w:rsid w:val="00A93673"/>
    <w:rsid w:val="00A939B5"/>
    <w:rsid w:val="00A93C46"/>
    <w:rsid w:val="00A94330"/>
    <w:rsid w:val="00A94963"/>
    <w:rsid w:val="00A94A55"/>
    <w:rsid w:val="00A94C1E"/>
    <w:rsid w:val="00A94D87"/>
    <w:rsid w:val="00A94E09"/>
    <w:rsid w:val="00A94EF7"/>
    <w:rsid w:val="00A95146"/>
    <w:rsid w:val="00A95223"/>
    <w:rsid w:val="00A95355"/>
    <w:rsid w:val="00A954B9"/>
    <w:rsid w:val="00A95571"/>
    <w:rsid w:val="00A955EE"/>
    <w:rsid w:val="00A957DB"/>
    <w:rsid w:val="00A959E5"/>
    <w:rsid w:val="00A95BB6"/>
    <w:rsid w:val="00A95BE2"/>
    <w:rsid w:val="00A95F22"/>
    <w:rsid w:val="00A95FFB"/>
    <w:rsid w:val="00A96057"/>
    <w:rsid w:val="00A963D4"/>
    <w:rsid w:val="00A964F6"/>
    <w:rsid w:val="00A96662"/>
    <w:rsid w:val="00A96732"/>
    <w:rsid w:val="00A969A2"/>
    <w:rsid w:val="00A96E62"/>
    <w:rsid w:val="00A96E7E"/>
    <w:rsid w:val="00A97161"/>
    <w:rsid w:val="00A972A3"/>
    <w:rsid w:val="00A97371"/>
    <w:rsid w:val="00A973E2"/>
    <w:rsid w:val="00A97492"/>
    <w:rsid w:val="00A975A9"/>
    <w:rsid w:val="00AA0266"/>
    <w:rsid w:val="00AA06E2"/>
    <w:rsid w:val="00AA0722"/>
    <w:rsid w:val="00AA09E4"/>
    <w:rsid w:val="00AA104B"/>
    <w:rsid w:val="00AA11FE"/>
    <w:rsid w:val="00AA1326"/>
    <w:rsid w:val="00AA18C9"/>
    <w:rsid w:val="00AA1F6D"/>
    <w:rsid w:val="00AA1FC9"/>
    <w:rsid w:val="00AA216B"/>
    <w:rsid w:val="00AA2283"/>
    <w:rsid w:val="00AA2314"/>
    <w:rsid w:val="00AA24A8"/>
    <w:rsid w:val="00AA2505"/>
    <w:rsid w:val="00AA266D"/>
    <w:rsid w:val="00AA2862"/>
    <w:rsid w:val="00AA2BCD"/>
    <w:rsid w:val="00AA30D2"/>
    <w:rsid w:val="00AA30D7"/>
    <w:rsid w:val="00AA33A7"/>
    <w:rsid w:val="00AA33FC"/>
    <w:rsid w:val="00AA3454"/>
    <w:rsid w:val="00AA346E"/>
    <w:rsid w:val="00AA372D"/>
    <w:rsid w:val="00AA396C"/>
    <w:rsid w:val="00AA3C30"/>
    <w:rsid w:val="00AA3E1C"/>
    <w:rsid w:val="00AA4126"/>
    <w:rsid w:val="00AA427E"/>
    <w:rsid w:val="00AA43B6"/>
    <w:rsid w:val="00AA4C9F"/>
    <w:rsid w:val="00AA50C6"/>
    <w:rsid w:val="00AA524B"/>
    <w:rsid w:val="00AA52FD"/>
    <w:rsid w:val="00AA562F"/>
    <w:rsid w:val="00AA5819"/>
    <w:rsid w:val="00AA609D"/>
    <w:rsid w:val="00AA6305"/>
    <w:rsid w:val="00AA642B"/>
    <w:rsid w:val="00AA69FE"/>
    <w:rsid w:val="00AA6A9F"/>
    <w:rsid w:val="00AA6EFB"/>
    <w:rsid w:val="00AA723A"/>
    <w:rsid w:val="00AA72E5"/>
    <w:rsid w:val="00AA7437"/>
    <w:rsid w:val="00AA767B"/>
    <w:rsid w:val="00AA773E"/>
    <w:rsid w:val="00AA7BD9"/>
    <w:rsid w:val="00AB03F6"/>
    <w:rsid w:val="00AB0743"/>
    <w:rsid w:val="00AB0B56"/>
    <w:rsid w:val="00AB0EA6"/>
    <w:rsid w:val="00AB0ECD"/>
    <w:rsid w:val="00AB135B"/>
    <w:rsid w:val="00AB169F"/>
    <w:rsid w:val="00AB192F"/>
    <w:rsid w:val="00AB1FFE"/>
    <w:rsid w:val="00AB224E"/>
    <w:rsid w:val="00AB28F0"/>
    <w:rsid w:val="00AB2918"/>
    <w:rsid w:val="00AB2A63"/>
    <w:rsid w:val="00AB2D7A"/>
    <w:rsid w:val="00AB2F41"/>
    <w:rsid w:val="00AB387B"/>
    <w:rsid w:val="00AB3DC1"/>
    <w:rsid w:val="00AB405F"/>
    <w:rsid w:val="00AB40B3"/>
    <w:rsid w:val="00AB41F4"/>
    <w:rsid w:val="00AB44D9"/>
    <w:rsid w:val="00AB463A"/>
    <w:rsid w:val="00AB4BE2"/>
    <w:rsid w:val="00AB4CD6"/>
    <w:rsid w:val="00AB4D1F"/>
    <w:rsid w:val="00AB4F9B"/>
    <w:rsid w:val="00AB518D"/>
    <w:rsid w:val="00AB5204"/>
    <w:rsid w:val="00AB530E"/>
    <w:rsid w:val="00AB579F"/>
    <w:rsid w:val="00AB57AA"/>
    <w:rsid w:val="00AB5943"/>
    <w:rsid w:val="00AB5D20"/>
    <w:rsid w:val="00AB5E2C"/>
    <w:rsid w:val="00AB5EB2"/>
    <w:rsid w:val="00AB622F"/>
    <w:rsid w:val="00AB6254"/>
    <w:rsid w:val="00AB64D5"/>
    <w:rsid w:val="00AB6AE4"/>
    <w:rsid w:val="00AB6DF0"/>
    <w:rsid w:val="00AB7056"/>
    <w:rsid w:val="00AB72D9"/>
    <w:rsid w:val="00AB7622"/>
    <w:rsid w:val="00AB7B0E"/>
    <w:rsid w:val="00AC0012"/>
    <w:rsid w:val="00AC03D5"/>
    <w:rsid w:val="00AC0417"/>
    <w:rsid w:val="00AC0528"/>
    <w:rsid w:val="00AC05D4"/>
    <w:rsid w:val="00AC076A"/>
    <w:rsid w:val="00AC0CDC"/>
    <w:rsid w:val="00AC0E76"/>
    <w:rsid w:val="00AC111D"/>
    <w:rsid w:val="00AC128F"/>
    <w:rsid w:val="00AC12A7"/>
    <w:rsid w:val="00AC13DE"/>
    <w:rsid w:val="00AC16F7"/>
    <w:rsid w:val="00AC1B67"/>
    <w:rsid w:val="00AC1D79"/>
    <w:rsid w:val="00AC1EE6"/>
    <w:rsid w:val="00AC2549"/>
    <w:rsid w:val="00AC2551"/>
    <w:rsid w:val="00AC28BE"/>
    <w:rsid w:val="00AC2C04"/>
    <w:rsid w:val="00AC2D32"/>
    <w:rsid w:val="00AC2E47"/>
    <w:rsid w:val="00AC30B9"/>
    <w:rsid w:val="00AC30D5"/>
    <w:rsid w:val="00AC3330"/>
    <w:rsid w:val="00AC362D"/>
    <w:rsid w:val="00AC3BAE"/>
    <w:rsid w:val="00AC3C0F"/>
    <w:rsid w:val="00AC3C49"/>
    <w:rsid w:val="00AC42F3"/>
    <w:rsid w:val="00AC46AE"/>
    <w:rsid w:val="00AC491E"/>
    <w:rsid w:val="00AC4B67"/>
    <w:rsid w:val="00AC4E6C"/>
    <w:rsid w:val="00AC5182"/>
    <w:rsid w:val="00AC55AC"/>
    <w:rsid w:val="00AC5A29"/>
    <w:rsid w:val="00AC5B6F"/>
    <w:rsid w:val="00AC5C14"/>
    <w:rsid w:val="00AC6142"/>
    <w:rsid w:val="00AC63FB"/>
    <w:rsid w:val="00AC6535"/>
    <w:rsid w:val="00AC6955"/>
    <w:rsid w:val="00AC6B16"/>
    <w:rsid w:val="00AC6BF0"/>
    <w:rsid w:val="00AC6C78"/>
    <w:rsid w:val="00AC6DD3"/>
    <w:rsid w:val="00AC7138"/>
    <w:rsid w:val="00AC7297"/>
    <w:rsid w:val="00AC72A6"/>
    <w:rsid w:val="00AC75EF"/>
    <w:rsid w:val="00AC7832"/>
    <w:rsid w:val="00AC78EB"/>
    <w:rsid w:val="00AC79C7"/>
    <w:rsid w:val="00AC7BCB"/>
    <w:rsid w:val="00AC7C18"/>
    <w:rsid w:val="00AC7D04"/>
    <w:rsid w:val="00AC7F28"/>
    <w:rsid w:val="00AD02EE"/>
    <w:rsid w:val="00AD04C8"/>
    <w:rsid w:val="00AD0534"/>
    <w:rsid w:val="00AD082A"/>
    <w:rsid w:val="00AD0845"/>
    <w:rsid w:val="00AD0899"/>
    <w:rsid w:val="00AD0F95"/>
    <w:rsid w:val="00AD10E3"/>
    <w:rsid w:val="00AD1145"/>
    <w:rsid w:val="00AD122A"/>
    <w:rsid w:val="00AD1324"/>
    <w:rsid w:val="00AD1842"/>
    <w:rsid w:val="00AD18BB"/>
    <w:rsid w:val="00AD1B64"/>
    <w:rsid w:val="00AD1D3E"/>
    <w:rsid w:val="00AD1DEC"/>
    <w:rsid w:val="00AD2595"/>
    <w:rsid w:val="00AD25D2"/>
    <w:rsid w:val="00AD27CB"/>
    <w:rsid w:val="00AD29D6"/>
    <w:rsid w:val="00AD2AE0"/>
    <w:rsid w:val="00AD2D03"/>
    <w:rsid w:val="00AD2D6D"/>
    <w:rsid w:val="00AD31BF"/>
    <w:rsid w:val="00AD32F8"/>
    <w:rsid w:val="00AD371C"/>
    <w:rsid w:val="00AD385D"/>
    <w:rsid w:val="00AD387A"/>
    <w:rsid w:val="00AD3886"/>
    <w:rsid w:val="00AD3EF7"/>
    <w:rsid w:val="00AD411C"/>
    <w:rsid w:val="00AD4162"/>
    <w:rsid w:val="00AD4343"/>
    <w:rsid w:val="00AD47D3"/>
    <w:rsid w:val="00AD490B"/>
    <w:rsid w:val="00AD4AAC"/>
    <w:rsid w:val="00AD4B33"/>
    <w:rsid w:val="00AD4CE9"/>
    <w:rsid w:val="00AD5047"/>
    <w:rsid w:val="00AD51AE"/>
    <w:rsid w:val="00AD55F2"/>
    <w:rsid w:val="00AD5E34"/>
    <w:rsid w:val="00AD6239"/>
    <w:rsid w:val="00AD658F"/>
    <w:rsid w:val="00AD65E9"/>
    <w:rsid w:val="00AD671B"/>
    <w:rsid w:val="00AD68BA"/>
    <w:rsid w:val="00AD6A1D"/>
    <w:rsid w:val="00AD6BBB"/>
    <w:rsid w:val="00AD6EF4"/>
    <w:rsid w:val="00AD6F86"/>
    <w:rsid w:val="00AD71E4"/>
    <w:rsid w:val="00AD73DA"/>
    <w:rsid w:val="00AD7472"/>
    <w:rsid w:val="00AD755C"/>
    <w:rsid w:val="00AD783E"/>
    <w:rsid w:val="00AD7A16"/>
    <w:rsid w:val="00AD7BCF"/>
    <w:rsid w:val="00AD7CE2"/>
    <w:rsid w:val="00AE0250"/>
    <w:rsid w:val="00AE0517"/>
    <w:rsid w:val="00AE0A9B"/>
    <w:rsid w:val="00AE0FE1"/>
    <w:rsid w:val="00AE106E"/>
    <w:rsid w:val="00AE111F"/>
    <w:rsid w:val="00AE128A"/>
    <w:rsid w:val="00AE1794"/>
    <w:rsid w:val="00AE17EC"/>
    <w:rsid w:val="00AE191D"/>
    <w:rsid w:val="00AE1938"/>
    <w:rsid w:val="00AE1F79"/>
    <w:rsid w:val="00AE2192"/>
    <w:rsid w:val="00AE228C"/>
    <w:rsid w:val="00AE2407"/>
    <w:rsid w:val="00AE277C"/>
    <w:rsid w:val="00AE2979"/>
    <w:rsid w:val="00AE2F77"/>
    <w:rsid w:val="00AE302B"/>
    <w:rsid w:val="00AE33DC"/>
    <w:rsid w:val="00AE3852"/>
    <w:rsid w:val="00AE38EA"/>
    <w:rsid w:val="00AE391A"/>
    <w:rsid w:val="00AE3DB6"/>
    <w:rsid w:val="00AE3E19"/>
    <w:rsid w:val="00AE3FB1"/>
    <w:rsid w:val="00AE4015"/>
    <w:rsid w:val="00AE42EC"/>
    <w:rsid w:val="00AE45A3"/>
    <w:rsid w:val="00AE4FE1"/>
    <w:rsid w:val="00AE52F1"/>
    <w:rsid w:val="00AE5498"/>
    <w:rsid w:val="00AE5520"/>
    <w:rsid w:val="00AE5887"/>
    <w:rsid w:val="00AE5897"/>
    <w:rsid w:val="00AE58C3"/>
    <w:rsid w:val="00AE5DFF"/>
    <w:rsid w:val="00AE6511"/>
    <w:rsid w:val="00AE6A5F"/>
    <w:rsid w:val="00AE6FE7"/>
    <w:rsid w:val="00AE6FFF"/>
    <w:rsid w:val="00AE709E"/>
    <w:rsid w:val="00AE7322"/>
    <w:rsid w:val="00AE7421"/>
    <w:rsid w:val="00AE74B7"/>
    <w:rsid w:val="00AF00A2"/>
    <w:rsid w:val="00AF0353"/>
    <w:rsid w:val="00AF05F5"/>
    <w:rsid w:val="00AF0865"/>
    <w:rsid w:val="00AF0B3E"/>
    <w:rsid w:val="00AF0EDF"/>
    <w:rsid w:val="00AF115B"/>
    <w:rsid w:val="00AF11EF"/>
    <w:rsid w:val="00AF1260"/>
    <w:rsid w:val="00AF153C"/>
    <w:rsid w:val="00AF1658"/>
    <w:rsid w:val="00AF1AAE"/>
    <w:rsid w:val="00AF1AD6"/>
    <w:rsid w:val="00AF1D84"/>
    <w:rsid w:val="00AF1DCE"/>
    <w:rsid w:val="00AF1F47"/>
    <w:rsid w:val="00AF20C0"/>
    <w:rsid w:val="00AF2314"/>
    <w:rsid w:val="00AF231F"/>
    <w:rsid w:val="00AF2703"/>
    <w:rsid w:val="00AF2754"/>
    <w:rsid w:val="00AF278F"/>
    <w:rsid w:val="00AF291F"/>
    <w:rsid w:val="00AF2D8D"/>
    <w:rsid w:val="00AF2E43"/>
    <w:rsid w:val="00AF301F"/>
    <w:rsid w:val="00AF3086"/>
    <w:rsid w:val="00AF3833"/>
    <w:rsid w:val="00AF3CC5"/>
    <w:rsid w:val="00AF4239"/>
    <w:rsid w:val="00AF448C"/>
    <w:rsid w:val="00AF45AD"/>
    <w:rsid w:val="00AF4A4F"/>
    <w:rsid w:val="00AF4B5B"/>
    <w:rsid w:val="00AF4B8C"/>
    <w:rsid w:val="00AF4E2D"/>
    <w:rsid w:val="00AF52DA"/>
    <w:rsid w:val="00AF5375"/>
    <w:rsid w:val="00AF5601"/>
    <w:rsid w:val="00AF5C33"/>
    <w:rsid w:val="00AF61B8"/>
    <w:rsid w:val="00AF6458"/>
    <w:rsid w:val="00AF687C"/>
    <w:rsid w:val="00AF6D77"/>
    <w:rsid w:val="00AF7364"/>
    <w:rsid w:val="00AF76E3"/>
    <w:rsid w:val="00AF7900"/>
    <w:rsid w:val="00AF7B0E"/>
    <w:rsid w:val="00AF7BEF"/>
    <w:rsid w:val="00AF7EF4"/>
    <w:rsid w:val="00B00650"/>
    <w:rsid w:val="00B01473"/>
    <w:rsid w:val="00B015C3"/>
    <w:rsid w:val="00B019DF"/>
    <w:rsid w:val="00B01B7A"/>
    <w:rsid w:val="00B01E3C"/>
    <w:rsid w:val="00B02468"/>
    <w:rsid w:val="00B027A8"/>
    <w:rsid w:val="00B027AF"/>
    <w:rsid w:val="00B02941"/>
    <w:rsid w:val="00B02A0F"/>
    <w:rsid w:val="00B02A62"/>
    <w:rsid w:val="00B02C11"/>
    <w:rsid w:val="00B02CE6"/>
    <w:rsid w:val="00B02F35"/>
    <w:rsid w:val="00B02FF6"/>
    <w:rsid w:val="00B03366"/>
    <w:rsid w:val="00B03941"/>
    <w:rsid w:val="00B03C60"/>
    <w:rsid w:val="00B04159"/>
    <w:rsid w:val="00B044B3"/>
    <w:rsid w:val="00B04DEB"/>
    <w:rsid w:val="00B0511E"/>
    <w:rsid w:val="00B05157"/>
    <w:rsid w:val="00B06310"/>
    <w:rsid w:val="00B065C2"/>
    <w:rsid w:val="00B065DA"/>
    <w:rsid w:val="00B06B56"/>
    <w:rsid w:val="00B070F4"/>
    <w:rsid w:val="00B07293"/>
    <w:rsid w:val="00B07588"/>
    <w:rsid w:val="00B07894"/>
    <w:rsid w:val="00B078AF"/>
    <w:rsid w:val="00B07B85"/>
    <w:rsid w:val="00B07C65"/>
    <w:rsid w:val="00B104A2"/>
    <w:rsid w:val="00B109FB"/>
    <w:rsid w:val="00B10A41"/>
    <w:rsid w:val="00B10F8E"/>
    <w:rsid w:val="00B110F1"/>
    <w:rsid w:val="00B1111C"/>
    <w:rsid w:val="00B11157"/>
    <w:rsid w:val="00B111E3"/>
    <w:rsid w:val="00B115EF"/>
    <w:rsid w:val="00B11925"/>
    <w:rsid w:val="00B11A5F"/>
    <w:rsid w:val="00B123F9"/>
    <w:rsid w:val="00B123FA"/>
    <w:rsid w:val="00B12448"/>
    <w:rsid w:val="00B12940"/>
    <w:rsid w:val="00B12C4F"/>
    <w:rsid w:val="00B12E99"/>
    <w:rsid w:val="00B12F1B"/>
    <w:rsid w:val="00B12F6F"/>
    <w:rsid w:val="00B12FB4"/>
    <w:rsid w:val="00B13589"/>
    <w:rsid w:val="00B13B69"/>
    <w:rsid w:val="00B13D3C"/>
    <w:rsid w:val="00B13FAF"/>
    <w:rsid w:val="00B14224"/>
    <w:rsid w:val="00B1447D"/>
    <w:rsid w:val="00B14996"/>
    <w:rsid w:val="00B149AB"/>
    <w:rsid w:val="00B14EB8"/>
    <w:rsid w:val="00B150A6"/>
    <w:rsid w:val="00B155B5"/>
    <w:rsid w:val="00B156CB"/>
    <w:rsid w:val="00B1576D"/>
    <w:rsid w:val="00B15C07"/>
    <w:rsid w:val="00B15DEB"/>
    <w:rsid w:val="00B15E32"/>
    <w:rsid w:val="00B15EEC"/>
    <w:rsid w:val="00B15F05"/>
    <w:rsid w:val="00B15F84"/>
    <w:rsid w:val="00B15F8B"/>
    <w:rsid w:val="00B15FE6"/>
    <w:rsid w:val="00B16034"/>
    <w:rsid w:val="00B161BE"/>
    <w:rsid w:val="00B16208"/>
    <w:rsid w:val="00B1622D"/>
    <w:rsid w:val="00B1637D"/>
    <w:rsid w:val="00B167CC"/>
    <w:rsid w:val="00B16FCF"/>
    <w:rsid w:val="00B17007"/>
    <w:rsid w:val="00B17236"/>
    <w:rsid w:val="00B175F1"/>
    <w:rsid w:val="00B179AE"/>
    <w:rsid w:val="00B17C3F"/>
    <w:rsid w:val="00B17D24"/>
    <w:rsid w:val="00B17FE3"/>
    <w:rsid w:val="00B20364"/>
    <w:rsid w:val="00B2041F"/>
    <w:rsid w:val="00B205B0"/>
    <w:rsid w:val="00B20702"/>
    <w:rsid w:val="00B2074A"/>
    <w:rsid w:val="00B20A0B"/>
    <w:rsid w:val="00B20B4E"/>
    <w:rsid w:val="00B20BF2"/>
    <w:rsid w:val="00B20D58"/>
    <w:rsid w:val="00B21C84"/>
    <w:rsid w:val="00B2225B"/>
    <w:rsid w:val="00B22858"/>
    <w:rsid w:val="00B22A8A"/>
    <w:rsid w:val="00B22AB1"/>
    <w:rsid w:val="00B22B3F"/>
    <w:rsid w:val="00B23127"/>
    <w:rsid w:val="00B23132"/>
    <w:rsid w:val="00B23577"/>
    <w:rsid w:val="00B2382A"/>
    <w:rsid w:val="00B239C1"/>
    <w:rsid w:val="00B23A34"/>
    <w:rsid w:val="00B23FA1"/>
    <w:rsid w:val="00B247F8"/>
    <w:rsid w:val="00B248A5"/>
    <w:rsid w:val="00B24B40"/>
    <w:rsid w:val="00B24D4E"/>
    <w:rsid w:val="00B24ED2"/>
    <w:rsid w:val="00B25013"/>
    <w:rsid w:val="00B2505A"/>
    <w:rsid w:val="00B25277"/>
    <w:rsid w:val="00B25435"/>
    <w:rsid w:val="00B25475"/>
    <w:rsid w:val="00B25529"/>
    <w:rsid w:val="00B25679"/>
    <w:rsid w:val="00B2587C"/>
    <w:rsid w:val="00B258E1"/>
    <w:rsid w:val="00B258F0"/>
    <w:rsid w:val="00B25AAC"/>
    <w:rsid w:val="00B25C83"/>
    <w:rsid w:val="00B25CBF"/>
    <w:rsid w:val="00B26199"/>
    <w:rsid w:val="00B263FA"/>
    <w:rsid w:val="00B26408"/>
    <w:rsid w:val="00B26613"/>
    <w:rsid w:val="00B267F8"/>
    <w:rsid w:val="00B26C14"/>
    <w:rsid w:val="00B27033"/>
    <w:rsid w:val="00B270E7"/>
    <w:rsid w:val="00B27129"/>
    <w:rsid w:val="00B2770D"/>
    <w:rsid w:val="00B278B0"/>
    <w:rsid w:val="00B27A9D"/>
    <w:rsid w:val="00B27B86"/>
    <w:rsid w:val="00B27EF6"/>
    <w:rsid w:val="00B3020C"/>
    <w:rsid w:val="00B306B2"/>
    <w:rsid w:val="00B30B08"/>
    <w:rsid w:val="00B311E4"/>
    <w:rsid w:val="00B315FF"/>
    <w:rsid w:val="00B31648"/>
    <w:rsid w:val="00B319E8"/>
    <w:rsid w:val="00B31A70"/>
    <w:rsid w:val="00B32120"/>
    <w:rsid w:val="00B32610"/>
    <w:rsid w:val="00B32915"/>
    <w:rsid w:val="00B32D25"/>
    <w:rsid w:val="00B32DDE"/>
    <w:rsid w:val="00B32EC7"/>
    <w:rsid w:val="00B330A0"/>
    <w:rsid w:val="00B33199"/>
    <w:rsid w:val="00B33292"/>
    <w:rsid w:val="00B337EE"/>
    <w:rsid w:val="00B337F9"/>
    <w:rsid w:val="00B338B6"/>
    <w:rsid w:val="00B33A94"/>
    <w:rsid w:val="00B344A6"/>
    <w:rsid w:val="00B348BA"/>
    <w:rsid w:val="00B348EE"/>
    <w:rsid w:val="00B34AE0"/>
    <w:rsid w:val="00B34CA2"/>
    <w:rsid w:val="00B34CE4"/>
    <w:rsid w:val="00B34DE3"/>
    <w:rsid w:val="00B34FE1"/>
    <w:rsid w:val="00B3544C"/>
    <w:rsid w:val="00B354BA"/>
    <w:rsid w:val="00B36142"/>
    <w:rsid w:val="00B361A7"/>
    <w:rsid w:val="00B36471"/>
    <w:rsid w:val="00B36579"/>
    <w:rsid w:val="00B365BB"/>
    <w:rsid w:val="00B365C1"/>
    <w:rsid w:val="00B3694B"/>
    <w:rsid w:val="00B36B18"/>
    <w:rsid w:val="00B36EAD"/>
    <w:rsid w:val="00B3774C"/>
    <w:rsid w:val="00B378B6"/>
    <w:rsid w:val="00B37CFE"/>
    <w:rsid w:val="00B37DC7"/>
    <w:rsid w:val="00B37FE3"/>
    <w:rsid w:val="00B403ED"/>
    <w:rsid w:val="00B405AC"/>
    <w:rsid w:val="00B40817"/>
    <w:rsid w:val="00B40CC2"/>
    <w:rsid w:val="00B40F8E"/>
    <w:rsid w:val="00B41534"/>
    <w:rsid w:val="00B415D2"/>
    <w:rsid w:val="00B416EF"/>
    <w:rsid w:val="00B418A3"/>
    <w:rsid w:val="00B41A62"/>
    <w:rsid w:val="00B41B81"/>
    <w:rsid w:val="00B41E7F"/>
    <w:rsid w:val="00B41EC1"/>
    <w:rsid w:val="00B4246D"/>
    <w:rsid w:val="00B42589"/>
    <w:rsid w:val="00B42995"/>
    <w:rsid w:val="00B42B86"/>
    <w:rsid w:val="00B42DA2"/>
    <w:rsid w:val="00B42E56"/>
    <w:rsid w:val="00B4313E"/>
    <w:rsid w:val="00B433F0"/>
    <w:rsid w:val="00B43443"/>
    <w:rsid w:val="00B4391D"/>
    <w:rsid w:val="00B43C5E"/>
    <w:rsid w:val="00B43E89"/>
    <w:rsid w:val="00B4454D"/>
    <w:rsid w:val="00B44616"/>
    <w:rsid w:val="00B4494E"/>
    <w:rsid w:val="00B44A00"/>
    <w:rsid w:val="00B44BE2"/>
    <w:rsid w:val="00B45110"/>
    <w:rsid w:val="00B45156"/>
    <w:rsid w:val="00B45263"/>
    <w:rsid w:val="00B4543B"/>
    <w:rsid w:val="00B458AA"/>
    <w:rsid w:val="00B459EF"/>
    <w:rsid w:val="00B45EA0"/>
    <w:rsid w:val="00B4642F"/>
    <w:rsid w:val="00B466C8"/>
    <w:rsid w:val="00B46BD2"/>
    <w:rsid w:val="00B46C9C"/>
    <w:rsid w:val="00B46E66"/>
    <w:rsid w:val="00B46FE6"/>
    <w:rsid w:val="00B47226"/>
    <w:rsid w:val="00B47268"/>
    <w:rsid w:val="00B473C9"/>
    <w:rsid w:val="00B47692"/>
    <w:rsid w:val="00B476F6"/>
    <w:rsid w:val="00B47C7B"/>
    <w:rsid w:val="00B47EBF"/>
    <w:rsid w:val="00B50591"/>
    <w:rsid w:val="00B5093D"/>
    <w:rsid w:val="00B509EF"/>
    <w:rsid w:val="00B50E3D"/>
    <w:rsid w:val="00B51230"/>
    <w:rsid w:val="00B512D8"/>
    <w:rsid w:val="00B51513"/>
    <w:rsid w:val="00B51734"/>
    <w:rsid w:val="00B525FE"/>
    <w:rsid w:val="00B52790"/>
    <w:rsid w:val="00B5295D"/>
    <w:rsid w:val="00B52B61"/>
    <w:rsid w:val="00B52EE4"/>
    <w:rsid w:val="00B535B8"/>
    <w:rsid w:val="00B53629"/>
    <w:rsid w:val="00B53A69"/>
    <w:rsid w:val="00B53A76"/>
    <w:rsid w:val="00B53BF0"/>
    <w:rsid w:val="00B54340"/>
    <w:rsid w:val="00B54727"/>
    <w:rsid w:val="00B548A5"/>
    <w:rsid w:val="00B54916"/>
    <w:rsid w:val="00B54C92"/>
    <w:rsid w:val="00B54EE1"/>
    <w:rsid w:val="00B54F08"/>
    <w:rsid w:val="00B55850"/>
    <w:rsid w:val="00B55888"/>
    <w:rsid w:val="00B5590D"/>
    <w:rsid w:val="00B55984"/>
    <w:rsid w:val="00B55AF9"/>
    <w:rsid w:val="00B5614C"/>
    <w:rsid w:val="00B5634D"/>
    <w:rsid w:val="00B565E6"/>
    <w:rsid w:val="00B56644"/>
    <w:rsid w:val="00B56A21"/>
    <w:rsid w:val="00B56C54"/>
    <w:rsid w:val="00B56C91"/>
    <w:rsid w:val="00B57659"/>
    <w:rsid w:val="00B57883"/>
    <w:rsid w:val="00B57CD1"/>
    <w:rsid w:val="00B60026"/>
    <w:rsid w:val="00B6023B"/>
    <w:rsid w:val="00B606C6"/>
    <w:rsid w:val="00B6076A"/>
    <w:rsid w:val="00B60919"/>
    <w:rsid w:val="00B60944"/>
    <w:rsid w:val="00B60C10"/>
    <w:rsid w:val="00B60EE3"/>
    <w:rsid w:val="00B610C1"/>
    <w:rsid w:val="00B612F3"/>
    <w:rsid w:val="00B61A38"/>
    <w:rsid w:val="00B61AFF"/>
    <w:rsid w:val="00B6256C"/>
    <w:rsid w:val="00B625D6"/>
    <w:rsid w:val="00B62C31"/>
    <w:rsid w:val="00B62D50"/>
    <w:rsid w:val="00B63972"/>
    <w:rsid w:val="00B639B0"/>
    <w:rsid w:val="00B63AB6"/>
    <w:rsid w:val="00B63ADA"/>
    <w:rsid w:val="00B63B8D"/>
    <w:rsid w:val="00B63C48"/>
    <w:rsid w:val="00B63FDB"/>
    <w:rsid w:val="00B640DE"/>
    <w:rsid w:val="00B642E7"/>
    <w:rsid w:val="00B644CF"/>
    <w:rsid w:val="00B646D5"/>
    <w:rsid w:val="00B64AB5"/>
    <w:rsid w:val="00B64CA2"/>
    <w:rsid w:val="00B6509C"/>
    <w:rsid w:val="00B65337"/>
    <w:rsid w:val="00B6537F"/>
    <w:rsid w:val="00B65531"/>
    <w:rsid w:val="00B65854"/>
    <w:rsid w:val="00B659FA"/>
    <w:rsid w:val="00B65E07"/>
    <w:rsid w:val="00B65F5C"/>
    <w:rsid w:val="00B660BA"/>
    <w:rsid w:val="00B6627D"/>
    <w:rsid w:val="00B664EF"/>
    <w:rsid w:val="00B667BC"/>
    <w:rsid w:val="00B66F2F"/>
    <w:rsid w:val="00B66FC2"/>
    <w:rsid w:val="00B67021"/>
    <w:rsid w:val="00B6711A"/>
    <w:rsid w:val="00B67160"/>
    <w:rsid w:val="00B674BE"/>
    <w:rsid w:val="00B67585"/>
    <w:rsid w:val="00B677E8"/>
    <w:rsid w:val="00B67D7B"/>
    <w:rsid w:val="00B67F27"/>
    <w:rsid w:val="00B70302"/>
    <w:rsid w:val="00B70B4E"/>
    <w:rsid w:val="00B70CA7"/>
    <w:rsid w:val="00B71143"/>
    <w:rsid w:val="00B711AA"/>
    <w:rsid w:val="00B714B8"/>
    <w:rsid w:val="00B7156C"/>
    <w:rsid w:val="00B71858"/>
    <w:rsid w:val="00B71975"/>
    <w:rsid w:val="00B71F51"/>
    <w:rsid w:val="00B72070"/>
    <w:rsid w:val="00B722CB"/>
    <w:rsid w:val="00B7244A"/>
    <w:rsid w:val="00B728B8"/>
    <w:rsid w:val="00B72B82"/>
    <w:rsid w:val="00B72CB6"/>
    <w:rsid w:val="00B72DBB"/>
    <w:rsid w:val="00B72FA0"/>
    <w:rsid w:val="00B730CA"/>
    <w:rsid w:val="00B732DD"/>
    <w:rsid w:val="00B73416"/>
    <w:rsid w:val="00B73BCF"/>
    <w:rsid w:val="00B73C02"/>
    <w:rsid w:val="00B73F31"/>
    <w:rsid w:val="00B74061"/>
    <w:rsid w:val="00B740DE"/>
    <w:rsid w:val="00B74121"/>
    <w:rsid w:val="00B74313"/>
    <w:rsid w:val="00B7446C"/>
    <w:rsid w:val="00B744FF"/>
    <w:rsid w:val="00B7458E"/>
    <w:rsid w:val="00B74A33"/>
    <w:rsid w:val="00B74CA7"/>
    <w:rsid w:val="00B74CAE"/>
    <w:rsid w:val="00B750C7"/>
    <w:rsid w:val="00B75352"/>
    <w:rsid w:val="00B7550A"/>
    <w:rsid w:val="00B756E3"/>
    <w:rsid w:val="00B75B71"/>
    <w:rsid w:val="00B75C02"/>
    <w:rsid w:val="00B75FD1"/>
    <w:rsid w:val="00B7626E"/>
    <w:rsid w:val="00B76386"/>
    <w:rsid w:val="00B76679"/>
    <w:rsid w:val="00B76BCF"/>
    <w:rsid w:val="00B76DD8"/>
    <w:rsid w:val="00B76FCA"/>
    <w:rsid w:val="00B76FD9"/>
    <w:rsid w:val="00B77F8B"/>
    <w:rsid w:val="00B77FEF"/>
    <w:rsid w:val="00B8009A"/>
    <w:rsid w:val="00B80131"/>
    <w:rsid w:val="00B80252"/>
    <w:rsid w:val="00B802E4"/>
    <w:rsid w:val="00B8049B"/>
    <w:rsid w:val="00B809D7"/>
    <w:rsid w:val="00B80C6C"/>
    <w:rsid w:val="00B810CE"/>
    <w:rsid w:val="00B818B3"/>
    <w:rsid w:val="00B81AB4"/>
    <w:rsid w:val="00B81AF3"/>
    <w:rsid w:val="00B81EFE"/>
    <w:rsid w:val="00B81F60"/>
    <w:rsid w:val="00B81FE8"/>
    <w:rsid w:val="00B823BA"/>
    <w:rsid w:val="00B82593"/>
    <w:rsid w:val="00B825CF"/>
    <w:rsid w:val="00B826D0"/>
    <w:rsid w:val="00B8274E"/>
    <w:rsid w:val="00B8289A"/>
    <w:rsid w:val="00B82CB8"/>
    <w:rsid w:val="00B82F2A"/>
    <w:rsid w:val="00B83A13"/>
    <w:rsid w:val="00B83E6A"/>
    <w:rsid w:val="00B84000"/>
    <w:rsid w:val="00B8420A"/>
    <w:rsid w:val="00B844C3"/>
    <w:rsid w:val="00B8480A"/>
    <w:rsid w:val="00B8493E"/>
    <w:rsid w:val="00B84D39"/>
    <w:rsid w:val="00B84DCD"/>
    <w:rsid w:val="00B85332"/>
    <w:rsid w:val="00B8545F"/>
    <w:rsid w:val="00B857A3"/>
    <w:rsid w:val="00B857A8"/>
    <w:rsid w:val="00B857AC"/>
    <w:rsid w:val="00B85F63"/>
    <w:rsid w:val="00B8601C"/>
    <w:rsid w:val="00B86230"/>
    <w:rsid w:val="00B862DF"/>
    <w:rsid w:val="00B86426"/>
    <w:rsid w:val="00B8645E"/>
    <w:rsid w:val="00B86A00"/>
    <w:rsid w:val="00B86B78"/>
    <w:rsid w:val="00B86DDD"/>
    <w:rsid w:val="00B87177"/>
    <w:rsid w:val="00B8779A"/>
    <w:rsid w:val="00B87920"/>
    <w:rsid w:val="00B87E4B"/>
    <w:rsid w:val="00B90317"/>
    <w:rsid w:val="00B9034D"/>
    <w:rsid w:val="00B90778"/>
    <w:rsid w:val="00B90943"/>
    <w:rsid w:val="00B90A64"/>
    <w:rsid w:val="00B90AB6"/>
    <w:rsid w:val="00B90B70"/>
    <w:rsid w:val="00B90E23"/>
    <w:rsid w:val="00B91113"/>
    <w:rsid w:val="00B91119"/>
    <w:rsid w:val="00B917E6"/>
    <w:rsid w:val="00B91BDA"/>
    <w:rsid w:val="00B91C7D"/>
    <w:rsid w:val="00B91E73"/>
    <w:rsid w:val="00B92120"/>
    <w:rsid w:val="00B92364"/>
    <w:rsid w:val="00B924DD"/>
    <w:rsid w:val="00B92513"/>
    <w:rsid w:val="00B9263A"/>
    <w:rsid w:val="00B92851"/>
    <w:rsid w:val="00B92968"/>
    <w:rsid w:val="00B929F7"/>
    <w:rsid w:val="00B92CB5"/>
    <w:rsid w:val="00B92FB7"/>
    <w:rsid w:val="00B9310C"/>
    <w:rsid w:val="00B93388"/>
    <w:rsid w:val="00B93466"/>
    <w:rsid w:val="00B93680"/>
    <w:rsid w:val="00B9391C"/>
    <w:rsid w:val="00B939E9"/>
    <w:rsid w:val="00B93B45"/>
    <w:rsid w:val="00B941F2"/>
    <w:rsid w:val="00B942DF"/>
    <w:rsid w:val="00B943D5"/>
    <w:rsid w:val="00B94731"/>
    <w:rsid w:val="00B94AE9"/>
    <w:rsid w:val="00B94EBF"/>
    <w:rsid w:val="00B94F19"/>
    <w:rsid w:val="00B94F59"/>
    <w:rsid w:val="00B94FB3"/>
    <w:rsid w:val="00B954EB"/>
    <w:rsid w:val="00B955B5"/>
    <w:rsid w:val="00B95687"/>
    <w:rsid w:val="00B958AD"/>
    <w:rsid w:val="00B95C00"/>
    <w:rsid w:val="00B96135"/>
    <w:rsid w:val="00B963E0"/>
    <w:rsid w:val="00B96466"/>
    <w:rsid w:val="00B965EE"/>
    <w:rsid w:val="00B96F94"/>
    <w:rsid w:val="00B9707E"/>
    <w:rsid w:val="00B971F5"/>
    <w:rsid w:val="00B97254"/>
    <w:rsid w:val="00B973ED"/>
    <w:rsid w:val="00B97759"/>
    <w:rsid w:val="00B977FA"/>
    <w:rsid w:val="00B9792E"/>
    <w:rsid w:val="00B97CC8"/>
    <w:rsid w:val="00B97E7D"/>
    <w:rsid w:val="00BA033D"/>
    <w:rsid w:val="00BA0481"/>
    <w:rsid w:val="00BA04E8"/>
    <w:rsid w:val="00BA09F4"/>
    <w:rsid w:val="00BA0D45"/>
    <w:rsid w:val="00BA1000"/>
    <w:rsid w:val="00BA11E3"/>
    <w:rsid w:val="00BA1234"/>
    <w:rsid w:val="00BA13EA"/>
    <w:rsid w:val="00BA166A"/>
    <w:rsid w:val="00BA1B29"/>
    <w:rsid w:val="00BA2101"/>
    <w:rsid w:val="00BA2146"/>
    <w:rsid w:val="00BA2298"/>
    <w:rsid w:val="00BA23CF"/>
    <w:rsid w:val="00BA2503"/>
    <w:rsid w:val="00BA29B1"/>
    <w:rsid w:val="00BA2C21"/>
    <w:rsid w:val="00BA2C69"/>
    <w:rsid w:val="00BA2C93"/>
    <w:rsid w:val="00BA2CF5"/>
    <w:rsid w:val="00BA30A0"/>
    <w:rsid w:val="00BA358D"/>
    <w:rsid w:val="00BA35D0"/>
    <w:rsid w:val="00BA3817"/>
    <w:rsid w:val="00BA3A22"/>
    <w:rsid w:val="00BA4216"/>
    <w:rsid w:val="00BA45BD"/>
    <w:rsid w:val="00BA524B"/>
    <w:rsid w:val="00BA56F3"/>
    <w:rsid w:val="00BA57A0"/>
    <w:rsid w:val="00BA5833"/>
    <w:rsid w:val="00BA5D2F"/>
    <w:rsid w:val="00BA62C6"/>
    <w:rsid w:val="00BA62E8"/>
    <w:rsid w:val="00BA64A4"/>
    <w:rsid w:val="00BA6926"/>
    <w:rsid w:val="00BA6BA0"/>
    <w:rsid w:val="00BA6E38"/>
    <w:rsid w:val="00BA6F2A"/>
    <w:rsid w:val="00BA7170"/>
    <w:rsid w:val="00BA74D7"/>
    <w:rsid w:val="00BA74EE"/>
    <w:rsid w:val="00BA77FD"/>
    <w:rsid w:val="00BA78E5"/>
    <w:rsid w:val="00BA7F21"/>
    <w:rsid w:val="00BB0200"/>
    <w:rsid w:val="00BB05DB"/>
    <w:rsid w:val="00BB077A"/>
    <w:rsid w:val="00BB1411"/>
    <w:rsid w:val="00BB147C"/>
    <w:rsid w:val="00BB14E8"/>
    <w:rsid w:val="00BB1578"/>
    <w:rsid w:val="00BB1AF8"/>
    <w:rsid w:val="00BB1D52"/>
    <w:rsid w:val="00BB1F69"/>
    <w:rsid w:val="00BB205E"/>
    <w:rsid w:val="00BB2229"/>
    <w:rsid w:val="00BB306E"/>
    <w:rsid w:val="00BB33FB"/>
    <w:rsid w:val="00BB34CC"/>
    <w:rsid w:val="00BB367D"/>
    <w:rsid w:val="00BB39A1"/>
    <w:rsid w:val="00BB3A69"/>
    <w:rsid w:val="00BB3AE8"/>
    <w:rsid w:val="00BB3B15"/>
    <w:rsid w:val="00BB3BD3"/>
    <w:rsid w:val="00BB3C1B"/>
    <w:rsid w:val="00BB3E74"/>
    <w:rsid w:val="00BB3EBB"/>
    <w:rsid w:val="00BB44EF"/>
    <w:rsid w:val="00BB4500"/>
    <w:rsid w:val="00BB463A"/>
    <w:rsid w:val="00BB479C"/>
    <w:rsid w:val="00BB542E"/>
    <w:rsid w:val="00BB5788"/>
    <w:rsid w:val="00BB59DD"/>
    <w:rsid w:val="00BB5B09"/>
    <w:rsid w:val="00BB5C19"/>
    <w:rsid w:val="00BB5CD6"/>
    <w:rsid w:val="00BB5EA0"/>
    <w:rsid w:val="00BB6020"/>
    <w:rsid w:val="00BB6317"/>
    <w:rsid w:val="00BB6751"/>
    <w:rsid w:val="00BB69B8"/>
    <w:rsid w:val="00BB6A87"/>
    <w:rsid w:val="00BB711E"/>
    <w:rsid w:val="00BB7175"/>
    <w:rsid w:val="00BB7763"/>
    <w:rsid w:val="00BB77D9"/>
    <w:rsid w:val="00BB7C77"/>
    <w:rsid w:val="00BC005E"/>
    <w:rsid w:val="00BC0089"/>
    <w:rsid w:val="00BC01BE"/>
    <w:rsid w:val="00BC0C49"/>
    <w:rsid w:val="00BC0EBC"/>
    <w:rsid w:val="00BC0F65"/>
    <w:rsid w:val="00BC0F6E"/>
    <w:rsid w:val="00BC0F71"/>
    <w:rsid w:val="00BC1237"/>
    <w:rsid w:val="00BC1482"/>
    <w:rsid w:val="00BC1700"/>
    <w:rsid w:val="00BC1B9A"/>
    <w:rsid w:val="00BC1DEF"/>
    <w:rsid w:val="00BC1EBB"/>
    <w:rsid w:val="00BC1FF7"/>
    <w:rsid w:val="00BC20CD"/>
    <w:rsid w:val="00BC2507"/>
    <w:rsid w:val="00BC2516"/>
    <w:rsid w:val="00BC2635"/>
    <w:rsid w:val="00BC263F"/>
    <w:rsid w:val="00BC2BCD"/>
    <w:rsid w:val="00BC2DD4"/>
    <w:rsid w:val="00BC3139"/>
    <w:rsid w:val="00BC330B"/>
    <w:rsid w:val="00BC34C9"/>
    <w:rsid w:val="00BC350C"/>
    <w:rsid w:val="00BC35AB"/>
    <w:rsid w:val="00BC368A"/>
    <w:rsid w:val="00BC3B9E"/>
    <w:rsid w:val="00BC3D93"/>
    <w:rsid w:val="00BC3DA8"/>
    <w:rsid w:val="00BC403C"/>
    <w:rsid w:val="00BC4503"/>
    <w:rsid w:val="00BC4753"/>
    <w:rsid w:val="00BC494F"/>
    <w:rsid w:val="00BC4DA2"/>
    <w:rsid w:val="00BC50E1"/>
    <w:rsid w:val="00BC57D7"/>
    <w:rsid w:val="00BC589E"/>
    <w:rsid w:val="00BC5D15"/>
    <w:rsid w:val="00BC5F54"/>
    <w:rsid w:val="00BC605B"/>
    <w:rsid w:val="00BC6413"/>
    <w:rsid w:val="00BC6538"/>
    <w:rsid w:val="00BC6553"/>
    <w:rsid w:val="00BC6750"/>
    <w:rsid w:val="00BC6D27"/>
    <w:rsid w:val="00BC6D49"/>
    <w:rsid w:val="00BC6E6D"/>
    <w:rsid w:val="00BC6EEF"/>
    <w:rsid w:val="00BC7152"/>
    <w:rsid w:val="00BC71D8"/>
    <w:rsid w:val="00BC78E5"/>
    <w:rsid w:val="00BC7C08"/>
    <w:rsid w:val="00BC7EAA"/>
    <w:rsid w:val="00BC7F8C"/>
    <w:rsid w:val="00BD0760"/>
    <w:rsid w:val="00BD0845"/>
    <w:rsid w:val="00BD093E"/>
    <w:rsid w:val="00BD0A51"/>
    <w:rsid w:val="00BD0C5C"/>
    <w:rsid w:val="00BD0D90"/>
    <w:rsid w:val="00BD0F78"/>
    <w:rsid w:val="00BD10DD"/>
    <w:rsid w:val="00BD1377"/>
    <w:rsid w:val="00BD1601"/>
    <w:rsid w:val="00BD1D6E"/>
    <w:rsid w:val="00BD259B"/>
    <w:rsid w:val="00BD283A"/>
    <w:rsid w:val="00BD2BE8"/>
    <w:rsid w:val="00BD2F23"/>
    <w:rsid w:val="00BD34A8"/>
    <w:rsid w:val="00BD385F"/>
    <w:rsid w:val="00BD3948"/>
    <w:rsid w:val="00BD399B"/>
    <w:rsid w:val="00BD39D0"/>
    <w:rsid w:val="00BD3B6E"/>
    <w:rsid w:val="00BD3E0B"/>
    <w:rsid w:val="00BD3E37"/>
    <w:rsid w:val="00BD3FB1"/>
    <w:rsid w:val="00BD40DB"/>
    <w:rsid w:val="00BD423D"/>
    <w:rsid w:val="00BD44B0"/>
    <w:rsid w:val="00BD46C5"/>
    <w:rsid w:val="00BD5285"/>
    <w:rsid w:val="00BD5370"/>
    <w:rsid w:val="00BD53AE"/>
    <w:rsid w:val="00BD53F6"/>
    <w:rsid w:val="00BD5484"/>
    <w:rsid w:val="00BD55BC"/>
    <w:rsid w:val="00BD5AA8"/>
    <w:rsid w:val="00BD5AE6"/>
    <w:rsid w:val="00BD5CCE"/>
    <w:rsid w:val="00BD6001"/>
    <w:rsid w:val="00BD613D"/>
    <w:rsid w:val="00BD62FD"/>
    <w:rsid w:val="00BD6389"/>
    <w:rsid w:val="00BD64EC"/>
    <w:rsid w:val="00BD64F8"/>
    <w:rsid w:val="00BD671B"/>
    <w:rsid w:val="00BD676E"/>
    <w:rsid w:val="00BD6845"/>
    <w:rsid w:val="00BD6B63"/>
    <w:rsid w:val="00BD6CE5"/>
    <w:rsid w:val="00BD6DC6"/>
    <w:rsid w:val="00BD718D"/>
    <w:rsid w:val="00BD733A"/>
    <w:rsid w:val="00BD7453"/>
    <w:rsid w:val="00BD7605"/>
    <w:rsid w:val="00BD7DA7"/>
    <w:rsid w:val="00BE084E"/>
    <w:rsid w:val="00BE0CF4"/>
    <w:rsid w:val="00BE0F81"/>
    <w:rsid w:val="00BE1088"/>
    <w:rsid w:val="00BE141F"/>
    <w:rsid w:val="00BE1D0C"/>
    <w:rsid w:val="00BE1F8C"/>
    <w:rsid w:val="00BE2151"/>
    <w:rsid w:val="00BE23A8"/>
    <w:rsid w:val="00BE241A"/>
    <w:rsid w:val="00BE2439"/>
    <w:rsid w:val="00BE251F"/>
    <w:rsid w:val="00BE2546"/>
    <w:rsid w:val="00BE255D"/>
    <w:rsid w:val="00BE2A86"/>
    <w:rsid w:val="00BE2B5E"/>
    <w:rsid w:val="00BE2C3E"/>
    <w:rsid w:val="00BE2DDD"/>
    <w:rsid w:val="00BE329D"/>
    <w:rsid w:val="00BE33B1"/>
    <w:rsid w:val="00BE3AA7"/>
    <w:rsid w:val="00BE3AF2"/>
    <w:rsid w:val="00BE3DBE"/>
    <w:rsid w:val="00BE3EFB"/>
    <w:rsid w:val="00BE421B"/>
    <w:rsid w:val="00BE422D"/>
    <w:rsid w:val="00BE4571"/>
    <w:rsid w:val="00BE457E"/>
    <w:rsid w:val="00BE47B9"/>
    <w:rsid w:val="00BE4DB1"/>
    <w:rsid w:val="00BE4DDD"/>
    <w:rsid w:val="00BE4FBF"/>
    <w:rsid w:val="00BE504D"/>
    <w:rsid w:val="00BE526E"/>
    <w:rsid w:val="00BE5391"/>
    <w:rsid w:val="00BE559E"/>
    <w:rsid w:val="00BE5AE4"/>
    <w:rsid w:val="00BE5B35"/>
    <w:rsid w:val="00BE5E40"/>
    <w:rsid w:val="00BE5E8B"/>
    <w:rsid w:val="00BE609E"/>
    <w:rsid w:val="00BE60B3"/>
    <w:rsid w:val="00BE6724"/>
    <w:rsid w:val="00BE673D"/>
    <w:rsid w:val="00BE6A26"/>
    <w:rsid w:val="00BE6C1D"/>
    <w:rsid w:val="00BE6FDC"/>
    <w:rsid w:val="00BE7CB3"/>
    <w:rsid w:val="00BE7DD8"/>
    <w:rsid w:val="00BE7E02"/>
    <w:rsid w:val="00BE7E64"/>
    <w:rsid w:val="00BF02C6"/>
    <w:rsid w:val="00BF05EE"/>
    <w:rsid w:val="00BF0655"/>
    <w:rsid w:val="00BF0774"/>
    <w:rsid w:val="00BF086C"/>
    <w:rsid w:val="00BF0A7A"/>
    <w:rsid w:val="00BF0D02"/>
    <w:rsid w:val="00BF0E7D"/>
    <w:rsid w:val="00BF0EE5"/>
    <w:rsid w:val="00BF12B3"/>
    <w:rsid w:val="00BF1319"/>
    <w:rsid w:val="00BF1C6E"/>
    <w:rsid w:val="00BF1FBE"/>
    <w:rsid w:val="00BF24C2"/>
    <w:rsid w:val="00BF2714"/>
    <w:rsid w:val="00BF2EBE"/>
    <w:rsid w:val="00BF2EFD"/>
    <w:rsid w:val="00BF312F"/>
    <w:rsid w:val="00BF31AA"/>
    <w:rsid w:val="00BF31D9"/>
    <w:rsid w:val="00BF3444"/>
    <w:rsid w:val="00BF476A"/>
    <w:rsid w:val="00BF481D"/>
    <w:rsid w:val="00BF4979"/>
    <w:rsid w:val="00BF4B3E"/>
    <w:rsid w:val="00BF4D41"/>
    <w:rsid w:val="00BF532B"/>
    <w:rsid w:val="00BF53C5"/>
    <w:rsid w:val="00BF53E3"/>
    <w:rsid w:val="00BF5531"/>
    <w:rsid w:val="00BF56B6"/>
    <w:rsid w:val="00BF589D"/>
    <w:rsid w:val="00BF593B"/>
    <w:rsid w:val="00BF5D18"/>
    <w:rsid w:val="00BF5DAF"/>
    <w:rsid w:val="00BF5F74"/>
    <w:rsid w:val="00BF60E8"/>
    <w:rsid w:val="00BF6283"/>
    <w:rsid w:val="00BF64A3"/>
    <w:rsid w:val="00BF65C5"/>
    <w:rsid w:val="00BF6A0E"/>
    <w:rsid w:val="00BF6A90"/>
    <w:rsid w:val="00BF6B00"/>
    <w:rsid w:val="00BF6B24"/>
    <w:rsid w:val="00BF6C64"/>
    <w:rsid w:val="00BF6C72"/>
    <w:rsid w:val="00BF6C8E"/>
    <w:rsid w:val="00BF6E95"/>
    <w:rsid w:val="00BF6EFA"/>
    <w:rsid w:val="00BF73A1"/>
    <w:rsid w:val="00BF763B"/>
    <w:rsid w:val="00BF77A5"/>
    <w:rsid w:val="00BF7A00"/>
    <w:rsid w:val="00BF7C14"/>
    <w:rsid w:val="00C0005A"/>
    <w:rsid w:val="00C00355"/>
    <w:rsid w:val="00C005A5"/>
    <w:rsid w:val="00C008B4"/>
    <w:rsid w:val="00C008CA"/>
    <w:rsid w:val="00C00BCC"/>
    <w:rsid w:val="00C0110B"/>
    <w:rsid w:val="00C01166"/>
    <w:rsid w:val="00C0125E"/>
    <w:rsid w:val="00C01719"/>
    <w:rsid w:val="00C019FD"/>
    <w:rsid w:val="00C01A5E"/>
    <w:rsid w:val="00C01C6D"/>
    <w:rsid w:val="00C01EC2"/>
    <w:rsid w:val="00C022F6"/>
    <w:rsid w:val="00C023BC"/>
    <w:rsid w:val="00C025DA"/>
    <w:rsid w:val="00C02763"/>
    <w:rsid w:val="00C02AC6"/>
    <w:rsid w:val="00C02BC1"/>
    <w:rsid w:val="00C0304B"/>
    <w:rsid w:val="00C0313A"/>
    <w:rsid w:val="00C033DE"/>
    <w:rsid w:val="00C03604"/>
    <w:rsid w:val="00C03B16"/>
    <w:rsid w:val="00C03BC7"/>
    <w:rsid w:val="00C03BCE"/>
    <w:rsid w:val="00C03E71"/>
    <w:rsid w:val="00C04056"/>
    <w:rsid w:val="00C0444D"/>
    <w:rsid w:val="00C05127"/>
    <w:rsid w:val="00C0583C"/>
    <w:rsid w:val="00C058BE"/>
    <w:rsid w:val="00C0599B"/>
    <w:rsid w:val="00C05D2E"/>
    <w:rsid w:val="00C05EBD"/>
    <w:rsid w:val="00C062EB"/>
    <w:rsid w:val="00C063D1"/>
    <w:rsid w:val="00C06645"/>
    <w:rsid w:val="00C06CB3"/>
    <w:rsid w:val="00C06D75"/>
    <w:rsid w:val="00C06FF3"/>
    <w:rsid w:val="00C07266"/>
    <w:rsid w:val="00C074D9"/>
    <w:rsid w:val="00C075C1"/>
    <w:rsid w:val="00C0780A"/>
    <w:rsid w:val="00C07A1E"/>
    <w:rsid w:val="00C07AE1"/>
    <w:rsid w:val="00C1002D"/>
    <w:rsid w:val="00C10200"/>
    <w:rsid w:val="00C1063B"/>
    <w:rsid w:val="00C10DF0"/>
    <w:rsid w:val="00C10E4B"/>
    <w:rsid w:val="00C11081"/>
    <w:rsid w:val="00C11392"/>
    <w:rsid w:val="00C1167E"/>
    <w:rsid w:val="00C11781"/>
    <w:rsid w:val="00C11968"/>
    <w:rsid w:val="00C11C5A"/>
    <w:rsid w:val="00C12034"/>
    <w:rsid w:val="00C120A6"/>
    <w:rsid w:val="00C123BB"/>
    <w:rsid w:val="00C1243D"/>
    <w:rsid w:val="00C12776"/>
    <w:rsid w:val="00C12ABF"/>
    <w:rsid w:val="00C13042"/>
    <w:rsid w:val="00C13047"/>
    <w:rsid w:val="00C13638"/>
    <w:rsid w:val="00C13751"/>
    <w:rsid w:val="00C13977"/>
    <w:rsid w:val="00C13A3C"/>
    <w:rsid w:val="00C13C51"/>
    <w:rsid w:val="00C13EDE"/>
    <w:rsid w:val="00C141D7"/>
    <w:rsid w:val="00C14389"/>
    <w:rsid w:val="00C1474B"/>
    <w:rsid w:val="00C1511B"/>
    <w:rsid w:val="00C154CF"/>
    <w:rsid w:val="00C15612"/>
    <w:rsid w:val="00C15731"/>
    <w:rsid w:val="00C159EE"/>
    <w:rsid w:val="00C15E9E"/>
    <w:rsid w:val="00C1610B"/>
    <w:rsid w:val="00C16230"/>
    <w:rsid w:val="00C163E1"/>
    <w:rsid w:val="00C166B3"/>
    <w:rsid w:val="00C166FF"/>
    <w:rsid w:val="00C16C2B"/>
    <w:rsid w:val="00C16F3E"/>
    <w:rsid w:val="00C17110"/>
    <w:rsid w:val="00C173FF"/>
    <w:rsid w:val="00C17BE4"/>
    <w:rsid w:val="00C17F89"/>
    <w:rsid w:val="00C2011B"/>
    <w:rsid w:val="00C201B0"/>
    <w:rsid w:val="00C204D9"/>
    <w:rsid w:val="00C205F5"/>
    <w:rsid w:val="00C20942"/>
    <w:rsid w:val="00C2099C"/>
    <w:rsid w:val="00C20E19"/>
    <w:rsid w:val="00C210F1"/>
    <w:rsid w:val="00C21101"/>
    <w:rsid w:val="00C211E0"/>
    <w:rsid w:val="00C212ED"/>
    <w:rsid w:val="00C21611"/>
    <w:rsid w:val="00C2180F"/>
    <w:rsid w:val="00C2195A"/>
    <w:rsid w:val="00C21A77"/>
    <w:rsid w:val="00C2269E"/>
    <w:rsid w:val="00C22796"/>
    <w:rsid w:val="00C22894"/>
    <w:rsid w:val="00C22AF9"/>
    <w:rsid w:val="00C22B4B"/>
    <w:rsid w:val="00C22BC9"/>
    <w:rsid w:val="00C22E68"/>
    <w:rsid w:val="00C230B0"/>
    <w:rsid w:val="00C23335"/>
    <w:rsid w:val="00C235C6"/>
    <w:rsid w:val="00C237E2"/>
    <w:rsid w:val="00C2385E"/>
    <w:rsid w:val="00C23A23"/>
    <w:rsid w:val="00C23C4F"/>
    <w:rsid w:val="00C2447B"/>
    <w:rsid w:val="00C245CE"/>
    <w:rsid w:val="00C24605"/>
    <w:rsid w:val="00C2475A"/>
    <w:rsid w:val="00C24BC2"/>
    <w:rsid w:val="00C24BD9"/>
    <w:rsid w:val="00C24FCE"/>
    <w:rsid w:val="00C252EA"/>
    <w:rsid w:val="00C25D7B"/>
    <w:rsid w:val="00C25F19"/>
    <w:rsid w:val="00C26537"/>
    <w:rsid w:val="00C26647"/>
    <w:rsid w:val="00C266D2"/>
    <w:rsid w:val="00C26BB4"/>
    <w:rsid w:val="00C26BEB"/>
    <w:rsid w:val="00C271D5"/>
    <w:rsid w:val="00C27366"/>
    <w:rsid w:val="00C275BB"/>
    <w:rsid w:val="00C27824"/>
    <w:rsid w:val="00C27AE4"/>
    <w:rsid w:val="00C27DD3"/>
    <w:rsid w:val="00C27EBF"/>
    <w:rsid w:val="00C30073"/>
    <w:rsid w:val="00C300C3"/>
    <w:rsid w:val="00C30243"/>
    <w:rsid w:val="00C30755"/>
    <w:rsid w:val="00C30893"/>
    <w:rsid w:val="00C309A6"/>
    <w:rsid w:val="00C30CBC"/>
    <w:rsid w:val="00C30F09"/>
    <w:rsid w:val="00C311FF"/>
    <w:rsid w:val="00C312C0"/>
    <w:rsid w:val="00C31600"/>
    <w:rsid w:val="00C3179B"/>
    <w:rsid w:val="00C317F3"/>
    <w:rsid w:val="00C31A78"/>
    <w:rsid w:val="00C32092"/>
    <w:rsid w:val="00C3225A"/>
    <w:rsid w:val="00C3231C"/>
    <w:rsid w:val="00C323E4"/>
    <w:rsid w:val="00C32549"/>
    <w:rsid w:val="00C3256B"/>
    <w:rsid w:val="00C326D4"/>
    <w:rsid w:val="00C32EFA"/>
    <w:rsid w:val="00C330AB"/>
    <w:rsid w:val="00C333E7"/>
    <w:rsid w:val="00C33699"/>
    <w:rsid w:val="00C33823"/>
    <w:rsid w:val="00C33D29"/>
    <w:rsid w:val="00C34384"/>
    <w:rsid w:val="00C3488E"/>
    <w:rsid w:val="00C34A6E"/>
    <w:rsid w:val="00C3508A"/>
    <w:rsid w:val="00C3528B"/>
    <w:rsid w:val="00C35E8C"/>
    <w:rsid w:val="00C36086"/>
    <w:rsid w:val="00C362FB"/>
    <w:rsid w:val="00C36583"/>
    <w:rsid w:val="00C36824"/>
    <w:rsid w:val="00C36B21"/>
    <w:rsid w:val="00C375B3"/>
    <w:rsid w:val="00C37919"/>
    <w:rsid w:val="00C379C0"/>
    <w:rsid w:val="00C37BA0"/>
    <w:rsid w:val="00C37C2F"/>
    <w:rsid w:val="00C37C4A"/>
    <w:rsid w:val="00C37D93"/>
    <w:rsid w:val="00C37EEC"/>
    <w:rsid w:val="00C37F70"/>
    <w:rsid w:val="00C401DD"/>
    <w:rsid w:val="00C4032A"/>
    <w:rsid w:val="00C40948"/>
    <w:rsid w:val="00C40977"/>
    <w:rsid w:val="00C40B0A"/>
    <w:rsid w:val="00C40C7D"/>
    <w:rsid w:val="00C40E01"/>
    <w:rsid w:val="00C4148F"/>
    <w:rsid w:val="00C4157E"/>
    <w:rsid w:val="00C417BC"/>
    <w:rsid w:val="00C41AF1"/>
    <w:rsid w:val="00C41EC8"/>
    <w:rsid w:val="00C42075"/>
    <w:rsid w:val="00C4216F"/>
    <w:rsid w:val="00C42397"/>
    <w:rsid w:val="00C423C4"/>
    <w:rsid w:val="00C42494"/>
    <w:rsid w:val="00C4259F"/>
    <w:rsid w:val="00C42707"/>
    <w:rsid w:val="00C4288C"/>
    <w:rsid w:val="00C42993"/>
    <w:rsid w:val="00C42B74"/>
    <w:rsid w:val="00C430AE"/>
    <w:rsid w:val="00C43180"/>
    <w:rsid w:val="00C43619"/>
    <w:rsid w:val="00C43641"/>
    <w:rsid w:val="00C438BE"/>
    <w:rsid w:val="00C438FF"/>
    <w:rsid w:val="00C439A7"/>
    <w:rsid w:val="00C43DA4"/>
    <w:rsid w:val="00C43ED3"/>
    <w:rsid w:val="00C441D1"/>
    <w:rsid w:val="00C449F8"/>
    <w:rsid w:val="00C44A88"/>
    <w:rsid w:val="00C44E2D"/>
    <w:rsid w:val="00C453F0"/>
    <w:rsid w:val="00C4546B"/>
    <w:rsid w:val="00C45504"/>
    <w:rsid w:val="00C45987"/>
    <w:rsid w:val="00C45A8D"/>
    <w:rsid w:val="00C45AE0"/>
    <w:rsid w:val="00C45DE4"/>
    <w:rsid w:val="00C45F64"/>
    <w:rsid w:val="00C45F82"/>
    <w:rsid w:val="00C460B0"/>
    <w:rsid w:val="00C46A1D"/>
    <w:rsid w:val="00C46B8A"/>
    <w:rsid w:val="00C46C20"/>
    <w:rsid w:val="00C46D39"/>
    <w:rsid w:val="00C46F22"/>
    <w:rsid w:val="00C47062"/>
    <w:rsid w:val="00C4716C"/>
    <w:rsid w:val="00C47645"/>
    <w:rsid w:val="00C47877"/>
    <w:rsid w:val="00C47955"/>
    <w:rsid w:val="00C47C0C"/>
    <w:rsid w:val="00C47C7B"/>
    <w:rsid w:val="00C47D0D"/>
    <w:rsid w:val="00C47D26"/>
    <w:rsid w:val="00C47EF8"/>
    <w:rsid w:val="00C502B1"/>
    <w:rsid w:val="00C5035B"/>
    <w:rsid w:val="00C50614"/>
    <w:rsid w:val="00C506A7"/>
    <w:rsid w:val="00C50CF5"/>
    <w:rsid w:val="00C5110C"/>
    <w:rsid w:val="00C5113D"/>
    <w:rsid w:val="00C5155E"/>
    <w:rsid w:val="00C51570"/>
    <w:rsid w:val="00C51B37"/>
    <w:rsid w:val="00C51F2F"/>
    <w:rsid w:val="00C52A69"/>
    <w:rsid w:val="00C52DAF"/>
    <w:rsid w:val="00C52E4D"/>
    <w:rsid w:val="00C52EE5"/>
    <w:rsid w:val="00C53270"/>
    <w:rsid w:val="00C53273"/>
    <w:rsid w:val="00C532AB"/>
    <w:rsid w:val="00C53507"/>
    <w:rsid w:val="00C53761"/>
    <w:rsid w:val="00C538D6"/>
    <w:rsid w:val="00C53BDF"/>
    <w:rsid w:val="00C53CD5"/>
    <w:rsid w:val="00C53DF2"/>
    <w:rsid w:val="00C54411"/>
    <w:rsid w:val="00C54B47"/>
    <w:rsid w:val="00C54DCF"/>
    <w:rsid w:val="00C5513C"/>
    <w:rsid w:val="00C55526"/>
    <w:rsid w:val="00C555C0"/>
    <w:rsid w:val="00C555E3"/>
    <w:rsid w:val="00C55709"/>
    <w:rsid w:val="00C55ABD"/>
    <w:rsid w:val="00C55B47"/>
    <w:rsid w:val="00C55C9E"/>
    <w:rsid w:val="00C55E09"/>
    <w:rsid w:val="00C55EBD"/>
    <w:rsid w:val="00C56000"/>
    <w:rsid w:val="00C56A17"/>
    <w:rsid w:val="00C56ACB"/>
    <w:rsid w:val="00C56B9A"/>
    <w:rsid w:val="00C56D0B"/>
    <w:rsid w:val="00C570FD"/>
    <w:rsid w:val="00C57139"/>
    <w:rsid w:val="00C57AB4"/>
    <w:rsid w:val="00C57D26"/>
    <w:rsid w:val="00C57D87"/>
    <w:rsid w:val="00C57E86"/>
    <w:rsid w:val="00C57EB2"/>
    <w:rsid w:val="00C601B7"/>
    <w:rsid w:val="00C60275"/>
    <w:rsid w:val="00C60691"/>
    <w:rsid w:val="00C606D4"/>
    <w:rsid w:val="00C6119E"/>
    <w:rsid w:val="00C61224"/>
    <w:rsid w:val="00C61228"/>
    <w:rsid w:val="00C612FD"/>
    <w:rsid w:val="00C6138E"/>
    <w:rsid w:val="00C6139C"/>
    <w:rsid w:val="00C615FC"/>
    <w:rsid w:val="00C616F0"/>
    <w:rsid w:val="00C61798"/>
    <w:rsid w:val="00C618AE"/>
    <w:rsid w:val="00C61AF9"/>
    <w:rsid w:val="00C62584"/>
    <w:rsid w:val="00C627C6"/>
    <w:rsid w:val="00C6290E"/>
    <w:rsid w:val="00C62BE0"/>
    <w:rsid w:val="00C62E01"/>
    <w:rsid w:val="00C62E09"/>
    <w:rsid w:val="00C6324F"/>
    <w:rsid w:val="00C63456"/>
    <w:rsid w:val="00C63590"/>
    <w:rsid w:val="00C63B58"/>
    <w:rsid w:val="00C63D0F"/>
    <w:rsid w:val="00C640E3"/>
    <w:rsid w:val="00C643C2"/>
    <w:rsid w:val="00C648D6"/>
    <w:rsid w:val="00C6496A"/>
    <w:rsid w:val="00C64A13"/>
    <w:rsid w:val="00C64AF9"/>
    <w:rsid w:val="00C65159"/>
    <w:rsid w:val="00C65203"/>
    <w:rsid w:val="00C65D80"/>
    <w:rsid w:val="00C65E23"/>
    <w:rsid w:val="00C65E3E"/>
    <w:rsid w:val="00C661EF"/>
    <w:rsid w:val="00C6634A"/>
    <w:rsid w:val="00C663D0"/>
    <w:rsid w:val="00C665CF"/>
    <w:rsid w:val="00C667A6"/>
    <w:rsid w:val="00C667CE"/>
    <w:rsid w:val="00C66C6C"/>
    <w:rsid w:val="00C66D74"/>
    <w:rsid w:val="00C66DB8"/>
    <w:rsid w:val="00C66DD5"/>
    <w:rsid w:val="00C66F5F"/>
    <w:rsid w:val="00C671F9"/>
    <w:rsid w:val="00C675FD"/>
    <w:rsid w:val="00C677BF"/>
    <w:rsid w:val="00C67A1E"/>
    <w:rsid w:val="00C70089"/>
    <w:rsid w:val="00C7008A"/>
    <w:rsid w:val="00C7034E"/>
    <w:rsid w:val="00C707A3"/>
    <w:rsid w:val="00C7105C"/>
    <w:rsid w:val="00C71132"/>
    <w:rsid w:val="00C71221"/>
    <w:rsid w:val="00C71405"/>
    <w:rsid w:val="00C714CD"/>
    <w:rsid w:val="00C715B8"/>
    <w:rsid w:val="00C71ADB"/>
    <w:rsid w:val="00C7218D"/>
    <w:rsid w:val="00C722F8"/>
    <w:rsid w:val="00C723B7"/>
    <w:rsid w:val="00C724C5"/>
    <w:rsid w:val="00C72B22"/>
    <w:rsid w:val="00C72C4E"/>
    <w:rsid w:val="00C732D9"/>
    <w:rsid w:val="00C73367"/>
    <w:rsid w:val="00C73663"/>
    <w:rsid w:val="00C736BD"/>
    <w:rsid w:val="00C737CF"/>
    <w:rsid w:val="00C73F7E"/>
    <w:rsid w:val="00C73FD2"/>
    <w:rsid w:val="00C74111"/>
    <w:rsid w:val="00C74369"/>
    <w:rsid w:val="00C743EA"/>
    <w:rsid w:val="00C74401"/>
    <w:rsid w:val="00C74437"/>
    <w:rsid w:val="00C744DD"/>
    <w:rsid w:val="00C750C0"/>
    <w:rsid w:val="00C75194"/>
    <w:rsid w:val="00C75B74"/>
    <w:rsid w:val="00C75D53"/>
    <w:rsid w:val="00C76008"/>
    <w:rsid w:val="00C76402"/>
    <w:rsid w:val="00C768F2"/>
    <w:rsid w:val="00C769CC"/>
    <w:rsid w:val="00C76CAD"/>
    <w:rsid w:val="00C76D71"/>
    <w:rsid w:val="00C76EA0"/>
    <w:rsid w:val="00C77287"/>
    <w:rsid w:val="00C7752A"/>
    <w:rsid w:val="00C775C5"/>
    <w:rsid w:val="00C77882"/>
    <w:rsid w:val="00C77C6E"/>
    <w:rsid w:val="00C77DAC"/>
    <w:rsid w:val="00C8025C"/>
    <w:rsid w:val="00C802F1"/>
    <w:rsid w:val="00C8077B"/>
    <w:rsid w:val="00C80F26"/>
    <w:rsid w:val="00C80F9A"/>
    <w:rsid w:val="00C81148"/>
    <w:rsid w:val="00C81496"/>
    <w:rsid w:val="00C8149F"/>
    <w:rsid w:val="00C817A7"/>
    <w:rsid w:val="00C81930"/>
    <w:rsid w:val="00C81AAF"/>
    <w:rsid w:val="00C81EB9"/>
    <w:rsid w:val="00C823FE"/>
    <w:rsid w:val="00C8252D"/>
    <w:rsid w:val="00C82644"/>
    <w:rsid w:val="00C826C6"/>
    <w:rsid w:val="00C827F0"/>
    <w:rsid w:val="00C82873"/>
    <w:rsid w:val="00C82A2A"/>
    <w:rsid w:val="00C82DFB"/>
    <w:rsid w:val="00C82F3A"/>
    <w:rsid w:val="00C8304C"/>
    <w:rsid w:val="00C830D3"/>
    <w:rsid w:val="00C837E7"/>
    <w:rsid w:val="00C839A3"/>
    <w:rsid w:val="00C83AF4"/>
    <w:rsid w:val="00C83B82"/>
    <w:rsid w:val="00C83C72"/>
    <w:rsid w:val="00C83EB8"/>
    <w:rsid w:val="00C84047"/>
    <w:rsid w:val="00C84206"/>
    <w:rsid w:val="00C84252"/>
    <w:rsid w:val="00C843FD"/>
    <w:rsid w:val="00C84592"/>
    <w:rsid w:val="00C845EC"/>
    <w:rsid w:val="00C84694"/>
    <w:rsid w:val="00C84746"/>
    <w:rsid w:val="00C8486A"/>
    <w:rsid w:val="00C84A27"/>
    <w:rsid w:val="00C84BDF"/>
    <w:rsid w:val="00C85275"/>
    <w:rsid w:val="00C8550E"/>
    <w:rsid w:val="00C8559F"/>
    <w:rsid w:val="00C855A1"/>
    <w:rsid w:val="00C8567B"/>
    <w:rsid w:val="00C85991"/>
    <w:rsid w:val="00C85B2B"/>
    <w:rsid w:val="00C85D95"/>
    <w:rsid w:val="00C85E27"/>
    <w:rsid w:val="00C85F41"/>
    <w:rsid w:val="00C862EB"/>
    <w:rsid w:val="00C86470"/>
    <w:rsid w:val="00C864AD"/>
    <w:rsid w:val="00C865DB"/>
    <w:rsid w:val="00C867FF"/>
    <w:rsid w:val="00C86848"/>
    <w:rsid w:val="00C86CE4"/>
    <w:rsid w:val="00C86D84"/>
    <w:rsid w:val="00C86F99"/>
    <w:rsid w:val="00C87325"/>
    <w:rsid w:val="00C8752C"/>
    <w:rsid w:val="00C8765F"/>
    <w:rsid w:val="00C878F8"/>
    <w:rsid w:val="00C87AAF"/>
    <w:rsid w:val="00C87C4B"/>
    <w:rsid w:val="00C87CB9"/>
    <w:rsid w:val="00C87D14"/>
    <w:rsid w:val="00C901EA"/>
    <w:rsid w:val="00C90B5D"/>
    <w:rsid w:val="00C90F91"/>
    <w:rsid w:val="00C9110E"/>
    <w:rsid w:val="00C91460"/>
    <w:rsid w:val="00C91468"/>
    <w:rsid w:val="00C914A7"/>
    <w:rsid w:val="00C915C5"/>
    <w:rsid w:val="00C91749"/>
    <w:rsid w:val="00C919AF"/>
    <w:rsid w:val="00C91BE2"/>
    <w:rsid w:val="00C91C05"/>
    <w:rsid w:val="00C91CCC"/>
    <w:rsid w:val="00C92189"/>
    <w:rsid w:val="00C92267"/>
    <w:rsid w:val="00C92289"/>
    <w:rsid w:val="00C924DA"/>
    <w:rsid w:val="00C930F3"/>
    <w:rsid w:val="00C93189"/>
    <w:rsid w:val="00C931A6"/>
    <w:rsid w:val="00C931E7"/>
    <w:rsid w:val="00C93206"/>
    <w:rsid w:val="00C937AF"/>
    <w:rsid w:val="00C93A0C"/>
    <w:rsid w:val="00C9400E"/>
    <w:rsid w:val="00C9488C"/>
    <w:rsid w:val="00C94953"/>
    <w:rsid w:val="00C94DE3"/>
    <w:rsid w:val="00C94FD3"/>
    <w:rsid w:val="00C95304"/>
    <w:rsid w:val="00C9584B"/>
    <w:rsid w:val="00C95E58"/>
    <w:rsid w:val="00C95FE9"/>
    <w:rsid w:val="00C96259"/>
    <w:rsid w:val="00C9691F"/>
    <w:rsid w:val="00C96B16"/>
    <w:rsid w:val="00C97245"/>
    <w:rsid w:val="00C97609"/>
    <w:rsid w:val="00C978C4"/>
    <w:rsid w:val="00C97970"/>
    <w:rsid w:val="00C97B6D"/>
    <w:rsid w:val="00C97F79"/>
    <w:rsid w:val="00CA0217"/>
    <w:rsid w:val="00CA0546"/>
    <w:rsid w:val="00CA0640"/>
    <w:rsid w:val="00CA0902"/>
    <w:rsid w:val="00CA0AC4"/>
    <w:rsid w:val="00CA0BA1"/>
    <w:rsid w:val="00CA0F92"/>
    <w:rsid w:val="00CA101B"/>
    <w:rsid w:val="00CA121B"/>
    <w:rsid w:val="00CA1458"/>
    <w:rsid w:val="00CA15EB"/>
    <w:rsid w:val="00CA1A08"/>
    <w:rsid w:val="00CA1A98"/>
    <w:rsid w:val="00CA1D7A"/>
    <w:rsid w:val="00CA1D9F"/>
    <w:rsid w:val="00CA1DB8"/>
    <w:rsid w:val="00CA1F5C"/>
    <w:rsid w:val="00CA22D2"/>
    <w:rsid w:val="00CA23B1"/>
    <w:rsid w:val="00CA2688"/>
    <w:rsid w:val="00CA292B"/>
    <w:rsid w:val="00CA2E05"/>
    <w:rsid w:val="00CA344A"/>
    <w:rsid w:val="00CA438C"/>
    <w:rsid w:val="00CA4A7D"/>
    <w:rsid w:val="00CA4B22"/>
    <w:rsid w:val="00CA4BAA"/>
    <w:rsid w:val="00CA4BB2"/>
    <w:rsid w:val="00CA4C22"/>
    <w:rsid w:val="00CA50B8"/>
    <w:rsid w:val="00CA59B6"/>
    <w:rsid w:val="00CA5B32"/>
    <w:rsid w:val="00CA5CC7"/>
    <w:rsid w:val="00CA601F"/>
    <w:rsid w:val="00CA60C8"/>
    <w:rsid w:val="00CA61FB"/>
    <w:rsid w:val="00CA659B"/>
    <w:rsid w:val="00CA696F"/>
    <w:rsid w:val="00CA6CF0"/>
    <w:rsid w:val="00CA72B2"/>
    <w:rsid w:val="00CA7671"/>
    <w:rsid w:val="00CA795A"/>
    <w:rsid w:val="00CA79E8"/>
    <w:rsid w:val="00CA7A5A"/>
    <w:rsid w:val="00CA7BD6"/>
    <w:rsid w:val="00CA7C88"/>
    <w:rsid w:val="00CA7F0A"/>
    <w:rsid w:val="00CB01BF"/>
    <w:rsid w:val="00CB02B2"/>
    <w:rsid w:val="00CB055F"/>
    <w:rsid w:val="00CB0847"/>
    <w:rsid w:val="00CB0951"/>
    <w:rsid w:val="00CB0962"/>
    <w:rsid w:val="00CB09F5"/>
    <w:rsid w:val="00CB0A85"/>
    <w:rsid w:val="00CB0C20"/>
    <w:rsid w:val="00CB0CB1"/>
    <w:rsid w:val="00CB0E29"/>
    <w:rsid w:val="00CB116B"/>
    <w:rsid w:val="00CB1260"/>
    <w:rsid w:val="00CB15F9"/>
    <w:rsid w:val="00CB1688"/>
    <w:rsid w:val="00CB1937"/>
    <w:rsid w:val="00CB1B65"/>
    <w:rsid w:val="00CB1FC4"/>
    <w:rsid w:val="00CB2067"/>
    <w:rsid w:val="00CB2256"/>
    <w:rsid w:val="00CB229C"/>
    <w:rsid w:val="00CB27DF"/>
    <w:rsid w:val="00CB2920"/>
    <w:rsid w:val="00CB2B6B"/>
    <w:rsid w:val="00CB2C5C"/>
    <w:rsid w:val="00CB2CCF"/>
    <w:rsid w:val="00CB2FAA"/>
    <w:rsid w:val="00CB3168"/>
    <w:rsid w:val="00CB32FF"/>
    <w:rsid w:val="00CB355B"/>
    <w:rsid w:val="00CB37CD"/>
    <w:rsid w:val="00CB3FEE"/>
    <w:rsid w:val="00CB401F"/>
    <w:rsid w:val="00CB40F0"/>
    <w:rsid w:val="00CB44F7"/>
    <w:rsid w:val="00CB4560"/>
    <w:rsid w:val="00CB4681"/>
    <w:rsid w:val="00CB46A8"/>
    <w:rsid w:val="00CB4B11"/>
    <w:rsid w:val="00CB4B59"/>
    <w:rsid w:val="00CB4BF9"/>
    <w:rsid w:val="00CB575D"/>
    <w:rsid w:val="00CB5CB4"/>
    <w:rsid w:val="00CB6007"/>
    <w:rsid w:val="00CB61ED"/>
    <w:rsid w:val="00CB657C"/>
    <w:rsid w:val="00CB66F5"/>
    <w:rsid w:val="00CB6815"/>
    <w:rsid w:val="00CB6B72"/>
    <w:rsid w:val="00CB6C84"/>
    <w:rsid w:val="00CB6D29"/>
    <w:rsid w:val="00CB6EE4"/>
    <w:rsid w:val="00CB7385"/>
    <w:rsid w:val="00CB761F"/>
    <w:rsid w:val="00CB782F"/>
    <w:rsid w:val="00CB7BD1"/>
    <w:rsid w:val="00CB7D1B"/>
    <w:rsid w:val="00CB7E7E"/>
    <w:rsid w:val="00CC04F0"/>
    <w:rsid w:val="00CC070E"/>
    <w:rsid w:val="00CC0710"/>
    <w:rsid w:val="00CC071C"/>
    <w:rsid w:val="00CC0993"/>
    <w:rsid w:val="00CC09CC"/>
    <w:rsid w:val="00CC1470"/>
    <w:rsid w:val="00CC1BA8"/>
    <w:rsid w:val="00CC1FED"/>
    <w:rsid w:val="00CC2113"/>
    <w:rsid w:val="00CC241D"/>
    <w:rsid w:val="00CC2562"/>
    <w:rsid w:val="00CC2744"/>
    <w:rsid w:val="00CC2AFC"/>
    <w:rsid w:val="00CC2D60"/>
    <w:rsid w:val="00CC3022"/>
    <w:rsid w:val="00CC3045"/>
    <w:rsid w:val="00CC3211"/>
    <w:rsid w:val="00CC3264"/>
    <w:rsid w:val="00CC3FFE"/>
    <w:rsid w:val="00CC40FE"/>
    <w:rsid w:val="00CC433F"/>
    <w:rsid w:val="00CC4368"/>
    <w:rsid w:val="00CC43B3"/>
    <w:rsid w:val="00CC4769"/>
    <w:rsid w:val="00CC4B02"/>
    <w:rsid w:val="00CC4ED0"/>
    <w:rsid w:val="00CC4EF1"/>
    <w:rsid w:val="00CC5081"/>
    <w:rsid w:val="00CC54DA"/>
    <w:rsid w:val="00CC560C"/>
    <w:rsid w:val="00CC59EE"/>
    <w:rsid w:val="00CC5C29"/>
    <w:rsid w:val="00CC5E02"/>
    <w:rsid w:val="00CC607C"/>
    <w:rsid w:val="00CC6798"/>
    <w:rsid w:val="00CC6941"/>
    <w:rsid w:val="00CC69C5"/>
    <w:rsid w:val="00CC6A7A"/>
    <w:rsid w:val="00CC6AFC"/>
    <w:rsid w:val="00CC6BC0"/>
    <w:rsid w:val="00CC6C67"/>
    <w:rsid w:val="00CC6CBB"/>
    <w:rsid w:val="00CC6DDD"/>
    <w:rsid w:val="00CC7366"/>
    <w:rsid w:val="00CC73E0"/>
    <w:rsid w:val="00CC7B96"/>
    <w:rsid w:val="00CC7E18"/>
    <w:rsid w:val="00CD01C6"/>
    <w:rsid w:val="00CD05DD"/>
    <w:rsid w:val="00CD0807"/>
    <w:rsid w:val="00CD0B36"/>
    <w:rsid w:val="00CD0DF6"/>
    <w:rsid w:val="00CD0E4F"/>
    <w:rsid w:val="00CD11FE"/>
    <w:rsid w:val="00CD1281"/>
    <w:rsid w:val="00CD1308"/>
    <w:rsid w:val="00CD1C29"/>
    <w:rsid w:val="00CD1E23"/>
    <w:rsid w:val="00CD2096"/>
    <w:rsid w:val="00CD231A"/>
    <w:rsid w:val="00CD2356"/>
    <w:rsid w:val="00CD255A"/>
    <w:rsid w:val="00CD25E1"/>
    <w:rsid w:val="00CD28B3"/>
    <w:rsid w:val="00CD2C18"/>
    <w:rsid w:val="00CD348B"/>
    <w:rsid w:val="00CD352C"/>
    <w:rsid w:val="00CD3F29"/>
    <w:rsid w:val="00CD3F5E"/>
    <w:rsid w:val="00CD4144"/>
    <w:rsid w:val="00CD421F"/>
    <w:rsid w:val="00CD43B4"/>
    <w:rsid w:val="00CD4601"/>
    <w:rsid w:val="00CD4679"/>
    <w:rsid w:val="00CD4827"/>
    <w:rsid w:val="00CD4940"/>
    <w:rsid w:val="00CD4A51"/>
    <w:rsid w:val="00CD4A8C"/>
    <w:rsid w:val="00CD4C1B"/>
    <w:rsid w:val="00CD4EBB"/>
    <w:rsid w:val="00CD52FB"/>
    <w:rsid w:val="00CD534D"/>
    <w:rsid w:val="00CD543E"/>
    <w:rsid w:val="00CD545A"/>
    <w:rsid w:val="00CD5A1F"/>
    <w:rsid w:val="00CD5C00"/>
    <w:rsid w:val="00CD65A9"/>
    <w:rsid w:val="00CD6617"/>
    <w:rsid w:val="00CD6A99"/>
    <w:rsid w:val="00CD6D1E"/>
    <w:rsid w:val="00CD7551"/>
    <w:rsid w:val="00CD78AC"/>
    <w:rsid w:val="00CD7A41"/>
    <w:rsid w:val="00CD7B60"/>
    <w:rsid w:val="00CD7BA8"/>
    <w:rsid w:val="00CD7E0B"/>
    <w:rsid w:val="00CE04C0"/>
    <w:rsid w:val="00CE04C8"/>
    <w:rsid w:val="00CE0860"/>
    <w:rsid w:val="00CE0898"/>
    <w:rsid w:val="00CE125C"/>
    <w:rsid w:val="00CE133E"/>
    <w:rsid w:val="00CE1576"/>
    <w:rsid w:val="00CE1B03"/>
    <w:rsid w:val="00CE1B76"/>
    <w:rsid w:val="00CE1BD3"/>
    <w:rsid w:val="00CE1CD9"/>
    <w:rsid w:val="00CE1F7C"/>
    <w:rsid w:val="00CE238D"/>
    <w:rsid w:val="00CE2710"/>
    <w:rsid w:val="00CE2AE1"/>
    <w:rsid w:val="00CE2F82"/>
    <w:rsid w:val="00CE3114"/>
    <w:rsid w:val="00CE3430"/>
    <w:rsid w:val="00CE3735"/>
    <w:rsid w:val="00CE37B1"/>
    <w:rsid w:val="00CE3999"/>
    <w:rsid w:val="00CE4001"/>
    <w:rsid w:val="00CE4050"/>
    <w:rsid w:val="00CE41FE"/>
    <w:rsid w:val="00CE447F"/>
    <w:rsid w:val="00CE47B4"/>
    <w:rsid w:val="00CE4BB2"/>
    <w:rsid w:val="00CE51CD"/>
    <w:rsid w:val="00CE57CF"/>
    <w:rsid w:val="00CE5B3C"/>
    <w:rsid w:val="00CE5B9C"/>
    <w:rsid w:val="00CE5C13"/>
    <w:rsid w:val="00CE625C"/>
    <w:rsid w:val="00CE65AE"/>
    <w:rsid w:val="00CE6ACC"/>
    <w:rsid w:val="00CE7068"/>
    <w:rsid w:val="00CE736E"/>
    <w:rsid w:val="00CE747D"/>
    <w:rsid w:val="00CE74E6"/>
    <w:rsid w:val="00CE75C2"/>
    <w:rsid w:val="00CE7949"/>
    <w:rsid w:val="00CE7A2C"/>
    <w:rsid w:val="00CE7BBD"/>
    <w:rsid w:val="00CF00BF"/>
    <w:rsid w:val="00CF018E"/>
    <w:rsid w:val="00CF03AB"/>
    <w:rsid w:val="00CF047C"/>
    <w:rsid w:val="00CF0601"/>
    <w:rsid w:val="00CF0876"/>
    <w:rsid w:val="00CF0899"/>
    <w:rsid w:val="00CF0B5D"/>
    <w:rsid w:val="00CF0CF3"/>
    <w:rsid w:val="00CF0DA7"/>
    <w:rsid w:val="00CF0FB2"/>
    <w:rsid w:val="00CF147B"/>
    <w:rsid w:val="00CF192E"/>
    <w:rsid w:val="00CF1A14"/>
    <w:rsid w:val="00CF1D95"/>
    <w:rsid w:val="00CF1FAB"/>
    <w:rsid w:val="00CF211F"/>
    <w:rsid w:val="00CF21D3"/>
    <w:rsid w:val="00CF22B6"/>
    <w:rsid w:val="00CF2405"/>
    <w:rsid w:val="00CF2660"/>
    <w:rsid w:val="00CF2895"/>
    <w:rsid w:val="00CF2AE1"/>
    <w:rsid w:val="00CF2DA4"/>
    <w:rsid w:val="00CF2E66"/>
    <w:rsid w:val="00CF3110"/>
    <w:rsid w:val="00CF35DD"/>
    <w:rsid w:val="00CF3794"/>
    <w:rsid w:val="00CF3EF1"/>
    <w:rsid w:val="00CF42B2"/>
    <w:rsid w:val="00CF473D"/>
    <w:rsid w:val="00CF4989"/>
    <w:rsid w:val="00CF5534"/>
    <w:rsid w:val="00CF5859"/>
    <w:rsid w:val="00CF5C58"/>
    <w:rsid w:val="00CF6308"/>
    <w:rsid w:val="00CF695C"/>
    <w:rsid w:val="00CF6A05"/>
    <w:rsid w:val="00CF6D9E"/>
    <w:rsid w:val="00CF6F10"/>
    <w:rsid w:val="00CF743A"/>
    <w:rsid w:val="00CF7798"/>
    <w:rsid w:val="00CF7AD1"/>
    <w:rsid w:val="00CF7F7B"/>
    <w:rsid w:val="00CF7FF4"/>
    <w:rsid w:val="00D001F9"/>
    <w:rsid w:val="00D00890"/>
    <w:rsid w:val="00D009B1"/>
    <w:rsid w:val="00D009D9"/>
    <w:rsid w:val="00D00AA0"/>
    <w:rsid w:val="00D00AB1"/>
    <w:rsid w:val="00D00BB3"/>
    <w:rsid w:val="00D01555"/>
    <w:rsid w:val="00D01559"/>
    <w:rsid w:val="00D0157C"/>
    <w:rsid w:val="00D0186C"/>
    <w:rsid w:val="00D018F8"/>
    <w:rsid w:val="00D01B37"/>
    <w:rsid w:val="00D01CAF"/>
    <w:rsid w:val="00D01E77"/>
    <w:rsid w:val="00D02028"/>
    <w:rsid w:val="00D02269"/>
    <w:rsid w:val="00D02357"/>
    <w:rsid w:val="00D02576"/>
    <w:rsid w:val="00D02605"/>
    <w:rsid w:val="00D02863"/>
    <w:rsid w:val="00D02ADF"/>
    <w:rsid w:val="00D02E92"/>
    <w:rsid w:val="00D02F6F"/>
    <w:rsid w:val="00D031E0"/>
    <w:rsid w:val="00D03377"/>
    <w:rsid w:val="00D03387"/>
    <w:rsid w:val="00D0354B"/>
    <w:rsid w:val="00D035C5"/>
    <w:rsid w:val="00D0377E"/>
    <w:rsid w:val="00D03808"/>
    <w:rsid w:val="00D03CCD"/>
    <w:rsid w:val="00D0446E"/>
    <w:rsid w:val="00D0493F"/>
    <w:rsid w:val="00D04D52"/>
    <w:rsid w:val="00D04D91"/>
    <w:rsid w:val="00D04DD5"/>
    <w:rsid w:val="00D05C99"/>
    <w:rsid w:val="00D0632D"/>
    <w:rsid w:val="00D06713"/>
    <w:rsid w:val="00D06BB3"/>
    <w:rsid w:val="00D06DE8"/>
    <w:rsid w:val="00D06F51"/>
    <w:rsid w:val="00D07166"/>
    <w:rsid w:val="00D07291"/>
    <w:rsid w:val="00D074CF"/>
    <w:rsid w:val="00D0783F"/>
    <w:rsid w:val="00D079A0"/>
    <w:rsid w:val="00D07CCB"/>
    <w:rsid w:val="00D07DDA"/>
    <w:rsid w:val="00D1040B"/>
    <w:rsid w:val="00D106F1"/>
    <w:rsid w:val="00D1077A"/>
    <w:rsid w:val="00D10BC8"/>
    <w:rsid w:val="00D11422"/>
    <w:rsid w:val="00D11740"/>
    <w:rsid w:val="00D11CB9"/>
    <w:rsid w:val="00D11DAF"/>
    <w:rsid w:val="00D120B2"/>
    <w:rsid w:val="00D1226C"/>
    <w:rsid w:val="00D12287"/>
    <w:rsid w:val="00D12312"/>
    <w:rsid w:val="00D12675"/>
    <w:rsid w:val="00D126C6"/>
    <w:rsid w:val="00D1286A"/>
    <w:rsid w:val="00D12B37"/>
    <w:rsid w:val="00D12B88"/>
    <w:rsid w:val="00D1343A"/>
    <w:rsid w:val="00D1390C"/>
    <w:rsid w:val="00D140E5"/>
    <w:rsid w:val="00D14225"/>
    <w:rsid w:val="00D1456A"/>
    <w:rsid w:val="00D14A36"/>
    <w:rsid w:val="00D14E24"/>
    <w:rsid w:val="00D151F5"/>
    <w:rsid w:val="00D15449"/>
    <w:rsid w:val="00D15AA6"/>
    <w:rsid w:val="00D15C4E"/>
    <w:rsid w:val="00D15DAA"/>
    <w:rsid w:val="00D15DAB"/>
    <w:rsid w:val="00D15F32"/>
    <w:rsid w:val="00D16333"/>
    <w:rsid w:val="00D16403"/>
    <w:rsid w:val="00D164C8"/>
    <w:rsid w:val="00D166B0"/>
    <w:rsid w:val="00D168EC"/>
    <w:rsid w:val="00D16A60"/>
    <w:rsid w:val="00D1711D"/>
    <w:rsid w:val="00D17BEC"/>
    <w:rsid w:val="00D17C97"/>
    <w:rsid w:val="00D17EA0"/>
    <w:rsid w:val="00D20A94"/>
    <w:rsid w:val="00D20B03"/>
    <w:rsid w:val="00D20D60"/>
    <w:rsid w:val="00D216B8"/>
    <w:rsid w:val="00D21C50"/>
    <w:rsid w:val="00D21C86"/>
    <w:rsid w:val="00D21CDE"/>
    <w:rsid w:val="00D22337"/>
    <w:rsid w:val="00D22A42"/>
    <w:rsid w:val="00D22CCB"/>
    <w:rsid w:val="00D22F1C"/>
    <w:rsid w:val="00D230AF"/>
    <w:rsid w:val="00D238F9"/>
    <w:rsid w:val="00D239B1"/>
    <w:rsid w:val="00D24122"/>
    <w:rsid w:val="00D241A6"/>
    <w:rsid w:val="00D243A3"/>
    <w:rsid w:val="00D24BD3"/>
    <w:rsid w:val="00D25454"/>
    <w:rsid w:val="00D254BD"/>
    <w:rsid w:val="00D2566C"/>
    <w:rsid w:val="00D25862"/>
    <w:rsid w:val="00D25C46"/>
    <w:rsid w:val="00D25D71"/>
    <w:rsid w:val="00D25DBC"/>
    <w:rsid w:val="00D25E05"/>
    <w:rsid w:val="00D25FBE"/>
    <w:rsid w:val="00D261CD"/>
    <w:rsid w:val="00D266A0"/>
    <w:rsid w:val="00D26882"/>
    <w:rsid w:val="00D26C8A"/>
    <w:rsid w:val="00D2749A"/>
    <w:rsid w:val="00D275FF"/>
    <w:rsid w:val="00D27800"/>
    <w:rsid w:val="00D278C0"/>
    <w:rsid w:val="00D300AF"/>
    <w:rsid w:val="00D30A1C"/>
    <w:rsid w:val="00D30A39"/>
    <w:rsid w:val="00D30AFF"/>
    <w:rsid w:val="00D30D5B"/>
    <w:rsid w:val="00D30D84"/>
    <w:rsid w:val="00D319B0"/>
    <w:rsid w:val="00D31ACD"/>
    <w:rsid w:val="00D31BF9"/>
    <w:rsid w:val="00D31CDC"/>
    <w:rsid w:val="00D31FFC"/>
    <w:rsid w:val="00D3216B"/>
    <w:rsid w:val="00D322F2"/>
    <w:rsid w:val="00D32767"/>
    <w:rsid w:val="00D33048"/>
    <w:rsid w:val="00D332C5"/>
    <w:rsid w:val="00D336A8"/>
    <w:rsid w:val="00D339E3"/>
    <w:rsid w:val="00D33BC5"/>
    <w:rsid w:val="00D33DE4"/>
    <w:rsid w:val="00D344B7"/>
    <w:rsid w:val="00D3452C"/>
    <w:rsid w:val="00D34651"/>
    <w:rsid w:val="00D34832"/>
    <w:rsid w:val="00D3486E"/>
    <w:rsid w:val="00D348F8"/>
    <w:rsid w:val="00D34AA3"/>
    <w:rsid w:val="00D34B5E"/>
    <w:rsid w:val="00D350D3"/>
    <w:rsid w:val="00D353AE"/>
    <w:rsid w:val="00D35B47"/>
    <w:rsid w:val="00D35E67"/>
    <w:rsid w:val="00D35E9C"/>
    <w:rsid w:val="00D36256"/>
    <w:rsid w:val="00D363D6"/>
    <w:rsid w:val="00D36716"/>
    <w:rsid w:val="00D367E5"/>
    <w:rsid w:val="00D36B13"/>
    <w:rsid w:val="00D36E9A"/>
    <w:rsid w:val="00D36F69"/>
    <w:rsid w:val="00D37058"/>
    <w:rsid w:val="00D37335"/>
    <w:rsid w:val="00D3733A"/>
    <w:rsid w:val="00D37621"/>
    <w:rsid w:val="00D378B5"/>
    <w:rsid w:val="00D37A22"/>
    <w:rsid w:val="00D37AD7"/>
    <w:rsid w:val="00D37B04"/>
    <w:rsid w:val="00D37B0F"/>
    <w:rsid w:val="00D37D8A"/>
    <w:rsid w:val="00D4044A"/>
    <w:rsid w:val="00D40575"/>
    <w:rsid w:val="00D40D93"/>
    <w:rsid w:val="00D40FC5"/>
    <w:rsid w:val="00D41090"/>
    <w:rsid w:val="00D416CD"/>
    <w:rsid w:val="00D41986"/>
    <w:rsid w:val="00D41B83"/>
    <w:rsid w:val="00D41DB9"/>
    <w:rsid w:val="00D420C5"/>
    <w:rsid w:val="00D421C7"/>
    <w:rsid w:val="00D42586"/>
    <w:rsid w:val="00D4285A"/>
    <w:rsid w:val="00D42937"/>
    <w:rsid w:val="00D429C2"/>
    <w:rsid w:val="00D42B2E"/>
    <w:rsid w:val="00D42BA0"/>
    <w:rsid w:val="00D42F0C"/>
    <w:rsid w:val="00D4306E"/>
    <w:rsid w:val="00D432BE"/>
    <w:rsid w:val="00D436EB"/>
    <w:rsid w:val="00D4371A"/>
    <w:rsid w:val="00D43881"/>
    <w:rsid w:val="00D438B4"/>
    <w:rsid w:val="00D439BD"/>
    <w:rsid w:val="00D43B43"/>
    <w:rsid w:val="00D43C4C"/>
    <w:rsid w:val="00D43D83"/>
    <w:rsid w:val="00D43E91"/>
    <w:rsid w:val="00D4433E"/>
    <w:rsid w:val="00D4438F"/>
    <w:rsid w:val="00D445F5"/>
    <w:rsid w:val="00D4473C"/>
    <w:rsid w:val="00D4493B"/>
    <w:rsid w:val="00D44E4E"/>
    <w:rsid w:val="00D44E80"/>
    <w:rsid w:val="00D454F0"/>
    <w:rsid w:val="00D45591"/>
    <w:rsid w:val="00D456E4"/>
    <w:rsid w:val="00D45FAC"/>
    <w:rsid w:val="00D463F0"/>
    <w:rsid w:val="00D4658A"/>
    <w:rsid w:val="00D46C45"/>
    <w:rsid w:val="00D46DF9"/>
    <w:rsid w:val="00D46FB5"/>
    <w:rsid w:val="00D47196"/>
    <w:rsid w:val="00D474CE"/>
    <w:rsid w:val="00D476C7"/>
    <w:rsid w:val="00D47775"/>
    <w:rsid w:val="00D47A4E"/>
    <w:rsid w:val="00D47B75"/>
    <w:rsid w:val="00D47C38"/>
    <w:rsid w:val="00D47C88"/>
    <w:rsid w:val="00D47D28"/>
    <w:rsid w:val="00D47D35"/>
    <w:rsid w:val="00D47D59"/>
    <w:rsid w:val="00D47DC0"/>
    <w:rsid w:val="00D47F54"/>
    <w:rsid w:val="00D47FF6"/>
    <w:rsid w:val="00D5035F"/>
    <w:rsid w:val="00D50623"/>
    <w:rsid w:val="00D50796"/>
    <w:rsid w:val="00D50986"/>
    <w:rsid w:val="00D50C0F"/>
    <w:rsid w:val="00D50D33"/>
    <w:rsid w:val="00D50D6C"/>
    <w:rsid w:val="00D5105A"/>
    <w:rsid w:val="00D512F1"/>
    <w:rsid w:val="00D51709"/>
    <w:rsid w:val="00D51A20"/>
    <w:rsid w:val="00D51BAE"/>
    <w:rsid w:val="00D51ED8"/>
    <w:rsid w:val="00D52403"/>
    <w:rsid w:val="00D524AD"/>
    <w:rsid w:val="00D52FBD"/>
    <w:rsid w:val="00D533D2"/>
    <w:rsid w:val="00D53735"/>
    <w:rsid w:val="00D539D5"/>
    <w:rsid w:val="00D53FCB"/>
    <w:rsid w:val="00D5445E"/>
    <w:rsid w:val="00D5446C"/>
    <w:rsid w:val="00D544DC"/>
    <w:rsid w:val="00D54656"/>
    <w:rsid w:val="00D54668"/>
    <w:rsid w:val="00D54862"/>
    <w:rsid w:val="00D548E9"/>
    <w:rsid w:val="00D54A58"/>
    <w:rsid w:val="00D54BDD"/>
    <w:rsid w:val="00D54F5C"/>
    <w:rsid w:val="00D5529E"/>
    <w:rsid w:val="00D5534F"/>
    <w:rsid w:val="00D55562"/>
    <w:rsid w:val="00D55CCC"/>
    <w:rsid w:val="00D55D67"/>
    <w:rsid w:val="00D564DE"/>
    <w:rsid w:val="00D56588"/>
    <w:rsid w:val="00D569B2"/>
    <w:rsid w:val="00D56AD7"/>
    <w:rsid w:val="00D56C04"/>
    <w:rsid w:val="00D57046"/>
    <w:rsid w:val="00D57516"/>
    <w:rsid w:val="00D57ACE"/>
    <w:rsid w:val="00D57E59"/>
    <w:rsid w:val="00D57EE9"/>
    <w:rsid w:val="00D57FDF"/>
    <w:rsid w:val="00D60060"/>
    <w:rsid w:val="00D6025A"/>
    <w:rsid w:val="00D602B4"/>
    <w:rsid w:val="00D605EE"/>
    <w:rsid w:val="00D60A7F"/>
    <w:rsid w:val="00D60C49"/>
    <w:rsid w:val="00D60D4F"/>
    <w:rsid w:val="00D60D84"/>
    <w:rsid w:val="00D60DC1"/>
    <w:rsid w:val="00D60E39"/>
    <w:rsid w:val="00D60E71"/>
    <w:rsid w:val="00D61072"/>
    <w:rsid w:val="00D610F0"/>
    <w:rsid w:val="00D61319"/>
    <w:rsid w:val="00D613E3"/>
    <w:rsid w:val="00D61446"/>
    <w:rsid w:val="00D61A5A"/>
    <w:rsid w:val="00D61BC6"/>
    <w:rsid w:val="00D62050"/>
    <w:rsid w:val="00D6226A"/>
    <w:rsid w:val="00D6241E"/>
    <w:rsid w:val="00D62468"/>
    <w:rsid w:val="00D62A12"/>
    <w:rsid w:val="00D6343A"/>
    <w:rsid w:val="00D6344E"/>
    <w:rsid w:val="00D638DC"/>
    <w:rsid w:val="00D63D51"/>
    <w:rsid w:val="00D63E0D"/>
    <w:rsid w:val="00D64272"/>
    <w:rsid w:val="00D64359"/>
    <w:rsid w:val="00D643BF"/>
    <w:rsid w:val="00D64900"/>
    <w:rsid w:val="00D64993"/>
    <w:rsid w:val="00D64D1A"/>
    <w:rsid w:val="00D64FF5"/>
    <w:rsid w:val="00D6556B"/>
    <w:rsid w:val="00D6558A"/>
    <w:rsid w:val="00D65625"/>
    <w:rsid w:val="00D65855"/>
    <w:rsid w:val="00D65AA0"/>
    <w:rsid w:val="00D65C59"/>
    <w:rsid w:val="00D65DB6"/>
    <w:rsid w:val="00D66217"/>
    <w:rsid w:val="00D6640D"/>
    <w:rsid w:val="00D6645E"/>
    <w:rsid w:val="00D66551"/>
    <w:rsid w:val="00D665AA"/>
    <w:rsid w:val="00D66806"/>
    <w:rsid w:val="00D66AD9"/>
    <w:rsid w:val="00D66E7E"/>
    <w:rsid w:val="00D66FEA"/>
    <w:rsid w:val="00D67599"/>
    <w:rsid w:val="00D67B9E"/>
    <w:rsid w:val="00D67F22"/>
    <w:rsid w:val="00D7041F"/>
    <w:rsid w:val="00D70649"/>
    <w:rsid w:val="00D70926"/>
    <w:rsid w:val="00D70D74"/>
    <w:rsid w:val="00D70DF7"/>
    <w:rsid w:val="00D70E16"/>
    <w:rsid w:val="00D70F94"/>
    <w:rsid w:val="00D71394"/>
    <w:rsid w:val="00D714E3"/>
    <w:rsid w:val="00D716F8"/>
    <w:rsid w:val="00D71CD0"/>
    <w:rsid w:val="00D72228"/>
    <w:rsid w:val="00D72E1F"/>
    <w:rsid w:val="00D72F1A"/>
    <w:rsid w:val="00D73628"/>
    <w:rsid w:val="00D73684"/>
    <w:rsid w:val="00D73798"/>
    <w:rsid w:val="00D73AB3"/>
    <w:rsid w:val="00D73B79"/>
    <w:rsid w:val="00D73DAE"/>
    <w:rsid w:val="00D74183"/>
    <w:rsid w:val="00D74442"/>
    <w:rsid w:val="00D749A1"/>
    <w:rsid w:val="00D74DFF"/>
    <w:rsid w:val="00D750BC"/>
    <w:rsid w:val="00D751C4"/>
    <w:rsid w:val="00D754BD"/>
    <w:rsid w:val="00D756AF"/>
    <w:rsid w:val="00D75962"/>
    <w:rsid w:val="00D75995"/>
    <w:rsid w:val="00D75D92"/>
    <w:rsid w:val="00D765B6"/>
    <w:rsid w:val="00D7666A"/>
    <w:rsid w:val="00D76839"/>
    <w:rsid w:val="00D768C3"/>
    <w:rsid w:val="00D77048"/>
    <w:rsid w:val="00D7732F"/>
    <w:rsid w:val="00D80A25"/>
    <w:rsid w:val="00D80B8E"/>
    <w:rsid w:val="00D8129F"/>
    <w:rsid w:val="00D81708"/>
    <w:rsid w:val="00D8184F"/>
    <w:rsid w:val="00D81C30"/>
    <w:rsid w:val="00D81EEB"/>
    <w:rsid w:val="00D820EB"/>
    <w:rsid w:val="00D82697"/>
    <w:rsid w:val="00D8271A"/>
    <w:rsid w:val="00D82969"/>
    <w:rsid w:val="00D8317E"/>
    <w:rsid w:val="00D839B1"/>
    <w:rsid w:val="00D83F35"/>
    <w:rsid w:val="00D83FB7"/>
    <w:rsid w:val="00D840B8"/>
    <w:rsid w:val="00D8431C"/>
    <w:rsid w:val="00D84749"/>
    <w:rsid w:val="00D849C3"/>
    <w:rsid w:val="00D84B07"/>
    <w:rsid w:val="00D85068"/>
    <w:rsid w:val="00D85270"/>
    <w:rsid w:val="00D85466"/>
    <w:rsid w:val="00D8559B"/>
    <w:rsid w:val="00D856CA"/>
    <w:rsid w:val="00D856FC"/>
    <w:rsid w:val="00D857A4"/>
    <w:rsid w:val="00D85A3F"/>
    <w:rsid w:val="00D85A8A"/>
    <w:rsid w:val="00D85F36"/>
    <w:rsid w:val="00D85F97"/>
    <w:rsid w:val="00D863A6"/>
    <w:rsid w:val="00D8655C"/>
    <w:rsid w:val="00D86591"/>
    <w:rsid w:val="00D86A75"/>
    <w:rsid w:val="00D86C7F"/>
    <w:rsid w:val="00D86E5D"/>
    <w:rsid w:val="00D87054"/>
    <w:rsid w:val="00D87347"/>
    <w:rsid w:val="00D87639"/>
    <w:rsid w:val="00D87650"/>
    <w:rsid w:val="00D8795E"/>
    <w:rsid w:val="00D87C87"/>
    <w:rsid w:val="00D87F4E"/>
    <w:rsid w:val="00D900EB"/>
    <w:rsid w:val="00D902E2"/>
    <w:rsid w:val="00D9062E"/>
    <w:rsid w:val="00D90855"/>
    <w:rsid w:val="00D90A8E"/>
    <w:rsid w:val="00D90B32"/>
    <w:rsid w:val="00D90D6A"/>
    <w:rsid w:val="00D90DF7"/>
    <w:rsid w:val="00D90EBF"/>
    <w:rsid w:val="00D90EDE"/>
    <w:rsid w:val="00D90F9B"/>
    <w:rsid w:val="00D9146B"/>
    <w:rsid w:val="00D916B6"/>
    <w:rsid w:val="00D91D72"/>
    <w:rsid w:val="00D92071"/>
    <w:rsid w:val="00D92156"/>
    <w:rsid w:val="00D921DF"/>
    <w:rsid w:val="00D923FE"/>
    <w:rsid w:val="00D92770"/>
    <w:rsid w:val="00D927AA"/>
    <w:rsid w:val="00D92BD7"/>
    <w:rsid w:val="00D92CBB"/>
    <w:rsid w:val="00D92E24"/>
    <w:rsid w:val="00D931FD"/>
    <w:rsid w:val="00D9342B"/>
    <w:rsid w:val="00D93679"/>
    <w:rsid w:val="00D93943"/>
    <w:rsid w:val="00D93E72"/>
    <w:rsid w:val="00D93FDA"/>
    <w:rsid w:val="00D9479E"/>
    <w:rsid w:val="00D9506A"/>
    <w:rsid w:val="00D950C6"/>
    <w:rsid w:val="00D95652"/>
    <w:rsid w:val="00D95CA4"/>
    <w:rsid w:val="00D95DBA"/>
    <w:rsid w:val="00D95DC0"/>
    <w:rsid w:val="00D96405"/>
    <w:rsid w:val="00D9645F"/>
    <w:rsid w:val="00D9653D"/>
    <w:rsid w:val="00D96575"/>
    <w:rsid w:val="00D96746"/>
    <w:rsid w:val="00D968F3"/>
    <w:rsid w:val="00D97078"/>
    <w:rsid w:val="00D9707D"/>
    <w:rsid w:val="00D97672"/>
    <w:rsid w:val="00D977AC"/>
    <w:rsid w:val="00D97AD5"/>
    <w:rsid w:val="00D97D35"/>
    <w:rsid w:val="00D97F95"/>
    <w:rsid w:val="00D97FBD"/>
    <w:rsid w:val="00DA0027"/>
    <w:rsid w:val="00DA005E"/>
    <w:rsid w:val="00DA05DE"/>
    <w:rsid w:val="00DA0926"/>
    <w:rsid w:val="00DA097E"/>
    <w:rsid w:val="00DA0EFC"/>
    <w:rsid w:val="00DA111A"/>
    <w:rsid w:val="00DA1217"/>
    <w:rsid w:val="00DA1445"/>
    <w:rsid w:val="00DA164C"/>
    <w:rsid w:val="00DA1693"/>
    <w:rsid w:val="00DA18A9"/>
    <w:rsid w:val="00DA1D6B"/>
    <w:rsid w:val="00DA2214"/>
    <w:rsid w:val="00DA23DD"/>
    <w:rsid w:val="00DA2453"/>
    <w:rsid w:val="00DA2456"/>
    <w:rsid w:val="00DA24FD"/>
    <w:rsid w:val="00DA2752"/>
    <w:rsid w:val="00DA2784"/>
    <w:rsid w:val="00DA28F8"/>
    <w:rsid w:val="00DA296F"/>
    <w:rsid w:val="00DA3288"/>
    <w:rsid w:val="00DA34AB"/>
    <w:rsid w:val="00DA38C4"/>
    <w:rsid w:val="00DA3AA7"/>
    <w:rsid w:val="00DA4439"/>
    <w:rsid w:val="00DA4776"/>
    <w:rsid w:val="00DA4837"/>
    <w:rsid w:val="00DA48F2"/>
    <w:rsid w:val="00DA4A3C"/>
    <w:rsid w:val="00DA4E4C"/>
    <w:rsid w:val="00DA4E7D"/>
    <w:rsid w:val="00DA4F2F"/>
    <w:rsid w:val="00DA4F48"/>
    <w:rsid w:val="00DA5346"/>
    <w:rsid w:val="00DA535F"/>
    <w:rsid w:val="00DA54BE"/>
    <w:rsid w:val="00DA5B4A"/>
    <w:rsid w:val="00DA5DD2"/>
    <w:rsid w:val="00DA6211"/>
    <w:rsid w:val="00DA685E"/>
    <w:rsid w:val="00DA6964"/>
    <w:rsid w:val="00DA6A91"/>
    <w:rsid w:val="00DA6BD0"/>
    <w:rsid w:val="00DA6E42"/>
    <w:rsid w:val="00DA7791"/>
    <w:rsid w:val="00DA7B70"/>
    <w:rsid w:val="00DA7BDC"/>
    <w:rsid w:val="00DB0088"/>
    <w:rsid w:val="00DB042D"/>
    <w:rsid w:val="00DB0A9A"/>
    <w:rsid w:val="00DB0C3A"/>
    <w:rsid w:val="00DB10B9"/>
    <w:rsid w:val="00DB10EF"/>
    <w:rsid w:val="00DB1458"/>
    <w:rsid w:val="00DB16C5"/>
    <w:rsid w:val="00DB179C"/>
    <w:rsid w:val="00DB1884"/>
    <w:rsid w:val="00DB1953"/>
    <w:rsid w:val="00DB1B0C"/>
    <w:rsid w:val="00DB1C60"/>
    <w:rsid w:val="00DB1E6D"/>
    <w:rsid w:val="00DB22AF"/>
    <w:rsid w:val="00DB23FD"/>
    <w:rsid w:val="00DB28F8"/>
    <w:rsid w:val="00DB2CB0"/>
    <w:rsid w:val="00DB2CB5"/>
    <w:rsid w:val="00DB320F"/>
    <w:rsid w:val="00DB3468"/>
    <w:rsid w:val="00DB34C6"/>
    <w:rsid w:val="00DB36B7"/>
    <w:rsid w:val="00DB38AD"/>
    <w:rsid w:val="00DB39A3"/>
    <w:rsid w:val="00DB3AC5"/>
    <w:rsid w:val="00DB3C8F"/>
    <w:rsid w:val="00DB472C"/>
    <w:rsid w:val="00DB4EB9"/>
    <w:rsid w:val="00DB5229"/>
    <w:rsid w:val="00DB523B"/>
    <w:rsid w:val="00DB5520"/>
    <w:rsid w:val="00DB583B"/>
    <w:rsid w:val="00DB593D"/>
    <w:rsid w:val="00DB5C3B"/>
    <w:rsid w:val="00DB5D59"/>
    <w:rsid w:val="00DB64B0"/>
    <w:rsid w:val="00DB64EF"/>
    <w:rsid w:val="00DB65A6"/>
    <w:rsid w:val="00DB670C"/>
    <w:rsid w:val="00DB6777"/>
    <w:rsid w:val="00DB694F"/>
    <w:rsid w:val="00DB6DB0"/>
    <w:rsid w:val="00DB71DA"/>
    <w:rsid w:val="00DB78D0"/>
    <w:rsid w:val="00DB7D31"/>
    <w:rsid w:val="00DC0331"/>
    <w:rsid w:val="00DC04F9"/>
    <w:rsid w:val="00DC08C7"/>
    <w:rsid w:val="00DC0989"/>
    <w:rsid w:val="00DC1191"/>
    <w:rsid w:val="00DC1307"/>
    <w:rsid w:val="00DC13C6"/>
    <w:rsid w:val="00DC1432"/>
    <w:rsid w:val="00DC167C"/>
    <w:rsid w:val="00DC169F"/>
    <w:rsid w:val="00DC176C"/>
    <w:rsid w:val="00DC1986"/>
    <w:rsid w:val="00DC1AF1"/>
    <w:rsid w:val="00DC1B60"/>
    <w:rsid w:val="00DC20F2"/>
    <w:rsid w:val="00DC2277"/>
    <w:rsid w:val="00DC237D"/>
    <w:rsid w:val="00DC256A"/>
    <w:rsid w:val="00DC25D9"/>
    <w:rsid w:val="00DC2753"/>
    <w:rsid w:val="00DC2AEE"/>
    <w:rsid w:val="00DC30BE"/>
    <w:rsid w:val="00DC3A0C"/>
    <w:rsid w:val="00DC3AD8"/>
    <w:rsid w:val="00DC3AE6"/>
    <w:rsid w:val="00DC41DE"/>
    <w:rsid w:val="00DC443D"/>
    <w:rsid w:val="00DC45A9"/>
    <w:rsid w:val="00DC4B31"/>
    <w:rsid w:val="00DC4E12"/>
    <w:rsid w:val="00DC5367"/>
    <w:rsid w:val="00DC575E"/>
    <w:rsid w:val="00DC588B"/>
    <w:rsid w:val="00DC5C0E"/>
    <w:rsid w:val="00DC5C94"/>
    <w:rsid w:val="00DC5EBE"/>
    <w:rsid w:val="00DC5F62"/>
    <w:rsid w:val="00DC5FF9"/>
    <w:rsid w:val="00DC61BA"/>
    <w:rsid w:val="00DC61D6"/>
    <w:rsid w:val="00DC6493"/>
    <w:rsid w:val="00DC6610"/>
    <w:rsid w:val="00DC6782"/>
    <w:rsid w:val="00DC6C62"/>
    <w:rsid w:val="00DC6CB6"/>
    <w:rsid w:val="00DC6E3E"/>
    <w:rsid w:val="00DC7232"/>
    <w:rsid w:val="00DC7259"/>
    <w:rsid w:val="00DC7494"/>
    <w:rsid w:val="00DC74AE"/>
    <w:rsid w:val="00DC75D9"/>
    <w:rsid w:val="00DC7651"/>
    <w:rsid w:val="00DC7832"/>
    <w:rsid w:val="00DC7A48"/>
    <w:rsid w:val="00DC7CD0"/>
    <w:rsid w:val="00DC7FBD"/>
    <w:rsid w:val="00DD0089"/>
    <w:rsid w:val="00DD03EE"/>
    <w:rsid w:val="00DD0510"/>
    <w:rsid w:val="00DD0653"/>
    <w:rsid w:val="00DD06A6"/>
    <w:rsid w:val="00DD09BD"/>
    <w:rsid w:val="00DD09FF"/>
    <w:rsid w:val="00DD0D38"/>
    <w:rsid w:val="00DD11E3"/>
    <w:rsid w:val="00DD1231"/>
    <w:rsid w:val="00DD1599"/>
    <w:rsid w:val="00DD1AF9"/>
    <w:rsid w:val="00DD1CD7"/>
    <w:rsid w:val="00DD220C"/>
    <w:rsid w:val="00DD246F"/>
    <w:rsid w:val="00DD25F4"/>
    <w:rsid w:val="00DD26C6"/>
    <w:rsid w:val="00DD278D"/>
    <w:rsid w:val="00DD2839"/>
    <w:rsid w:val="00DD2A2A"/>
    <w:rsid w:val="00DD2C36"/>
    <w:rsid w:val="00DD343D"/>
    <w:rsid w:val="00DD3742"/>
    <w:rsid w:val="00DD3753"/>
    <w:rsid w:val="00DD4047"/>
    <w:rsid w:val="00DD4635"/>
    <w:rsid w:val="00DD46F1"/>
    <w:rsid w:val="00DD46FD"/>
    <w:rsid w:val="00DD47F7"/>
    <w:rsid w:val="00DD4A6E"/>
    <w:rsid w:val="00DD4D70"/>
    <w:rsid w:val="00DD5035"/>
    <w:rsid w:val="00DD503B"/>
    <w:rsid w:val="00DD50B8"/>
    <w:rsid w:val="00DD51FE"/>
    <w:rsid w:val="00DD58AF"/>
    <w:rsid w:val="00DD598C"/>
    <w:rsid w:val="00DD5C28"/>
    <w:rsid w:val="00DD5CEC"/>
    <w:rsid w:val="00DD5D43"/>
    <w:rsid w:val="00DD5E1D"/>
    <w:rsid w:val="00DD64E3"/>
    <w:rsid w:val="00DD6D35"/>
    <w:rsid w:val="00DD6F51"/>
    <w:rsid w:val="00DD75EC"/>
    <w:rsid w:val="00DD76B4"/>
    <w:rsid w:val="00DD7AF6"/>
    <w:rsid w:val="00DD7B23"/>
    <w:rsid w:val="00DD7E1A"/>
    <w:rsid w:val="00DE0046"/>
    <w:rsid w:val="00DE0164"/>
    <w:rsid w:val="00DE020D"/>
    <w:rsid w:val="00DE03C3"/>
    <w:rsid w:val="00DE04E3"/>
    <w:rsid w:val="00DE092E"/>
    <w:rsid w:val="00DE0F5C"/>
    <w:rsid w:val="00DE1344"/>
    <w:rsid w:val="00DE1559"/>
    <w:rsid w:val="00DE1964"/>
    <w:rsid w:val="00DE1FFA"/>
    <w:rsid w:val="00DE219A"/>
    <w:rsid w:val="00DE2818"/>
    <w:rsid w:val="00DE328A"/>
    <w:rsid w:val="00DE39B6"/>
    <w:rsid w:val="00DE3FE0"/>
    <w:rsid w:val="00DE3FED"/>
    <w:rsid w:val="00DE412C"/>
    <w:rsid w:val="00DE4171"/>
    <w:rsid w:val="00DE4ADB"/>
    <w:rsid w:val="00DE4BC2"/>
    <w:rsid w:val="00DE4C69"/>
    <w:rsid w:val="00DE4D97"/>
    <w:rsid w:val="00DE52AC"/>
    <w:rsid w:val="00DE5418"/>
    <w:rsid w:val="00DE54FC"/>
    <w:rsid w:val="00DE57E1"/>
    <w:rsid w:val="00DE5927"/>
    <w:rsid w:val="00DE597D"/>
    <w:rsid w:val="00DE5980"/>
    <w:rsid w:val="00DE5A9C"/>
    <w:rsid w:val="00DE5CEF"/>
    <w:rsid w:val="00DE6377"/>
    <w:rsid w:val="00DE7660"/>
    <w:rsid w:val="00DE783F"/>
    <w:rsid w:val="00DE789B"/>
    <w:rsid w:val="00DE78FE"/>
    <w:rsid w:val="00DE7913"/>
    <w:rsid w:val="00DE7B01"/>
    <w:rsid w:val="00DE7BE0"/>
    <w:rsid w:val="00DE7DEF"/>
    <w:rsid w:val="00DE7FF5"/>
    <w:rsid w:val="00DF0A2C"/>
    <w:rsid w:val="00DF0AEE"/>
    <w:rsid w:val="00DF1472"/>
    <w:rsid w:val="00DF1482"/>
    <w:rsid w:val="00DF164E"/>
    <w:rsid w:val="00DF1668"/>
    <w:rsid w:val="00DF182B"/>
    <w:rsid w:val="00DF1999"/>
    <w:rsid w:val="00DF1A80"/>
    <w:rsid w:val="00DF1AA3"/>
    <w:rsid w:val="00DF1CBC"/>
    <w:rsid w:val="00DF1F5C"/>
    <w:rsid w:val="00DF23AC"/>
    <w:rsid w:val="00DF260B"/>
    <w:rsid w:val="00DF270A"/>
    <w:rsid w:val="00DF2A6C"/>
    <w:rsid w:val="00DF2CFD"/>
    <w:rsid w:val="00DF2F95"/>
    <w:rsid w:val="00DF37B0"/>
    <w:rsid w:val="00DF3FDD"/>
    <w:rsid w:val="00DF404E"/>
    <w:rsid w:val="00DF4317"/>
    <w:rsid w:val="00DF4374"/>
    <w:rsid w:val="00DF4914"/>
    <w:rsid w:val="00DF4C56"/>
    <w:rsid w:val="00DF4E49"/>
    <w:rsid w:val="00DF545E"/>
    <w:rsid w:val="00DF579C"/>
    <w:rsid w:val="00DF6093"/>
    <w:rsid w:val="00DF6D59"/>
    <w:rsid w:val="00DF6DA6"/>
    <w:rsid w:val="00DF6E37"/>
    <w:rsid w:val="00DF6F65"/>
    <w:rsid w:val="00DF720F"/>
    <w:rsid w:val="00DF7210"/>
    <w:rsid w:val="00DF7ADC"/>
    <w:rsid w:val="00DF7F45"/>
    <w:rsid w:val="00E002DA"/>
    <w:rsid w:val="00E00448"/>
    <w:rsid w:val="00E00501"/>
    <w:rsid w:val="00E008BB"/>
    <w:rsid w:val="00E0106C"/>
    <w:rsid w:val="00E01206"/>
    <w:rsid w:val="00E01493"/>
    <w:rsid w:val="00E01964"/>
    <w:rsid w:val="00E01B4C"/>
    <w:rsid w:val="00E01DC1"/>
    <w:rsid w:val="00E02238"/>
    <w:rsid w:val="00E022A2"/>
    <w:rsid w:val="00E02374"/>
    <w:rsid w:val="00E02695"/>
    <w:rsid w:val="00E026D2"/>
    <w:rsid w:val="00E02AC4"/>
    <w:rsid w:val="00E02BA5"/>
    <w:rsid w:val="00E03038"/>
    <w:rsid w:val="00E03052"/>
    <w:rsid w:val="00E03441"/>
    <w:rsid w:val="00E03703"/>
    <w:rsid w:val="00E03704"/>
    <w:rsid w:val="00E038A6"/>
    <w:rsid w:val="00E0390C"/>
    <w:rsid w:val="00E03D4E"/>
    <w:rsid w:val="00E03E14"/>
    <w:rsid w:val="00E03E4E"/>
    <w:rsid w:val="00E03F2B"/>
    <w:rsid w:val="00E04052"/>
    <w:rsid w:val="00E04655"/>
    <w:rsid w:val="00E04BE2"/>
    <w:rsid w:val="00E04BF9"/>
    <w:rsid w:val="00E04EF5"/>
    <w:rsid w:val="00E05012"/>
    <w:rsid w:val="00E05050"/>
    <w:rsid w:val="00E050DB"/>
    <w:rsid w:val="00E050F8"/>
    <w:rsid w:val="00E0534E"/>
    <w:rsid w:val="00E053DD"/>
    <w:rsid w:val="00E05494"/>
    <w:rsid w:val="00E056DE"/>
    <w:rsid w:val="00E057FC"/>
    <w:rsid w:val="00E05995"/>
    <w:rsid w:val="00E05EEA"/>
    <w:rsid w:val="00E05EFD"/>
    <w:rsid w:val="00E06190"/>
    <w:rsid w:val="00E0632E"/>
    <w:rsid w:val="00E06685"/>
    <w:rsid w:val="00E06800"/>
    <w:rsid w:val="00E068A8"/>
    <w:rsid w:val="00E06931"/>
    <w:rsid w:val="00E0696A"/>
    <w:rsid w:val="00E06DF6"/>
    <w:rsid w:val="00E06EC0"/>
    <w:rsid w:val="00E06FD9"/>
    <w:rsid w:val="00E0704C"/>
    <w:rsid w:val="00E07051"/>
    <w:rsid w:val="00E0707A"/>
    <w:rsid w:val="00E07374"/>
    <w:rsid w:val="00E07840"/>
    <w:rsid w:val="00E07FFC"/>
    <w:rsid w:val="00E10508"/>
    <w:rsid w:val="00E108E5"/>
    <w:rsid w:val="00E11198"/>
    <w:rsid w:val="00E114DD"/>
    <w:rsid w:val="00E11B3B"/>
    <w:rsid w:val="00E11FBB"/>
    <w:rsid w:val="00E12271"/>
    <w:rsid w:val="00E125D6"/>
    <w:rsid w:val="00E126DB"/>
    <w:rsid w:val="00E12A65"/>
    <w:rsid w:val="00E12CA2"/>
    <w:rsid w:val="00E12CFD"/>
    <w:rsid w:val="00E139C4"/>
    <w:rsid w:val="00E13A73"/>
    <w:rsid w:val="00E13ACC"/>
    <w:rsid w:val="00E13CE9"/>
    <w:rsid w:val="00E13E9A"/>
    <w:rsid w:val="00E13F0F"/>
    <w:rsid w:val="00E142DA"/>
    <w:rsid w:val="00E143BF"/>
    <w:rsid w:val="00E14867"/>
    <w:rsid w:val="00E148F3"/>
    <w:rsid w:val="00E14B27"/>
    <w:rsid w:val="00E14D8F"/>
    <w:rsid w:val="00E15150"/>
    <w:rsid w:val="00E15C50"/>
    <w:rsid w:val="00E15EC4"/>
    <w:rsid w:val="00E164E6"/>
    <w:rsid w:val="00E16625"/>
    <w:rsid w:val="00E168C9"/>
    <w:rsid w:val="00E16C7F"/>
    <w:rsid w:val="00E17CB6"/>
    <w:rsid w:val="00E17DBD"/>
    <w:rsid w:val="00E202A1"/>
    <w:rsid w:val="00E20608"/>
    <w:rsid w:val="00E20920"/>
    <w:rsid w:val="00E20CE4"/>
    <w:rsid w:val="00E20F5D"/>
    <w:rsid w:val="00E2139B"/>
    <w:rsid w:val="00E214C0"/>
    <w:rsid w:val="00E2172B"/>
    <w:rsid w:val="00E2197C"/>
    <w:rsid w:val="00E21D4A"/>
    <w:rsid w:val="00E21DED"/>
    <w:rsid w:val="00E2209F"/>
    <w:rsid w:val="00E2220F"/>
    <w:rsid w:val="00E224D3"/>
    <w:rsid w:val="00E22744"/>
    <w:rsid w:val="00E22872"/>
    <w:rsid w:val="00E22A5C"/>
    <w:rsid w:val="00E22BDA"/>
    <w:rsid w:val="00E22DFC"/>
    <w:rsid w:val="00E23226"/>
    <w:rsid w:val="00E238B1"/>
    <w:rsid w:val="00E23D41"/>
    <w:rsid w:val="00E23FDD"/>
    <w:rsid w:val="00E2418B"/>
    <w:rsid w:val="00E243B7"/>
    <w:rsid w:val="00E246CB"/>
    <w:rsid w:val="00E24758"/>
    <w:rsid w:val="00E24851"/>
    <w:rsid w:val="00E24D05"/>
    <w:rsid w:val="00E24EDC"/>
    <w:rsid w:val="00E25057"/>
    <w:rsid w:val="00E254E1"/>
    <w:rsid w:val="00E25683"/>
    <w:rsid w:val="00E25747"/>
    <w:rsid w:val="00E25807"/>
    <w:rsid w:val="00E25986"/>
    <w:rsid w:val="00E26086"/>
    <w:rsid w:val="00E264B7"/>
    <w:rsid w:val="00E2669C"/>
    <w:rsid w:val="00E266BD"/>
    <w:rsid w:val="00E266D9"/>
    <w:rsid w:val="00E26D5C"/>
    <w:rsid w:val="00E26E39"/>
    <w:rsid w:val="00E26F2E"/>
    <w:rsid w:val="00E27A11"/>
    <w:rsid w:val="00E27BA4"/>
    <w:rsid w:val="00E27BCB"/>
    <w:rsid w:val="00E27FA4"/>
    <w:rsid w:val="00E300F0"/>
    <w:rsid w:val="00E30180"/>
    <w:rsid w:val="00E30338"/>
    <w:rsid w:val="00E30412"/>
    <w:rsid w:val="00E307D1"/>
    <w:rsid w:val="00E30B53"/>
    <w:rsid w:val="00E30BE7"/>
    <w:rsid w:val="00E30D3C"/>
    <w:rsid w:val="00E31274"/>
    <w:rsid w:val="00E31BDF"/>
    <w:rsid w:val="00E31C3E"/>
    <w:rsid w:val="00E31D63"/>
    <w:rsid w:val="00E322FA"/>
    <w:rsid w:val="00E32312"/>
    <w:rsid w:val="00E3258E"/>
    <w:rsid w:val="00E325D9"/>
    <w:rsid w:val="00E327CF"/>
    <w:rsid w:val="00E32C1F"/>
    <w:rsid w:val="00E3316C"/>
    <w:rsid w:val="00E33283"/>
    <w:rsid w:val="00E33508"/>
    <w:rsid w:val="00E33AA9"/>
    <w:rsid w:val="00E33D69"/>
    <w:rsid w:val="00E33F66"/>
    <w:rsid w:val="00E34019"/>
    <w:rsid w:val="00E34046"/>
    <w:rsid w:val="00E34050"/>
    <w:rsid w:val="00E342EB"/>
    <w:rsid w:val="00E34520"/>
    <w:rsid w:val="00E3469A"/>
    <w:rsid w:val="00E34912"/>
    <w:rsid w:val="00E34CBB"/>
    <w:rsid w:val="00E34D1B"/>
    <w:rsid w:val="00E34F8E"/>
    <w:rsid w:val="00E35113"/>
    <w:rsid w:val="00E3540D"/>
    <w:rsid w:val="00E35435"/>
    <w:rsid w:val="00E354C2"/>
    <w:rsid w:val="00E35909"/>
    <w:rsid w:val="00E35AA8"/>
    <w:rsid w:val="00E35EA7"/>
    <w:rsid w:val="00E3607F"/>
    <w:rsid w:val="00E36223"/>
    <w:rsid w:val="00E37468"/>
    <w:rsid w:val="00E37593"/>
    <w:rsid w:val="00E377C8"/>
    <w:rsid w:val="00E37833"/>
    <w:rsid w:val="00E40007"/>
    <w:rsid w:val="00E40333"/>
    <w:rsid w:val="00E404B5"/>
    <w:rsid w:val="00E410BD"/>
    <w:rsid w:val="00E41152"/>
    <w:rsid w:val="00E412CB"/>
    <w:rsid w:val="00E414EF"/>
    <w:rsid w:val="00E414FA"/>
    <w:rsid w:val="00E414FC"/>
    <w:rsid w:val="00E417BC"/>
    <w:rsid w:val="00E41ACB"/>
    <w:rsid w:val="00E41B45"/>
    <w:rsid w:val="00E41D23"/>
    <w:rsid w:val="00E41EEC"/>
    <w:rsid w:val="00E41FC8"/>
    <w:rsid w:val="00E42324"/>
    <w:rsid w:val="00E4258B"/>
    <w:rsid w:val="00E428D7"/>
    <w:rsid w:val="00E42D5B"/>
    <w:rsid w:val="00E43301"/>
    <w:rsid w:val="00E438B8"/>
    <w:rsid w:val="00E43A59"/>
    <w:rsid w:val="00E43F28"/>
    <w:rsid w:val="00E44239"/>
    <w:rsid w:val="00E443A9"/>
    <w:rsid w:val="00E444AC"/>
    <w:rsid w:val="00E445DD"/>
    <w:rsid w:val="00E446C3"/>
    <w:rsid w:val="00E448D4"/>
    <w:rsid w:val="00E449F4"/>
    <w:rsid w:val="00E44E52"/>
    <w:rsid w:val="00E4585A"/>
    <w:rsid w:val="00E4597E"/>
    <w:rsid w:val="00E460A4"/>
    <w:rsid w:val="00E4617E"/>
    <w:rsid w:val="00E465B9"/>
    <w:rsid w:val="00E46753"/>
    <w:rsid w:val="00E46AFC"/>
    <w:rsid w:val="00E46EAD"/>
    <w:rsid w:val="00E46ECE"/>
    <w:rsid w:val="00E473BB"/>
    <w:rsid w:val="00E474A5"/>
    <w:rsid w:val="00E475AD"/>
    <w:rsid w:val="00E47CB0"/>
    <w:rsid w:val="00E5000D"/>
    <w:rsid w:val="00E50422"/>
    <w:rsid w:val="00E5044B"/>
    <w:rsid w:val="00E505B5"/>
    <w:rsid w:val="00E506EB"/>
    <w:rsid w:val="00E509A8"/>
    <w:rsid w:val="00E50B1E"/>
    <w:rsid w:val="00E517BD"/>
    <w:rsid w:val="00E519F0"/>
    <w:rsid w:val="00E51A08"/>
    <w:rsid w:val="00E51ACE"/>
    <w:rsid w:val="00E51AEE"/>
    <w:rsid w:val="00E51C4D"/>
    <w:rsid w:val="00E51CC5"/>
    <w:rsid w:val="00E51DD2"/>
    <w:rsid w:val="00E52087"/>
    <w:rsid w:val="00E52173"/>
    <w:rsid w:val="00E52447"/>
    <w:rsid w:val="00E5249B"/>
    <w:rsid w:val="00E525C3"/>
    <w:rsid w:val="00E526F6"/>
    <w:rsid w:val="00E528F4"/>
    <w:rsid w:val="00E52D34"/>
    <w:rsid w:val="00E52D72"/>
    <w:rsid w:val="00E52E50"/>
    <w:rsid w:val="00E52F5A"/>
    <w:rsid w:val="00E52FED"/>
    <w:rsid w:val="00E53125"/>
    <w:rsid w:val="00E53396"/>
    <w:rsid w:val="00E53685"/>
    <w:rsid w:val="00E536DC"/>
    <w:rsid w:val="00E53ADB"/>
    <w:rsid w:val="00E53BDC"/>
    <w:rsid w:val="00E53D7C"/>
    <w:rsid w:val="00E53F91"/>
    <w:rsid w:val="00E5403E"/>
    <w:rsid w:val="00E54067"/>
    <w:rsid w:val="00E5416D"/>
    <w:rsid w:val="00E5423E"/>
    <w:rsid w:val="00E54316"/>
    <w:rsid w:val="00E54498"/>
    <w:rsid w:val="00E5459C"/>
    <w:rsid w:val="00E54ED2"/>
    <w:rsid w:val="00E54F23"/>
    <w:rsid w:val="00E5538A"/>
    <w:rsid w:val="00E553AC"/>
    <w:rsid w:val="00E553E7"/>
    <w:rsid w:val="00E555D1"/>
    <w:rsid w:val="00E55889"/>
    <w:rsid w:val="00E55E94"/>
    <w:rsid w:val="00E55FF7"/>
    <w:rsid w:val="00E560F5"/>
    <w:rsid w:val="00E562D2"/>
    <w:rsid w:val="00E56347"/>
    <w:rsid w:val="00E56885"/>
    <w:rsid w:val="00E568F4"/>
    <w:rsid w:val="00E56C5D"/>
    <w:rsid w:val="00E56CA8"/>
    <w:rsid w:val="00E56D36"/>
    <w:rsid w:val="00E57247"/>
    <w:rsid w:val="00E5780D"/>
    <w:rsid w:val="00E57895"/>
    <w:rsid w:val="00E57A14"/>
    <w:rsid w:val="00E57C09"/>
    <w:rsid w:val="00E57F18"/>
    <w:rsid w:val="00E60063"/>
    <w:rsid w:val="00E600B9"/>
    <w:rsid w:val="00E601D4"/>
    <w:rsid w:val="00E603FE"/>
    <w:rsid w:val="00E6063E"/>
    <w:rsid w:val="00E607E3"/>
    <w:rsid w:val="00E60983"/>
    <w:rsid w:val="00E60C0E"/>
    <w:rsid w:val="00E60CA6"/>
    <w:rsid w:val="00E60DA5"/>
    <w:rsid w:val="00E610D5"/>
    <w:rsid w:val="00E6112F"/>
    <w:rsid w:val="00E611D6"/>
    <w:rsid w:val="00E61227"/>
    <w:rsid w:val="00E6199E"/>
    <w:rsid w:val="00E61C35"/>
    <w:rsid w:val="00E61F8D"/>
    <w:rsid w:val="00E62485"/>
    <w:rsid w:val="00E6262A"/>
    <w:rsid w:val="00E629B4"/>
    <w:rsid w:val="00E62A07"/>
    <w:rsid w:val="00E62AE0"/>
    <w:rsid w:val="00E62E95"/>
    <w:rsid w:val="00E630E3"/>
    <w:rsid w:val="00E63172"/>
    <w:rsid w:val="00E63C5E"/>
    <w:rsid w:val="00E63F7B"/>
    <w:rsid w:val="00E64124"/>
    <w:rsid w:val="00E644FB"/>
    <w:rsid w:val="00E64586"/>
    <w:rsid w:val="00E64646"/>
    <w:rsid w:val="00E64959"/>
    <w:rsid w:val="00E6564D"/>
    <w:rsid w:val="00E658DC"/>
    <w:rsid w:val="00E65A01"/>
    <w:rsid w:val="00E65B0D"/>
    <w:rsid w:val="00E65EB6"/>
    <w:rsid w:val="00E65ED4"/>
    <w:rsid w:val="00E6601B"/>
    <w:rsid w:val="00E66179"/>
    <w:rsid w:val="00E66197"/>
    <w:rsid w:val="00E663EF"/>
    <w:rsid w:val="00E66834"/>
    <w:rsid w:val="00E66A1F"/>
    <w:rsid w:val="00E66B09"/>
    <w:rsid w:val="00E66D24"/>
    <w:rsid w:val="00E67973"/>
    <w:rsid w:val="00E70323"/>
    <w:rsid w:val="00E70370"/>
    <w:rsid w:val="00E703B6"/>
    <w:rsid w:val="00E70659"/>
    <w:rsid w:val="00E7068E"/>
    <w:rsid w:val="00E70934"/>
    <w:rsid w:val="00E70B28"/>
    <w:rsid w:val="00E71128"/>
    <w:rsid w:val="00E712DC"/>
    <w:rsid w:val="00E7130F"/>
    <w:rsid w:val="00E7165D"/>
    <w:rsid w:val="00E71685"/>
    <w:rsid w:val="00E71A4B"/>
    <w:rsid w:val="00E71A96"/>
    <w:rsid w:val="00E71B29"/>
    <w:rsid w:val="00E72032"/>
    <w:rsid w:val="00E72E33"/>
    <w:rsid w:val="00E732EF"/>
    <w:rsid w:val="00E7341B"/>
    <w:rsid w:val="00E73BA5"/>
    <w:rsid w:val="00E742B4"/>
    <w:rsid w:val="00E742BF"/>
    <w:rsid w:val="00E74B4A"/>
    <w:rsid w:val="00E74CE6"/>
    <w:rsid w:val="00E74D95"/>
    <w:rsid w:val="00E75A6D"/>
    <w:rsid w:val="00E75AF5"/>
    <w:rsid w:val="00E75C77"/>
    <w:rsid w:val="00E75EFE"/>
    <w:rsid w:val="00E76263"/>
    <w:rsid w:val="00E766E0"/>
    <w:rsid w:val="00E767EF"/>
    <w:rsid w:val="00E76812"/>
    <w:rsid w:val="00E768DE"/>
    <w:rsid w:val="00E773C6"/>
    <w:rsid w:val="00E77522"/>
    <w:rsid w:val="00E775D2"/>
    <w:rsid w:val="00E7760B"/>
    <w:rsid w:val="00E77828"/>
    <w:rsid w:val="00E800B9"/>
    <w:rsid w:val="00E800C5"/>
    <w:rsid w:val="00E802E4"/>
    <w:rsid w:val="00E8035B"/>
    <w:rsid w:val="00E8052A"/>
    <w:rsid w:val="00E80873"/>
    <w:rsid w:val="00E808F2"/>
    <w:rsid w:val="00E80A2C"/>
    <w:rsid w:val="00E80A5C"/>
    <w:rsid w:val="00E80C90"/>
    <w:rsid w:val="00E80E27"/>
    <w:rsid w:val="00E8108A"/>
    <w:rsid w:val="00E812AB"/>
    <w:rsid w:val="00E81510"/>
    <w:rsid w:val="00E818E9"/>
    <w:rsid w:val="00E81CE9"/>
    <w:rsid w:val="00E81EE0"/>
    <w:rsid w:val="00E82584"/>
    <w:rsid w:val="00E82783"/>
    <w:rsid w:val="00E82E91"/>
    <w:rsid w:val="00E831F9"/>
    <w:rsid w:val="00E832EF"/>
    <w:rsid w:val="00E83315"/>
    <w:rsid w:val="00E83350"/>
    <w:rsid w:val="00E83363"/>
    <w:rsid w:val="00E83842"/>
    <w:rsid w:val="00E83938"/>
    <w:rsid w:val="00E839F9"/>
    <w:rsid w:val="00E83CFD"/>
    <w:rsid w:val="00E83E76"/>
    <w:rsid w:val="00E83F0F"/>
    <w:rsid w:val="00E84078"/>
    <w:rsid w:val="00E842AF"/>
    <w:rsid w:val="00E846BA"/>
    <w:rsid w:val="00E84C0D"/>
    <w:rsid w:val="00E84D8A"/>
    <w:rsid w:val="00E84DD6"/>
    <w:rsid w:val="00E84E4F"/>
    <w:rsid w:val="00E85073"/>
    <w:rsid w:val="00E85139"/>
    <w:rsid w:val="00E85339"/>
    <w:rsid w:val="00E853D5"/>
    <w:rsid w:val="00E8540D"/>
    <w:rsid w:val="00E857A4"/>
    <w:rsid w:val="00E859CC"/>
    <w:rsid w:val="00E85B25"/>
    <w:rsid w:val="00E85E41"/>
    <w:rsid w:val="00E86379"/>
    <w:rsid w:val="00E865BE"/>
    <w:rsid w:val="00E86E47"/>
    <w:rsid w:val="00E86EE8"/>
    <w:rsid w:val="00E86F81"/>
    <w:rsid w:val="00E875F7"/>
    <w:rsid w:val="00E877D1"/>
    <w:rsid w:val="00E87AE3"/>
    <w:rsid w:val="00E90193"/>
    <w:rsid w:val="00E9035D"/>
    <w:rsid w:val="00E9038C"/>
    <w:rsid w:val="00E90444"/>
    <w:rsid w:val="00E9053A"/>
    <w:rsid w:val="00E90630"/>
    <w:rsid w:val="00E9067D"/>
    <w:rsid w:val="00E906EE"/>
    <w:rsid w:val="00E9090B"/>
    <w:rsid w:val="00E90AB8"/>
    <w:rsid w:val="00E910ED"/>
    <w:rsid w:val="00E915C3"/>
    <w:rsid w:val="00E915D7"/>
    <w:rsid w:val="00E919D7"/>
    <w:rsid w:val="00E92055"/>
    <w:rsid w:val="00E92148"/>
    <w:rsid w:val="00E9231E"/>
    <w:rsid w:val="00E92714"/>
    <w:rsid w:val="00E92814"/>
    <w:rsid w:val="00E92B37"/>
    <w:rsid w:val="00E92CB6"/>
    <w:rsid w:val="00E9383E"/>
    <w:rsid w:val="00E93C87"/>
    <w:rsid w:val="00E9434D"/>
    <w:rsid w:val="00E9437B"/>
    <w:rsid w:val="00E9438E"/>
    <w:rsid w:val="00E945F7"/>
    <w:rsid w:val="00E94767"/>
    <w:rsid w:val="00E94B17"/>
    <w:rsid w:val="00E94B94"/>
    <w:rsid w:val="00E94C81"/>
    <w:rsid w:val="00E951DB"/>
    <w:rsid w:val="00E951DD"/>
    <w:rsid w:val="00E95B5B"/>
    <w:rsid w:val="00E96318"/>
    <w:rsid w:val="00E96575"/>
    <w:rsid w:val="00E965AE"/>
    <w:rsid w:val="00E966C9"/>
    <w:rsid w:val="00E969AF"/>
    <w:rsid w:val="00E96CB4"/>
    <w:rsid w:val="00E96E12"/>
    <w:rsid w:val="00E96E16"/>
    <w:rsid w:val="00E96E2B"/>
    <w:rsid w:val="00E96EBB"/>
    <w:rsid w:val="00E9706E"/>
    <w:rsid w:val="00E970AC"/>
    <w:rsid w:val="00E972EC"/>
    <w:rsid w:val="00E976EA"/>
    <w:rsid w:val="00E979CA"/>
    <w:rsid w:val="00EA006C"/>
    <w:rsid w:val="00EA030C"/>
    <w:rsid w:val="00EA0513"/>
    <w:rsid w:val="00EA06C4"/>
    <w:rsid w:val="00EA0BB6"/>
    <w:rsid w:val="00EA0C43"/>
    <w:rsid w:val="00EA10F1"/>
    <w:rsid w:val="00EA1277"/>
    <w:rsid w:val="00EA1755"/>
    <w:rsid w:val="00EA17B6"/>
    <w:rsid w:val="00EA196B"/>
    <w:rsid w:val="00EA1978"/>
    <w:rsid w:val="00EA1CD3"/>
    <w:rsid w:val="00EA1E15"/>
    <w:rsid w:val="00EA2363"/>
    <w:rsid w:val="00EA28DE"/>
    <w:rsid w:val="00EA2C09"/>
    <w:rsid w:val="00EA2C99"/>
    <w:rsid w:val="00EA3142"/>
    <w:rsid w:val="00EA32C9"/>
    <w:rsid w:val="00EA3584"/>
    <w:rsid w:val="00EA3AC8"/>
    <w:rsid w:val="00EA3B13"/>
    <w:rsid w:val="00EA3DBA"/>
    <w:rsid w:val="00EA3F4D"/>
    <w:rsid w:val="00EA4600"/>
    <w:rsid w:val="00EA47A8"/>
    <w:rsid w:val="00EA47B0"/>
    <w:rsid w:val="00EA4A78"/>
    <w:rsid w:val="00EA4AFD"/>
    <w:rsid w:val="00EA4B2A"/>
    <w:rsid w:val="00EA50C3"/>
    <w:rsid w:val="00EA52A1"/>
    <w:rsid w:val="00EA5844"/>
    <w:rsid w:val="00EA5D19"/>
    <w:rsid w:val="00EA6012"/>
    <w:rsid w:val="00EA652F"/>
    <w:rsid w:val="00EA66F6"/>
    <w:rsid w:val="00EA6704"/>
    <w:rsid w:val="00EA6B19"/>
    <w:rsid w:val="00EA6FA3"/>
    <w:rsid w:val="00EA6FF9"/>
    <w:rsid w:val="00EA7736"/>
    <w:rsid w:val="00EA7B04"/>
    <w:rsid w:val="00EA7BDE"/>
    <w:rsid w:val="00EA7CB2"/>
    <w:rsid w:val="00EA7F01"/>
    <w:rsid w:val="00EA7F92"/>
    <w:rsid w:val="00EB011A"/>
    <w:rsid w:val="00EB0154"/>
    <w:rsid w:val="00EB07B9"/>
    <w:rsid w:val="00EB0B0B"/>
    <w:rsid w:val="00EB0B4C"/>
    <w:rsid w:val="00EB0BDB"/>
    <w:rsid w:val="00EB0C1B"/>
    <w:rsid w:val="00EB0CAE"/>
    <w:rsid w:val="00EB0DBC"/>
    <w:rsid w:val="00EB0F4A"/>
    <w:rsid w:val="00EB11FD"/>
    <w:rsid w:val="00EB19E3"/>
    <w:rsid w:val="00EB1B0C"/>
    <w:rsid w:val="00EB1BDB"/>
    <w:rsid w:val="00EB1F1E"/>
    <w:rsid w:val="00EB2443"/>
    <w:rsid w:val="00EB2446"/>
    <w:rsid w:val="00EB2CF2"/>
    <w:rsid w:val="00EB2E7B"/>
    <w:rsid w:val="00EB3149"/>
    <w:rsid w:val="00EB32A7"/>
    <w:rsid w:val="00EB3378"/>
    <w:rsid w:val="00EB3749"/>
    <w:rsid w:val="00EB3814"/>
    <w:rsid w:val="00EB3882"/>
    <w:rsid w:val="00EB394F"/>
    <w:rsid w:val="00EB39C9"/>
    <w:rsid w:val="00EB3A86"/>
    <w:rsid w:val="00EB3F68"/>
    <w:rsid w:val="00EB4132"/>
    <w:rsid w:val="00EB4151"/>
    <w:rsid w:val="00EB450C"/>
    <w:rsid w:val="00EB47AC"/>
    <w:rsid w:val="00EB4940"/>
    <w:rsid w:val="00EB4A66"/>
    <w:rsid w:val="00EB4C44"/>
    <w:rsid w:val="00EB4E76"/>
    <w:rsid w:val="00EB5185"/>
    <w:rsid w:val="00EB51E1"/>
    <w:rsid w:val="00EB5751"/>
    <w:rsid w:val="00EB5F52"/>
    <w:rsid w:val="00EB6017"/>
    <w:rsid w:val="00EB6314"/>
    <w:rsid w:val="00EB649D"/>
    <w:rsid w:val="00EB6568"/>
    <w:rsid w:val="00EB66BD"/>
    <w:rsid w:val="00EB6A94"/>
    <w:rsid w:val="00EB6B4B"/>
    <w:rsid w:val="00EB6F2C"/>
    <w:rsid w:val="00EB7098"/>
    <w:rsid w:val="00EB71BD"/>
    <w:rsid w:val="00EB7418"/>
    <w:rsid w:val="00EB767E"/>
    <w:rsid w:val="00EB7747"/>
    <w:rsid w:val="00EB7845"/>
    <w:rsid w:val="00EB786E"/>
    <w:rsid w:val="00EB78F5"/>
    <w:rsid w:val="00EB79FB"/>
    <w:rsid w:val="00EB7AFF"/>
    <w:rsid w:val="00EB7BC2"/>
    <w:rsid w:val="00EB7C7E"/>
    <w:rsid w:val="00EB7CF2"/>
    <w:rsid w:val="00EB7F36"/>
    <w:rsid w:val="00EC01C7"/>
    <w:rsid w:val="00EC0405"/>
    <w:rsid w:val="00EC05BB"/>
    <w:rsid w:val="00EC0738"/>
    <w:rsid w:val="00EC07BB"/>
    <w:rsid w:val="00EC08D0"/>
    <w:rsid w:val="00EC0D5B"/>
    <w:rsid w:val="00EC0D8C"/>
    <w:rsid w:val="00EC1030"/>
    <w:rsid w:val="00EC10C9"/>
    <w:rsid w:val="00EC12E6"/>
    <w:rsid w:val="00EC1376"/>
    <w:rsid w:val="00EC13D1"/>
    <w:rsid w:val="00EC1776"/>
    <w:rsid w:val="00EC1A3A"/>
    <w:rsid w:val="00EC1B2B"/>
    <w:rsid w:val="00EC1BB4"/>
    <w:rsid w:val="00EC1E1E"/>
    <w:rsid w:val="00EC269B"/>
    <w:rsid w:val="00EC26B9"/>
    <w:rsid w:val="00EC2B91"/>
    <w:rsid w:val="00EC2EFE"/>
    <w:rsid w:val="00EC312E"/>
    <w:rsid w:val="00EC3155"/>
    <w:rsid w:val="00EC327C"/>
    <w:rsid w:val="00EC32AA"/>
    <w:rsid w:val="00EC33FC"/>
    <w:rsid w:val="00EC35D6"/>
    <w:rsid w:val="00EC38CE"/>
    <w:rsid w:val="00EC393E"/>
    <w:rsid w:val="00EC3A52"/>
    <w:rsid w:val="00EC3B4D"/>
    <w:rsid w:val="00EC3D01"/>
    <w:rsid w:val="00EC3F0B"/>
    <w:rsid w:val="00EC422B"/>
    <w:rsid w:val="00EC42BD"/>
    <w:rsid w:val="00EC455B"/>
    <w:rsid w:val="00EC4622"/>
    <w:rsid w:val="00EC47FF"/>
    <w:rsid w:val="00EC526E"/>
    <w:rsid w:val="00EC5404"/>
    <w:rsid w:val="00EC5A09"/>
    <w:rsid w:val="00EC662C"/>
    <w:rsid w:val="00EC6FFB"/>
    <w:rsid w:val="00EC7137"/>
    <w:rsid w:val="00EC743D"/>
    <w:rsid w:val="00EC75B3"/>
    <w:rsid w:val="00EC79BF"/>
    <w:rsid w:val="00EC7A50"/>
    <w:rsid w:val="00EC7A58"/>
    <w:rsid w:val="00EC7AB7"/>
    <w:rsid w:val="00EC7F04"/>
    <w:rsid w:val="00ED007D"/>
    <w:rsid w:val="00ED04AA"/>
    <w:rsid w:val="00ED066D"/>
    <w:rsid w:val="00ED06C2"/>
    <w:rsid w:val="00ED0846"/>
    <w:rsid w:val="00ED0905"/>
    <w:rsid w:val="00ED1004"/>
    <w:rsid w:val="00ED10BC"/>
    <w:rsid w:val="00ED1413"/>
    <w:rsid w:val="00ED1419"/>
    <w:rsid w:val="00ED1544"/>
    <w:rsid w:val="00ED1594"/>
    <w:rsid w:val="00ED183E"/>
    <w:rsid w:val="00ED1B5A"/>
    <w:rsid w:val="00ED1F40"/>
    <w:rsid w:val="00ED20FE"/>
    <w:rsid w:val="00ED22A4"/>
    <w:rsid w:val="00ED2347"/>
    <w:rsid w:val="00ED2515"/>
    <w:rsid w:val="00ED251C"/>
    <w:rsid w:val="00ED276E"/>
    <w:rsid w:val="00ED29CF"/>
    <w:rsid w:val="00ED2A70"/>
    <w:rsid w:val="00ED2B41"/>
    <w:rsid w:val="00ED2B4E"/>
    <w:rsid w:val="00ED2D2E"/>
    <w:rsid w:val="00ED2F02"/>
    <w:rsid w:val="00ED33C2"/>
    <w:rsid w:val="00ED341E"/>
    <w:rsid w:val="00ED3B49"/>
    <w:rsid w:val="00ED3EAB"/>
    <w:rsid w:val="00ED406C"/>
    <w:rsid w:val="00ED417E"/>
    <w:rsid w:val="00ED41AA"/>
    <w:rsid w:val="00ED46E4"/>
    <w:rsid w:val="00ED471E"/>
    <w:rsid w:val="00ED4BF3"/>
    <w:rsid w:val="00ED4CDC"/>
    <w:rsid w:val="00ED4D27"/>
    <w:rsid w:val="00ED503A"/>
    <w:rsid w:val="00ED532D"/>
    <w:rsid w:val="00ED5578"/>
    <w:rsid w:val="00ED5678"/>
    <w:rsid w:val="00ED5980"/>
    <w:rsid w:val="00ED5F1F"/>
    <w:rsid w:val="00ED644F"/>
    <w:rsid w:val="00ED6C09"/>
    <w:rsid w:val="00ED6CAB"/>
    <w:rsid w:val="00ED709F"/>
    <w:rsid w:val="00ED7587"/>
    <w:rsid w:val="00ED7C4F"/>
    <w:rsid w:val="00EE04CA"/>
    <w:rsid w:val="00EE06FD"/>
    <w:rsid w:val="00EE091E"/>
    <w:rsid w:val="00EE0BE1"/>
    <w:rsid w:val="00EE0F38"/>
    <w:rsid w:val="00EE1065"/>
    <w:rsid w:val="00EE1213"/>
    <w:rsid w:val="00EE12F9"/>
    <w:rsid w:val="00EE1847"/>
    <w:rsid w:val="00EE1867"/>
    <w:rsid w:val="00EE1915"/>
    <w:rsid w:val="00EE1DF6"/>
    <w:rsid w:val="00EE1FA6"/>
    <w:rsid w:val="00EE22AD"/>
    <w:rsid w:val="00EE2742"/>
    <w:rsid w:val="00EE2863"/>
    <w:rsid w:val="00EE2A2A"/>
    <w:rsid w:val="00EE2ABB"/>
    <w:rsid w:val="00EE2ADB"/>
    <w:rsid w:val="00EE2D4B"/>
    <w:rsid w:val="00EE2FFB"/>
    <w:rsid w:val="00EE34C2"/>
    <w:rsid w:val="00EE386C"/>
    <w:rsid w:val="00EE388F"/>
    <w:rsid w:val="00EE3965"/>
    <w:rsid w:val="00EE3BF5"/>
    <w:rsid w:val="00EE3DA3"/>
    <w:rsid w:val="00EE3DAE"/>
    <w:rsid w:val="00EE3E14"/>
    <w:rsid w:val="00EE4366"/>
    <w:rsid w:val="00EE455F"/>
    <w:rsid w:val="00EE4BF5"/>
    <w:rsid w:val="00EE4E98"/>
    <w:rsid w:val="00EE51AD"/>
    <w:rsid w:val="00EE571D"/>
    <w:rsid w:val="00EE5C4D"/>
    <w:rsid w:val="00EE633F"/>
    <w:rsid w:val="00EE64B4"/>
    <w:rsid w:val="00EE6600"/>
    <w:rsid w:val="00EE6892"/>
    <w:rsid w:val="00EE6D00"/>
    <w:rsid w:val="00EE6D03"/>
    <w:rsid w:val="00EE6DCB"/>
    <w:rsid w:val="00EE705A"/>
    <w:rsid w:val="00EE709E"/>
    <w:rsid w:val="00EE7583"/>
    <w:rsid w:val="00EE75D4"/>
    <w:rsid w:val="00EE7789"/>
    <w:rsid w:val="00EE77E5"/>
    <w:rsid w:val="00EE7882"/>
    <w:rsid w:val="00EE7C2C"/>
    <w:rsid w:val="00EF0742"/>
    <w:rsid w:val="00EF0861"/>
    <w:rsid w:val="00EF08D2"/>
    <w:rsid w:val="00EF0D18"/>
    <w:rsid w:val="00EF146D"/>
    <w:rsid w:val="00EF1B16"/>
    <w:rsid w:val="00EF1C90"/>
    <w:rsid w:val="00EF1FB0"/>
    <w:rsid w:val="00EF1FE4"/>
    <w:rsid w:val="00EF1FEA"/>
    <w:rsid w:val="00EF29DC"/>
    <w:rsid w:val="00EF29F6"/>
    <w:rsid w:val="00EF2A05"/>
    <w:rsid w:val="00EF2A95"/>
    <w:rsid w:val="00EF2C06"/>
    <w:rsid w:val="00EF2D75"/>
    <w:rsid w:val="00EF2D7C"/>
    <w:rsid w:val="00EF2E4B"/>
    <w:rsid w:val="00EF3150"/>
    <w:rsid w:val="00EF32E2"/>
    <w:rsid w:val="00EF3371"/>
    <w:rsid w:val="00EF3683"/>
    <w:rsid w:val="00EF3B9C"/>
    <w:rsid w:val="00EF3C70"/>
    <w:rsid w:val="00EF3CCA"/>
    <w:rsid w:val="00EF3D76"/>
    <w:rsid w:val="00EF3F8A"/>
    <w:rsid w:val="00EF46B7"/>
    <w:rsid w:val="00EF4E3E"/>
    <w:rsid w:val="00EF4E92"/>
    <w:rsid w:val="00EF4F36"/>
    <w:rsid w:val="00EF4F90"/>
    <w:rsid w:val="00EF4FD9"/>
    <w:rsid w:val="00EF572A"/>
    <w:rsid w:val="00EF590E"/>
    <w:rsid w:val="00EF5A63"/>
    <w:rsid w:val="00EF5A7C"/>
    <w:rsid w:val="00EF5C07"/>
    <w:rsid w:val="00EF60BD"/>
    <w:rsid w:val="00EF61E2"/>
    <w:rsid w:val="00EF61EF"/>
    <w:rsid w:val="00EF6727"/>
    <w:rsid w:val="00EF682C"/>
    <w:rsid w:val="00EF68EB"/>
    <w:rsid w:val="00EF6B23"/>
    <w:rsid w:val="00EF6CF3"/>
    <w:rsid w:val="00EF6DB9"/>
    <w:rsid w:val="00EF6E38"/>
    <w:rsid w:val="00EF70BD"/>
    <w:rsid w:val="00EF742F"/>
    <w:rsid w:val="00EF7706"/>
    <w:rsid w:val="00EF7B9B"/>
    <w:rsid w:val="00EF7E8E"/>
    <w:rsid w:val="00F0026F"/>
    <w:rsid w:val="00F00323"/>
    <w:rsid w:val="00F00807"/>
    <w:rsid w:val="00F00C96"/>
    <w:rsid w:val="00F00DFC"/>
    <w:rsid w:val="00F00E47"/>
    <w:rsid w:val="00F00F7C"/>
    <w:rsid w:val="00F010D3"/>
    <w:rsid w:val="00F01270"/>
    <w:rsid w:val="00F012DD"/>
    <w:rsid w:val="00F0178D"/>
    <w:rsid w:val="00F01863"/>
    <w:rsid w:val="00F01DC4"/>
    <w:rsid w:val="00F021E4"/>
    <w:rsid w:val="00F02A7D"/>
    <w:rsid w:val="00F02CEB"/>
    <w:rsid w:val="00F02D45"/>
    <w:rsid w:val="00F02F31"/>
    <w:rsid w:val="00F02F98"/>
    <w:rsid w:val="00F03535"/>
    <w:rsid w:val="00F03888"/>
    <w:rsid w:val="00F038DC"/>
    <w:rsid w:val="00F03954"/>
    <w:rsid w:val="00F03A47"/>
    <w:rsid w:val="00F03DA4"/>
    <w:rsid w:val="00F03DFB"/>
    <w:rsid w:val="00F04683"/>
    <w:rsid w:val="00F04B91"/>
    <w:rsid w:val="00F04E3E"/>
    <w:rsid w:val="00F0556B"/>
    <w:rsid w:val="00F056A5"/>
    <w:rsid w:val="00F058E5"/>
    <w:rsid w:val="00F0593B"/>
    <w:rsid w:val="00F05B84"/>
    <w:rsid w:val="00F05C21"/>
    <w:rsid w:val="00F05D3C"/>
    <w:rsid w:val="00F06212"/>
    <w:rsid w:val="00F064F9"/>
    <w:rsid w:val="00F06523"/>
    <w:rsid w:val="00F06578"/>
    <w:rsid w:val="00F06693"/>
    <w:rsid w:val="00F067E4"/>
    <w:rsid w:val="00F0681D"/>
    <w:rsid w:val="00F06A4C"/>
    <w:rsid w:val="00F06B63"/>
    <w:rsid w:val="00F07166"/>
    <w:rsid w:val="00F072E7"/>
    <w:rsid w:val="00F0766E"/>
    <w:rsid w:val="00F07BFE"/>
    <w:rsid w:val="00F07D49"/>
    <w:rsid w:val="00F103A5"/>
    <w:rsid w:val="00F103BC"/>
    <w:rsid w:val="00F107E6"/>
    <w:rsid w:val="00F10821"/>
    <w:rsid w:val="00F10B1E"/>
    <w:rsid w:val="00F10B88"/>
    <w:rsid w:val="00F11042"/>
    <w:rsid w:val="00F11161"/>
    <w:rsid w:val="00F11DFD"/>
    <w:rsid w:val="00F12131"/>
    <w:rsid w:val="00F12C64"/>
    <w:rsid w:val="00F12EF2"/>
    <w:rsid w:val="00F12F2B"/>
    <w:rsid w:val="00F13804"/>
    <w:rsid w:val="00F13C1E"/>
    <w:rsid w:val="00F13FAB"/>
    <w:rsid w:val="00F140AE"/>
    <w:rsid w:val="00F14112"/>
    <w:rsid w:val="00F14115"/>
    <w:rsid w:val="00F1421F"/>
    <w:rsid w:val="00F1457E"/>
    <w:rsid w:val="00F1468A"/>
    <w:rsid w:val="00F146F7"/>
    <w:rsid w:val="00F1484D"/>
    <w:rsid w:val="00F1492B"/>
    <w:rsid w:val="00F14AF8"/>
    <w:rsid w:val="00F15049"/>
    <w:rsid w:val="00F15226"/>
    <w:rsid w:val="00F1538B"/>
    <w:rsid w:val="00F155F2"/>
    <w:rsid w:val="00F15938"/>
    <w:rsid w:val="00F15B2F"/>
    <w:rsid w:val="00F15F53"/>
    <w:rsid w:val="00F1612C"/>
    <w:rsid w:val="00F1622F"/>
    <w:rsid w:val="00F16838"/>
    <w:rsid w:val="00F169CA"/>
    <w:rsid w:val="00F16C02"/>
    <w:rsid w:val="00F16CB8"/>
    <w:rsid w:val="00F16DCB"/>
    <w:rsid w:val="00F16F08"/>
    <w:rsid w:val="00F16FEC"/>
    <w:rsid w:val="00F1742D"/>
    <w:rsid w:val="00F1762C"/>
    <w:rsid w:val="00F17801"/>
    <w:rsid w:val="00F17909"/>
    <w:rsid w:val="00F20467"/>
    <w:rsid w:val="00F204EA"/>
    <w:rsid w:val="00F20787"/>
    <w:rsid w:val="00F20A45"/>
    <w:rsid w:val="00F20C6D"/>
    <w:rsid w:val="00F21107"/>
    <w:rsid w:val="00F217A3"/>
    <w:rsid w:val="00F21E29"/>
    <w:rsid w:val="00F223C9"/>
    <w:rsid w:val="00F228B2"/>
    <w:rsid w:val="00F229B0"/>
    <w:rsid w:val="00F22A2F"/>
    <w:rsid w:val="00F22D84"/>
    <w:rsid w:val="00F22EA2"/>
    <w:rsid w:val="00F23112"/>
    <w:rsid w:val="00F2325B"/>
    <w:rsid w:val="00F23267"/>
    <w:rsid w:val="00F2347F"/>
    <w:rsid w:val="00F23961"/>
    <w:rsid w:val="00F23FF6"/>
    <w:rsid w:val="00F247A4"/>
    <w:rsid w:val="00F2497C"/>
    <w:rsid w:val="00F24DD0"/>
    <w:rsid w:val="00F24DFC"/>
    <w:rsid w:val="00F24E0E"/>
    <w:rsid w:val="00F2510B"/>
    <w:rsid w:val="00F251F0"/>
    <w:rsid w:val="00F25652"/>
    <w:rsid w:val="00F256AA"/>
    <w:rsid w:val="00F258ED"/>
    <w:rsid w:val="00F258EF"/>
    <w:rsid w:val="00F259A4"/>
    <w:rsid w:val="00F25E2D"/>
    <w:rsid w:val="00F25F2C"/>
    <w:rsid w:val="00F26402"/>
    <w:rsid w:val="00F265D6"/>
    <w:rsid w:val="00F2677E"/>
    <w:rsid w:val="00F2683A"/>
    <w:rsid w:val="00F268FA"/>
    <w:rsid w:val="00F26BBB"/>
    <w:rsid w:val="00F26E33"/>
    <w:rsid w:val="00F2705D"/>
    <w:rsid w:val="00F27555"/>
    <w:rsid w:val="00F277E6"/>
    <w:rsid w:val="00F2792E"/>
    <w:rsid w:val="00F27B23"/>
    <w:rsid w:val="00F27C9F"/>
    <w:rsid w:val="00F27D50"/>
    <w:rsid w:val="00F27E7F"/>
    <w:rsid w:val="00F30118"/>
    <w:rsid w:val="00F30140"/>
    <w:rsid w:val="00F301FF"/>
    <w:rsid w:val="00F30397"/>
    <w:rsid w:val="00F3059D"/>
    <w:rsid w:val="00F3086F"/>
    <w:rsid w:val="00F30B68"/>
    <w:rsid w:val="00F30CA1"/>
    <w:rsid w:val="00F30EBC"/>
    <w:rsid w:val="00F30ED6"/>
    <w:rsid w:val="00F30F79"/>
    <w:rsid w:val="00F30FD0"/>
    <w:rsid w:val="00F3105E"/>
    <w:rsid w:val="00F31502"/>
    <w:rsid w:val="00F31B8A"/>
    <w:rsid w:val="00F321F9"/>
    <w:rsid w:val="00F3262D"/>
    <w:rsid w:val="00F329AA"/>
    <w:rsid w:val="00F32F69"/>
    <w:rsid w:val="00F3313A"/>
    <w:rsid w:val="00F3342B"/>
    <w:rsid w:val="00F33457"/>
    <w:rsid w:val="00F335AA"/>
    <w:rsid w:val="00F336DF"/>
    <w:rsid w:val="00F3379F"/>
    <w:rsid w:val="00F339F0"/>
    <w:rsid w:val="00F33BE9"/>
    <w:rsid w:val="00F3440E"/>
    <w:rsid w:val="00F345EB"/>
    <w:rsid w:val="00F34EA0"/>
    <w:rsid w:val="00F352E6"/>
    <w:rsid w:val="00F35A0B"/>
    <w:rsid w:val="00F35DD5"/>
    <w:rsid w:val="00F36294"/>
    <w:rsid w:val="00F36A23"/>
    <w:rsid w:val="00F36B4C"/>
    <w:rsid w:val="00F36BC9"/>
    <w:rsid w:val="00F36DD0"/>
    <w:rsid w:val="00F36F47"/>
    <w:rsid w:val="00F37063"/>
    <w:rsid w:val="00F3706C"/>
    <w:rsid w:val="00F37113"/>
    <w:rsid w:val="00F37151"/>
    <w:rsid w:val="00F372E7"/>
    <w:rsid w:val="00F3751A"/>
    <w:rsid w:val="00F3765D"/>
    <w:rsid w:val="00F37759"/>
    <w:rsid w:val="00F377EA"/>
    <w:rsid w:val="00F377F3"/>
    <w:rsid w:val="00F37A36"/>
    <w:rsid w:val="00F37CED"/>
    <w:rsid w:val="00F37E38"/>
    <w:rsid w:val="00F37FDB"/>
    <w:rsid w:val="00F4003F"/>
    <w:rsid w:val="00F400AB"/>
    <w:rsid w:val="00F40127"/>
    <w:rsid w:val="00F40A66"/>
    <w:rsid w:val="00F40AE9"/>
    <w:rsid w:val="00F40D69"/>
    <w:rsid w:val="00F40D7D"/>
    <w:rsid w:val="00F40F12"/>
    <w:rsid w:val="00F412FE"/>
    <w:rsid w:val="00F41445"/>
    <w:rsid w:val="00F4178C"/>
    <w:rsid w:val="00F41A13"/>
    <w:rsid w:val="00F41BD5"/>
    <w:rsid w:val="00F427E2"/>
    <w:rsid w:val="00F428D6"/>
    <w:rsid w:val="00F42A6B"/>
    <w:rsid w:val="00F42BDB"/>
    <w:rsid w:val="00F42F15"/>
    <w:rsid w:val="00F44006"/>
    <w:rsid w:val="00F44092"/>
    <w:rsid w:val="00F44385"/>
    <w:rsid w:val="00F4446B"/>
    <w:rsid w:val="00F447AF"/>
    <w:rsid w:val="00F449B3"/>
    <w:rsid w:val="00F44B75"/>
    <w:rsid w:val="00F44CF7"/>
    <w:rsid w:val="00F45405"/>
    <w:rsid w:val="00F456C5"/>
    <w:rsid w:val="00F45B46"/>
    <w:rsid w:val="00F45D66"/>
    <w:rsid w:val="00F45F6E"/>
    <w:rsid w:val="00F46579"/>
    <w:rsid w:val="00F46968"/>
    <w:rsid w:val="00F46B61"/>
    <w:rsid w:val="00F46BE3"/>
    <w:rsid w:val="00F46E45"/>
    <w:rsid w:val="00F46F33"/>
    <w:rsid w:val="00F4704C"/>
    <w:rsid w:val="00F471B1"/>
    <w:rsid w:val="00F4731D"/>
    <w:rsid w:val="00F477E8"/>
    <w:rsid w:val="00F47FC9"/>
    <w:rsid w:val="00F500B5"/>
    <w:rsid w:val="00F5014A"/>
    <w:rsid w:val="00F50159"/>
    <w:rsid w:val="00F503C1"/>
    <w:rsid w:val="00F503FF"/>
    <w:rsid w:val="00F50410"/>
    <w:rsid w:val="00F504E9"/>
    <w:rsid w:val="00F5075E"/>
    <w:rsid w:val="00F5095D"/>
    <w:rsid w:val="00F50A5A"/>
    <w:rsid w:val="00F50AD2"/>
    <w:rsid w:val="00F50CBE"/>
    <w:rsid w:val="00F5132E"/>
    <w:rsid w:val="00F51AE7"/>
    <w:rsid w:val="00F51AF3"/>
    <w:rsid w:val="00F51F3C"/>
    <w:rsid w:val="00F51F66"/>
    <w:rsid w:val="00F52460"/>
    <w:rsid w:val="00F527AF"/>
    <w:rsid w:val="00F53004"/>
    <w:rsid w:val="00F53407"/>
    <w:rsid w:val="00F5367B"/>
    <w:rsid w:val="00F53910"/>
    <w:rsid w:val="00F5399F"/>
    <w:rsid w:val="00F5437F"/>
    <w:rsid w:val="00F544E7"/>
    <w:rsid w:val="00F54A32"/>
    <w:rsid w:val="00F54ACB"/>
    <w:rsid w:val="00F54BFB"/>
    <w:rsid w:val="00F54C12"/>
    <w:rsid w:val="00F54C47"/>
    <w:rsid w:val="00F54EF2"/>
    <w:rsid w:val="00F550A3"/>
    <w:rsid w:val="00F55585"/>
    <w:rsid w:val="00F55B01"/>
    <w:rsid w:val="00F55F3C"/>
    <w:rsid w:val="00F55F59"/>
    <w:rsid w:val="00F562E8"/>
    <w:rsid w:val="00F5662A"/>
    <w:rsid w:val="00F566AF"/>
    <w:rsid w:val="00F56F6C"/>
    <w:rsid w:val="00F57216"/>
    <w:rsid w:val="00F57421"/>
    <w:rsid w:val="00F5774E"/>
    <w:rsid w:val="00F57B78"/>
    <w:rsid w:val="00F57BE9"/>
    <w:rsid w:val="00F57F4E"/>
    <w:rsid w:val="00F57F5C"/>
    <w:rsid w:val="00F57F8A"/>
    <w:rsid w:val="00F57FC7"/>
    <w:rsid w:val="00F6011C"/>
    <w:rsid w:val="00F60160"/>
    <w:rsid w:val="00F601E8"/>
    <w:rsid w:val="00F6020A"/>
    <w:rsid w:val="00F60727"/>
    <w:rsid w:val="00F60C82"/>
    <w:rsid w:val="00F60DBA"/>
    <w:rsid w:val="00F60F6F"/>
    <w:rsid w:val="00F6101B"/>
    <w:rsid w:val="00F610D1"/>
    <w:rsid w:val="00F61222"/>
    <w:rsid w:val="00F61358"/>
    <w:rsid w:val="00F617B9"/>
    <w:rsid w:val="00F61A7F"/>
    <w:rsid w:val="00F62470"/>
    <w:rsid w:val="00F625A3"/>
    <w:rsid w:val="00F6268C"/>
    <w:rsid w:val="00F626EC"/>
    <w:rsid w:val="00F6278F"/>
    <w:rsid w:val="00F6287A"/>
    <w:rsid w:val="00F62B2B"/>
    <w:rsid w:val="00F6320D"/>
    <w:rsid w:val="00F63257"/>
    <w:rsid w:val="00F632BC"/>
    <w:rsid w:val="00F63B99"/>
    <w:rsid w:val="00F63D5F"/>
    <w:rsid w:val="00F64054"/>
    <w:rsid w:val="00F64059"/>
    <w:rsid w:val="00F64096"/>
    <w:rsid w:val="00F642BD"/>
    <w:rsid w:val="00F643CF"/>
    <w:rsid w:val="00F64BD6"/>
    <w:rsid w:val="00F64C1F"/>
    <w:rsid w:val="00F65001"/>
    <w:rsid w:val="00F655A7"/>
    <w:rsid w:val="00F657F4"/>
    <w:rsid w:val="00F659A7"/>
    <w:rsid w:val="00F65A4F"/>
    <w:rsid w:val="00F65E6C"/>
    <w:rsid w:val="00F661B0"/>
    <w:rsid w:val="00F66833"/>
    <w:rsid w:val="00F66E62"/>
    <w:rsid w:val="00F67307"/>
    <w:rsid w:val="00F67361"/>
    <w:rsid w:val="00F67397"/>
    <w:rsid w:val="00F6740E"/>
    <w:rsid w:val="00F677D0"/>
    <w:rsid w:val="00F701BF"/>
    <w:rsid w:val="00F702DC"/>
    <w:rsid w:val="00F705E6"/>
    <w:rsid w:val="00F707AD"/>
    <w:rsid w:val="00F708CA"/>
    <w:rsid w:val="00F708DC"/>
    <w:rsid w:val="00F70A2A"/>
    <w:rsid w:val="00F70AE5"/>
    <w:rsid w:val="00F71117"/>
    <w:rsid w:val="00F715B1"/>
    <w:rsid w:val="00F71617"/>
    <w:rsid w:val="00F718B6"/>
    <w:rsid w:val="00F719D4"/>
    <w:rsid w:val="00F71BC4"/>
    <w:rsid w:val="00F71DA1"/>
    <w:rsid w:val="00F71FD4"/>
    <w:rsid w:val="00F72003"/>
    <w:rsid w:val="00F725E9"/>
    <w:rsid w:val="00F72C04"/>
    <w:rsid w:val="00F72C4A"/>
    <w:rsid w:val="00F731BC"/>
    <w:rsid w:val="00F732CA"/>
    <w:rsid w:val="00F736EA"/>
    <w:rsid w:val="00F73AF3"/>
    <w:rsid w:val="00F73B13"/>
    <w:rsid w:val="00F73BC5"/>
    <w:rsid w:val="00F73C6C"/>
    <w:rsid w:val="00F73E0B"/>
    <w:rsid w:val="00F7421E"/>
    <w:rsid w:val="00F74445"/>
    <w:rsid w:val="00F74670"/>
    <w:rsid w:val="00F74905"/>
    <w:rsid w:val="00F74953"/>
    <w:rsid w:val="00F749FF"/>
    <w:rsid w:val="00F74A69"/>
    <w:rsid w:val="00F74EF9"/>
    <w:rsid w:val="00F7525C"/>
    <w:rsid w:val="00F75715"/>
    <w:rsid w:val="00F759F2"/>
    <w:rsid w:val="00F75D85"/>
    <w:rsid w:val="00F76064"/>
    <w:rsid w:val="00F76290"/>
    <w:rsid w:val="00F76354"/>
    <w:rsid w:val="00F76546"/>
    <w:rsid w:val="00F77258"/>
    <w:rsid w:val="00F7750A"/>
    <w:rsid w:val="00F7774C"/>
    <w:rsid w:val="00F77CB9"/>
    <w:rsid w:val="00F77EB0"/>
    <w:rsid w:val="00F77F59"/>
    <w:rsid w:val="00F80139"/>
    <w:rsid w:val="00F80264"/>
    <w:rsid w:val="00F806E7"/>
    <w:rsid w:val="00F80BC1"/>
    <w:rsid w:val="00F80F5B"/>
    <w:rsid w:val="00F811B7"/>
    <w:rsid w:val="00F8175D"/>
    <w:rsid w:val="00F81BE8"/>
    <w:rsid w:val="00F81C89"/>
    <w:rsid w:val="00F81D46"/>
    <w:rsid w:val="00F82031"/>
    <w:rsid w:val="00F821AA"/>
    <w:rsid w:val="00F828A0"/>
    <w:rsid w:val="00F829C3"/>
    <w:rsid w:val="00F82A53"/>
    <w:rsid w:val="00F82C75"/>
    <w:rsid w:val="00F82CEB"/>
    <w:rsid w:val="00F82E7D"/>
    <w:rsid w:val="00F83839"/>
    <w:rsid w:val="00F83C0D"/>
    <w:rsid w:val="00F83D54"/>
    <w:rsid w:val="00F83FE4"/>
    <w:rsid w:val="00F84090"/>
    <w:rsid w:val="00F840B8"/>
    <w:rsid w:val="00F847F4"/>
    <w:rsid w:val="00F8492F"/>
    <w:rsid w:val="00F84960"/>
    <w:rsid w:val="00F8509E"/>
    <w:rsid w:val="00F85191"/>
    <w:rsid w:val="00F851CB"/>
    <w:rsid w:val="00F85947"/>
    <w:rsid w:val="00F85C67"/>
    <w:rsid w:val="00F85FA9"/>
    <w:rsid w:val="00F8603C"/>
    <w:rsid w:val="00F863E9"/>
    <w:rsid w:val="00F865D7"/>
    <w:rsid w:val="00F869B6"/>
    <w:rsid w:val="00F86F43"/>
    <w:rsid w:val="00F86FC1"/>
    <w:rsid w:val="00F86FEE"/>
    <w:rsid w:val="00F86FFD"/>
    <w:rsid w:val="00F8723F"/>
    <w:rsid w:val="00F87C56"/>
    <w:rsid w:val="00F87EF4"/>
    <w:rsid w:val="00F9006F"/>
    <w:rsid w:val="00F900F8"/>
    <w:rsid w:val="00F902D8"/>
    <w:rsid w:val="00F903A4"/>
    <w:rsid w:val="00F9047F"/>
    <w:rsid w:val="00F904A8"/>
    <w:rsid w:val="00F90B3B"/>
    <w:rsid w:val="00F90EA1"/>
    <w:rsid w:val="00F9115E"/>
    <w:rsid w:val="00F91893"/>
    <w:rsid w:val="00F91932"/>
    <w:rsid w:val="00F91AF2"/>
    <w:rsid w:val="00F91C3B"/>
    <w:rsid w:val="00F91E67"/>
    <w:rsid w:val="00F92014"/>
    <w:rsid w:val="00F9206A"/>
    <w:rsid w:val="00F92265"/>
    <w:rsid w:val="00F928C2"/>
    <w:rsid w:val="00F92A9B"/>
    <w:rsid w:val="00F92B92"/>
    <w:rsid w:val="00F92CA1"/>
    <w:rsid w:val="00F92FCC"/>
    <w:rsid w:val="00F9317E"/>
    <w:rsid w:val="00F93243"/>
    <w:rsid w:val="00F93665"/>
    <w:rsid w:val="00F9385E"/>
    <w:rsid w:val="00F939CE"/>
    <w:rsid w:val="00F93DD8"/>
    <w:rsid w:val="00F93FA7"/>
    <w:rsid w:val="00F9411C"/>
    <w:rsid w:val="00F941FF"/>
    <w:rsid w:val="00F943FF"/>
    <w:rsid w:val="00F9454E"/>
    <w:rsid w:val="00F94BC9"/>
    <w:rsid w:val="00F952D8"/>
    <w:rsid w:val="00F9561C"/>
    <w:rsid w:val="00F95911"/>
    <w:rsid w:val="00F95AC3"/>
    <w:rsid w:val="00F95C77"/>
    <w:rsid w:val="00F95C92"/>
    <w:rsid w:val="00F95F4C"/>
    <w:rsid w:val="00F95FCF"/>
    <w:rsid w:val="00F964CA"/>
    <w:rsid w:val="00F96659"/>
    <w:rsid w:val="00F9684B"/>
    <w:rsid w:val="00F96C8F"/>
    <w:rsid w:val="00F96E48"/>
    <w:rsid w:val="00F970F1"/>
    <w:rsid w:val="00F9725E"/>
    <w:rsid w:val="00F97824"/>
    <w:rsid w:val="00F97B37"/>
    <w:rsid w:val="00F97DB6"/>
    <w:rsid w:val="00F97E64"/>
    <w:rsid w:val="00F97F09"/>
    <w:rsid w:val="00FA0213"/>
    <w:rsid w:val="00FA027B"/>
    <w:rsid w:val="00FA0DDF"/>
    <w:rsid w:val="00FA0EE1"/>
    <w:rsid w:val="00FA12AA"/>
    <w:rsid w:val="00FA1473"/>
    <w:rsid w:val="00FA1562"/>
    <w:rsid w:val="00FA18C5"/>
    <w:rsid w:val="00FA1CDC"/>
    <w:rsid w:val="00FA1E33"/>
    <w:rsid w:val="00FA2346"/>
    <w:rsid w:val="00FA268C"/>
    <w:rsid w:val="00FA2D04"/>
    <w:rsid w:val="00FA34AB"/>
    <w:rsid w:val="00FA3C3C"/>
    <w:rsid w:val="00FA3F80"/>
    <w:rsid w:val="00FA47F8"/>
    <w:rsid w:val="00FA4A95"/>
    <w:rsid w:val="00FA4AB6"/>
    <w:rsid w:val="00FA4B11"/>
    <w:rsid w:val="00FA4D7E"/>
    <w:rsid w:val="00FA4DB2"/>
    <w:rsid w:val="00FA5197"/>
    <w:rsid w:val="00FA53EB"/>
    <w:rsid w:val="00FA5B3F"/>
    <w:rsid w:val="00FA5C0A"/>
    <w:rsid w:val="00FA5CD9"/>
    <w:rsid w:val="00FA6030"/>
    <w:rsid w:val="00FA6501"/>
    <w:rsid w:val="00FA659F"/>
    <w:rsid w:val="00FA6707"/>
    <w:rsid w:val="00FA672E"/>
    <w:rsid w:val="00FA682B"/>
    <w:rsid w:val="00FA687B"/>
    <w:rsid w:val="00FA6A61"/>
    <w:rsid w:val="00FA6DEC"/>
    <w:rsid w:val="00FA6EB1"/>
    <w:rsid w:val="00FA6FC0"/>
    <w:rsid w:val="00FA6FCA"/>
    <w:rsid w:val="00FA762B"/>
    <w:rsid w:val="00FA79B1"/>
    <w:rsid w:val="00FA7B40"/>
    <w:rsid w:val="00FA7B65"/>
    <w:rsid w:val="00FA7CCC"/>
    <w:rsid w:val="00FB05D7"/>
    <w:rsid w:val="00FB0686"/>
    <w:rsid w:val="00FB0AF4"/>
    <w:rsid w:val="00FB0DEC"/>
    <w:rsid w:val="00FB103D"/>
    <w:rsid w:val="00FB14F2"/>
    <w:rsid w:val="00FB17D4"/>
    <w:rsid w:val="00FB1CC5"/>
    <w:rsid w:val="00FB1D4B"/>
    <w:rsid w:val="00FB2102"/>
    <w:rsid w:val="00FB2174"/>
    <w:rsid w:val="00FB255D"/>
    <w:rsid w:val="00FB281D"/>
    <w:rsid w:val="00FB2844"/>
    <w:rsid w:val="00FB2C93"/>
    <w:rsid w:val="00FB2F14"/>
    <w:rsid w:val="00FB3182"/>
    <w:rsid w:val="00FB31BF"/>
    <w:rsid w:val="00FB35C1"/>
    <w:rsid w:val="00FB36FD"/>
    <w:rsid w:val="00FB3718"/>
    <w:rsid w:val="00FB38C7"/>
    <w:rsid w:val="00FB3B56"/>
    <w:rsid w:val="00FB3B6A"/>
    <w:rsid w:val="00FB3F8D"/>
    <w:rsid w:val="00FB41A9"/>
    <w:rsid w:val="00FB43CC"/>
    <w:rsid w:val="00FB4402"/>
    <w:rsid w:val="00FB44C6"/>
    <w:rsid w:val="00FB4540"/>
    <w:rsid w:val="00FB4CD4"/>
    <w:rsid w:val="00FB4F14"/>
    <w:rsid w:val="00FB537C"/>
    <w:rsid w:val="00FB53CA"/>
    <w:rsid w:val="00FB5480"/>
    <w:rsid w:val="00FB5AB3"/>
    <w:rsid w:val="00FB5AF6"/>
    <w:rsid w:val="00FB5B87"/>
    <w:rsid w:val="00FB5C1A"/>
    <w:rsid w:val="00FB6046"/>
    <w:rsid w:val="00FB6095"/>
    <w:rsid w:val="00FB645F"/>
    <w:rsid w:val="00FB65A5"/>
    <w:rsid w:val="00FB65DC"/>
    <w:rsid w:val="00FB6872"/>
    <w:rsid w:val="00FB6BF3"/>
    <w:rsid w:val="00FB6E4F"/>
    <w:rsid w:val="00FB6E85"/>
    <w:rsid w:val="00FB6FFE"/>
    <w:rsid w:val="00FB70EC"/>
    <w:rsid w:val="00FB7219"/>
    <w:rsid w:val="00FB7237"/>
    <w:rsid w:val="00FB793C"/>
    <w:rsid w:val="00FB7AE6"/>
    <w:rsid w:val="00FB7EAB"/>
    <w:rsid w:val="00FC015A"/>
    <w:rsid w:val="00FC01FB"/>
    <w:rsid w:val="00FC0956"/>
    <w:rsid w:val="00FC0A59"/>
    <w:rsid w:val="00FC11DD"/>
    <w:rsid w:val="00FC1CE6"/>
    <w:rsid w:val="00FC1D73"/>
    <w:rsid w:val="00FC2398"/>
    <w:rsid w:val="00FC245C"/>
    <w:rsid w:val="00FC2550"/>
    <w:rsid w:val="00FC2851"/>
    <w:rsid w:val="00FC2930"/>
    <w:rsid w:val="00FC2D5C"/>
    <w:rsid w:val="00FC2E90"/>
    <w:rsid w:val="00FC32EA"/>
    <w:rsid w:val="00FC3322"/>
    <w:rsid w:val="00FC34D6"/>
    <w:rsid w:val="00FC353E"/>
    <w:rsid w:val="00FC35E7"/>
    <w:rsid w:val="00FC3868"/>
    <w:rsid w:val="00FC3AB7"/>
    <w:rsid w:val="00FC3B03"/>
    <w:rsid w:val="00FC3D74"/>
    <w:rsid w:val="00FC3EEC"/>
    <w:rsid w:val="00FC3FCB"/>
    <w:rsid w:val="00FC4032"/>
    <w:rsid w:val="00FC4072"/>
    <w:rsid w:val="00FC40AA"/>
    <w:rsid w:val="00FC415A"/>
    <w:rsid w:val="00FC41A9"/>
    <w:rsid w:val="00FC4210"/>
    <w:rsid w:val="00FC42CD"/>
    <w:rsid w:val="00FC437E"/>
    <w:rsid w:val="00FC4970"/>
    <w:rsid w:val="00FC4CF6"/>
    <w:rsid w:val="00FC58B0"/>
    <w:rsid w:val="00FC5B53"/>
    <w:rsid w:val="00FC5E54"/>
    <w:rsid w:val="00FC61F0"/>
    <w:rsid w:val="00FC6224"/>
    <w:rsid w:val="00FC65D9"/>
    <w:rsid w:val="00FC6871"/>
    <w:rsid w:val="00FC68DE"/>
    <w:rsid w:val="00FC6BBD"/>
    <w:rsid w:val="00FC6C5D"/>
    <w:rsid w:val="00FC6D6A"/>
    <w:rsid w:val="00FC703B"/>
    <w:rsid w:val="00FC72C9"/>
    <w:rsid w:val="00FC7C28"/>
    <w:rsid w:val="00FC7D6F"/>
    <w:rsid w:val="00FC7DD9"/>
    <w:rsid w:val="00FC7E40"/>
    <w:rsid w:val="00FC7E75"/>
    <w:rsid w:val="00FD0023"/>
    <w:rsid w:val="00FD02C3"/>
    <w:rsid w:val="00FD084D"/>
    <w:rsid w:val="00FD0DB8"/>
    <w:rsid w:val="00FD1021"/>
    <w:rsid w:val="00FD1565"/>
    <w:rsid w:val="00FD159C"/>
    <w:rsid w:val="00FD1735"/>
    <w:rsid w:val="00FD17C1"/>
    <w:rsid w:val="00FD1980"/>
    <w:rsid w:val="00FD19AA"/>
    <w:rsid w:val="00FD1A7F"/>
    <w:rsid w:val="00FD1B88"/>
    <w:rsid w:val="00FD1BDD"/>
    <w:rsid w:val="00FD1C93"/>
    <w:rsid w:val="00FD1EF5"/>
    <w:rsid w:val="00FD1F1D"/>
    <w:rsid w:val="00FD1FEF"/>
    <w:rsid w:val="00FD1FF6"/>
    <w:rsid w:val="00FD2202"/>
    <w:rsid w:val="00FD29E3"/>
    <w:rsid w:val="00FD2AC0"/>
    <w:rsid w:val="00FD2CB3"/>
    <w:rsid w:val="00FD2E83"/>
    <w:rsid w:val="00FD325C"/>
    <w:rsid w:val="00FD3449"/>
    <w:rsid w:val="00FD37E5"/>
    <w:rsid w:val="00FD3C80"/>
    <w:rsid w:val="00FD3FA5"/>
    <w:rsid w:val="00FD4124"/>
    <w:rsid w:val="00FD450A"/>
    <w:rsid w:val="00FD4845"/>
    <w:rsid w:val="00FD49F1"/>
    <w:rsid w:val="00FD4A40"/>
    <w:rsid w:val="00FD4BB9"/>
    <w:rsid w:val="00FD4D1F"/>
    <w:rsid w:val="00FD4D45"/>
    <w:rsid w:val="00FD4D79"/>
    <w:rsid w:val="00FD4EEC"/>
    <w:rsid w:val="00FD4F49"/>
    <w:rsid w:val="00FD4FE2"/>
    <w:rsid w:val="00FD507A"/>
    <w:rsid w:val="00FD531B"/>
    <w:rsid w:val="00FD547D"/>
    <w:rsid w:val="00FD5A9F"/>
    <w:rsid w:val="00FD5B99"/>
    <w:rsid w:val="00FD5F49"/>
    <w:rsid w:val="00FD661F"/>
    <w:rsid w:val="00FD6AF9"/>
    <w:rsid w:val="00FD6E52"/>
    <w:rsid w:val="00FD6EF3"/>
    <w:rsid w:val="00FD76D0"/>
    <w:rsid w:val="00FD77C0"/>
    <w:rsid w:val="00FD7965"/>
    <w:rsid w:val="00FD7AEF"/>
    <w:rsid w:val="00FE03AB"/>
    <w:rsid w:val="00FE047D"/>
    <w:rsid w:val="00FE05A3"/>
    <w:rsid w:val="00FE0678"/>
    <w:rsid w:val="00FE0734"/>
    <w:rsid w:val="00FE0739"/>
    <w:rsid w:val="00FE08C6"/>
    <w:rsid w:val="00FE0943"/>
    <w:rsid w:val="00FE099A"/>
    <w:rsid w:val="00FE0B35"/>
    <w:rsid w:val="00FE0DFE"/>
    <w:rsid w:val="00FE0E16"/>
    <w:rsid w:val="00FE0F4B"/>
    <w:rsid w:val="00FE1085"/>
    <w:rsid w:val="00FE123A"/>
    <w:rsid w:val="00FE12DC"/>
    <w:rsid w:val="00FE1485"/>
    <w:rsid w:val="00FE1487"/>
    <w:rsid w:val="00FE1523"/>
    <w:rsid w:val="00FE17EE"/>
    <w:rsid w:val="00FE1D39"/>
    <w:rsid w:val="00FE1D84"/>
    <w:rsid w:val="00FE1E2F"/>
    <w:rsid w:val="00FE1FBC"/>
    <w:rsid w:val="00FE2637"/>
    <w:rsid w:val="00FE2B6A"/>
    <w:rsid w:val="00FE2C57"/>
    <w:rsid w:val="00FE2E91"/>
    <w:rsid w:val="00FE2F6B"/>
    <w:rsid w:val="00FE306F"/>
    <w:rsid w:val="00FE370A"/>
    <w:rsid w:val="00FE3734"/>
    <w:rsid w:val="00FE37DA"/>
    <w:rsid w:val="00FE3808"/>
    <w:rsid w:val="00FE3938"/>
    <w:rsid w:val="00FE45D2"/>
    <w:rsid w:val="00FE4977"/>
    <w:rsid w:val="00FE4B34"/>
    <w:rsid w:val="00FE4CD3"/>
    <w:rsid w:val="00FE4DDE"/>
    <w:rsid w:val="00FE504C"/>
    <w:rsid w:val="00FE55DB"/>
    <w:rsid w:val="00FE5827"/>
    <w:rsid w:val="00FE5C8A"/>
    <w:rsid w:val="00FE5D73"/>
    <w:rsid w:val="00FE5EB3"/>
    <w:rsid w:val="00FE603B"/>
    <w:rsid w:val="00FE66C0"/>
    <w:rsid w:val="00FE676A"/>
    <w:rsid w:val="00FE677A"/>
    <w:rsid w:val="00FE6A49"/>
    <w:rsid w:val="00FE6C83"/>
    <w:rsid w:val="00FE6F68"/>
    <w:rsid w:val="00FE6FC6"/>
    <w:rsid w:val="00FE778F"/>
    <w:rsid w:val="00FE799F"/>
    <w:rsid w:val="00FE7A01"/>
    <w:rsid w:val="00FE7A08"/>
    <w:rsid w:val="00FF007E"/>
    <w:rsid w:val="00FF038A"/>
    <w:rsid w:val="00FF04EB"/>
    <w:rsid w:val="00FF050B"/>
    <w:rsid w:val="00FF0656"/>
    <w:rsid w:val="00FF0690"/>
    <w:rsid w:val="00FF07C5"/>
    <w:rsid w:val="00FF081E"/>
    <w:rsid w:val="00FF08DC"/>
    <w:rsid w:val="00FF0A24"/>
    <w:rsid w:val="00FF0A45"/>
    <w:rsid w:val="00FF11A3"/>
    <w:rsid w:val="00FF124D"/>
    <w:rsid w:val="00FF12B4"/>
    <w:rsid w:val="00FF13FA"/>
    <w:rsid w:val="00FF1923"/>
    <w:rsid w:val="00FF1EBB"/>
    <w:rsid w:val="00FF1FD4"/>
    <w:rsid w:val="00FF21DE"/>
    <w:rsid w:val="00FF2212"/>
    <w:rsid w:val="00FF2812"/>
    <w:rsid w:val="00FF2AAD"/>
    <w:rsid w:val="00FF2C2C"/>
    <w:rsid w:val="00FF30BF"/>
    <w:rsid w:val="00FF337B"/>
    <w:rsid w:val="00FF38B5"/>
    <w:rsid w:val="00FF3C87"/>
    <w:rsid w:val="00FF3E08"/>
    <w:rsid w:val="00FF404D"/>
    <w:rsid w:val="00FF42F8"/>
    <w:rsid w:val="00FF432B"/>
    <w:rsid w:val="00FF4368"/>
    <w:rsid w:val="00FF4378"/>
    <w:rsid w:val="00FF4BD1"/>
    <w:rsid w:val="00FF4D01"/>
    <w:rsid w:val="00FF58DF"/>
    <w:rsid w:val="00FF5947"/>
    <w:rsid w:val="00FF6143"/>
    <w:rsid w:val="00FF670D"/>
    <w:rsid w:val="00FF6946"/>
    <w:rsid w:val="00FF6AF6"/>
    <w:rsid w:val="00FF6D20"/>
    <w:rsid w:val="00FF6EBD"/>
    <w:rsid w:val="00FF6F81"/>
    <w:rsid w:val="00FF709B"/>
    <w:rsid w:val="00FF718D"/>
    <w:rsid w:val="00FF76B9"/>
    <w:rsid w:val="00FF76D4"/>
    <w:rsid w:val="00FF7C1B"/>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uiPriority="0" w:qFormat="1"/>
    <w:lsdException w:name="heading 6" w:locked="1" w:semiHidden="0" w:unhideWhenUsed="0" w:qFormat="1"/>
    <w:lsdException w:name="heading 7" w:locked="1" w:uiPriority="0" w:qFormat="1"/>
    <w:lsdException w:name="heading 8" w:locked="1" w:uiPriority="0" w:qFormat="1"/>
    <w:lsdException w:name="heading 9" w:locked="1" w:semiHidden="0" w:unhideWhenUsed="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nhideWhenUsed="0"/>
    <w:lsdException w:name="toc 5" w:locked="1" w:semiHidden="0" w:unhideWhenUsed="0"/>
    <w:lsdException w:name="toc 6" w:locked="1" w:semiHidden="0" w:unhideWhenUsed="0"/>
    <w:lsdException w:name="toc 7" w:locked="1" w:semiHidden="0" w:unhideWhenUsed="0"/>
    <w:lsdException w:name="toc 8" w:locked="1" w:semiHidden="0" w:unhideWhenUsed="0"/>
    <w:lsdException w:name="toc 9" w:locked="1" w:semiHidden="0" w:unhideWhenUsed="0"/>
    <w:lsdException w:name="footnote text" w:uiPriority="0"/>
    <w:lsdException w:name="caption" w:locked="1" w:semiHidden="0" w:unhideWhenUsed="0" w:qFormat="1"/>
    <w:lsdException w:name="Title" w:locked="1" w:semiHidden="0" w:unhideWhenUsed="0" w:qFormat="1"/>
    <w:lsdException w:name="Default Paragraph Font" w:locked="1" w:semiHidden="0" w:uiPriority="0" w:unhideWhenUsed="0"/>
    <w:lsdException w:name="Body Text" w:uiPriority="0"/>
    <w:lsdException w:name="Subtitle" w:locked="1" w:semiHidden="0" w:uiPriority="0" w:unhideWhenUsed="0" w:qFormat="1"/>
    <w:lsdException w:name="Body Text 2" w:locked="1" w:semiHidden="0" w:unhideWhenUsed="0"/>
    <w:lsdException w:name="Strong" w:locked="1" w:semiHidden="0" w:unhideWhenUsed="0" w:qFormat="1"/>
    <w:lsdException w:name="Emphasis" w:locked="1" w:semiHidden="0" w:unhideWhenUsed="0" w:qFormat="1"/>
    <w:lsdException w:name="Table Grid" w:locked="1"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7237"/>
    <w:rPr>
      <w:sz w:val="24"/>
      <w:szCs w:val="24"/>
    </w:rPr>
  </w:style>
  <w:style w:type="paragraph" w:styleId="Heading1">
    <w:name w:val="heading 1"/>
    <w:basedOn w:val="Normal"/>
    <w:next w:val="Normal"/>
    <w:link w:val="Heading1Char"/>
    <w:uiPriority w:val="99"/>
    <w:qFormat/>
    <w:rsid w:val="004122D2"/>
    <w:pPr>
      <w:keepNext/>
      <w:jc w:val="center"/>
      <w:outlineLvl w:val="0"/>
    </w:pPr>
    <w:rPr>
      <w:b/>
      <w:bCs/>
      <w:lang w:eastAsia="en-US"/>
    </w:rPr>
  </w:style>
  <w:style w:type="paragraph" w:styleId="Heading2">
    <w:name w:val="heading 2"/>
    <w:basedOn w:val="Normal"/>
    <w:next w:val="Normal"/>
    <w:link w:val="Heading2Char"/>
    <w:uiPriority w:val="99"/>
    <w:qFormat/>
    <w:rsid w:val="009C5217"/>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1"/>
    <w:uiPriority w:val="99"/>
    <w:qFormat/>
    <w:rsid w:val="009C5217"/>
    <w:pPr>
      <w:keepNext/>
      <w:spacing w:before="240" w:after="60"/>
      <w:outlineLvl w:val="2"/>
    </w:pPr>
    <w:rPr>
      <w:rFonts w:ascii="Arial" w:hAnsi="Arial" w:cs="Arial"/>
      <w:b/>
      <w:bCs/>
      <w:sz w:val="26"/>
      <w:szCs w:val="26"/>
      <w:lang w:val="en-AU"/>
    </w:rPr>
  </w:style>
  <w:style w:type="paragraph" w:styleId="Heading4">
    <w:name w:val="heading 4"/>
    <w:basedOn w:val="Normal"/>
    <w:next w:val="Normal"/>
    <w:link w:val="Heading4Char"/>
    <w:uiPriority w:val="99"/>
    <w:qFormat/>
    <w:rsid w:val="009C5217"/>
    <w:pPr>
      <w:keepNext/>
      <w:spacing w:before="240" w:after="60"/>
      <w:outlineLvl w:val="3"/>
    </w:pPr>
    <w:rPr>
      <w:b/>
      <w:bCs/>
      <w:sz w:val="28"/>
      <w:szCs w:val="28"/>
    </w:rPr>
  </w:style>
  <w:style w:type="paragraph" w:styleId="Heading6">
    <w:name w:val="heading 6"/>
    <w:basedOn w:val="Normal"/>
    <w:next w:val="Normal"/>
    <w:link w:val="Heading6Char"/>
    <w:uiPriority w:val="99"/>
    <w:qFormat/>
    <w:rsid w:val="00600F9D"/>
    <w:pPr>
      <w:spacing w:before="240" w:after="60"/>
      <w:outlineLvl w:val="5"/>
    </w:pPr>
    <w:rPr>
      <w:b/>
      <w:bCs/>
      <w:sz w:val="22"/>
      <w:szCs w:val="22"/>
    </w:rPr>
  </w:style>
  <w:style w:type="paragraph" w:styleId="Heading9">
    <w:name w:val="heading 9"/>
    <w:basedOn w:val="Normal"/>
    <w:next w:val="Normal"/>
    <w:link w:val="Heading9Char"/>
    <w:uiPriority w:val="99"/>
    <w:qFormat/>
    <w:rsid w:val="004D0E90"/>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17007"/>
    <w:rPr>
      <w:rFonts w:ascii="Cambria" w:hAnsi="Cambria" w:cs="Times New Roman"/>
      <w:b/>
      <w:bCs/>
      <w:kern w:val="32"/>
      <w:sz w:val="32"/>
      <w:szCs w:val="32"/>
    </w:rPr>
  </w:style>
  <w:style w:type="character" w:customStyle="1" w:styleId="Heading2Char">
    <w:name w:val="Heading 2 Char"/>
    <w:link w:val="Heading2"/>
    <w:uiPriority w:val="99"/>
    <w:locked/>
    <w:rsid w:val="00B17007"/>
    <w:rPr>
      <w:rFonts w:ascii="Cambria" w:hAnsi="Cambria" w:cs="Times New Roman"/>
      <w:b/>
      <w:bCs/>
      <w:i/>
      <w:iCs/>
      <w:sz w:val="28"/>
      <w:szCs w:val="28"/>
    </w:rPr>
  </w:style>
  <w:style w:type="character" w:customStyle="1" w:styleId="Heading3Char">
    <w:name w:val="Heading 3 Char"/>
    <w:uiPriority w:val="99"/>
    <w:locked/>
    <w:rsid w:val="002C3782"/>
    <w:rPr>
      <w:rFonts w:ascii="Arial" w:hAnsi="Arial" w:cs="Arial"/>
      <w:b/>
      <w:bCs/>
      <w:sz w:val="26"/>
      <w:szCs w:val="26"/>
      <w:lang w:val="en-AU" w:eastAsia="bg-BG" w:bidi="ar-SA"/>
    </w:rPr>
  </w:style>
  <w:style w:type="character" w:customStyle="1" w:styleId="Heading4Char">
    <w:name w:val="Heading 4 Char"/>
    <w:link w:val="Heading4"/>
    <w:uiPriority w:val="99"/>
    <w:locked/>
    <w:rsid w:val="00B17007"/>
    <w:rPr>
      <w:rFonts w:ascii="Calibri" w:hAnsi="Calibri" w:cs="Times New Roman"/>
      <w:b/>
      <w:bCs/>
      <w:sz w:val="28"/>
      <w:szCs w:val="28"/>
    </w:rPr>
  </w:style>
  <w:style w:type="character" w:customStyle="1" w:styleId="Heading6Char">
    <w:name w:val="Heading 6 Char"/>
    <w:link w:val="Heading6"/>
    <w:uiPriority w:val="99"/>
    <w:locked/>
    <w:rsid w:val="00B17007"/>
    <w:rPr>
      <w:rFonts w:ascii="Calibri" w:hAnsi="Calibri" w:cs="Times New Roman"/>
      <w:b/>
      <w:bCs/>
    </w:rPr>
  </w:style>
  <w:style w:type="character" w:customStyle="1" w:styleId="Heading9Char">
    <w:name w:val="Heading 9 Char"/>
    <w:link w:val="Heading9"/>
    <w:uiPriority w:val="99"/>
    <w:locked/>
    <w:rsid w:val="00B17007"/>
    <w:rPr>
      <w:rFonts w:ascii="Cambria" w:hAnsi="Cambria" w:cs="Times New Roman"/>
    </w:rPr>
  </w:style>
  <w:style w:type="paragraph" w:styleId="BalloonText">
    <w:name w:val="Balloon Text"/>
    <w:basedOn w:val="Normal"/>
    <w:link w:val="BalloonTextChar"/>
    <w:uiPriority w:val="99"/>
    <w:semiHidden/>
    <w:rsid w:val="00FE5827"/>
    <w:rPr>
      <w:rFonts w:ascii="Tahoma" w:hAnsi="Tahoma" w:cs="Tahoma"/>
      <w:sz w:val="16"/>
      <w:szCs w:val="16"/>
    </w:rPr>
  </w:style>
  <w:style w:type="character" w:customStyle="1" w:styleId="BalloonTextChar">
    <w:name w:val="Balloon Text Char"/>
    <w:link w:val="BalloonText"/>
    <w:uiPriority w:val="99"/>
    <w:semiHidden/>
    <w:locked/>
    <w:rsid w:val="00B17007"/>
    <w:rPr>
      <w:rFonts w:cs="Times New Roman"/>
      <w:sz w:val="2"/>
    </w:rPr>
  </w:style>
  <w:style w:type="character" w:customStyle="1" w:styleId="Heading3Char1">
    <w:name w:val="Heading 3 Char1"/>
    <w:link w:val="Heading3"/>
    <w:uiPriority w:val="99"/>
    <w:locked/>
    <w:rsid w:val="009C5217"/>
    <w:rPr>
      <w:rFonts w:ascii="Arial" w:hAnsi="Arial" w:cs="Arial"/>
      <w:b/>
      <w:bCs/>
      <w:sz w:val="26"/>
      <w:szCs w:val="26"/>
      <w:lang w:val="en-AU" w:eastAsia="bg-BG" w:bidi="ar-SA"/>
    </w:rPr>
  </w:style>
  <w:style w:type="paragraph" w:styleId="FootnoteText">
    <w:name w:val="footnote text"/>
    <w:aliases w:val="Fußnotentext arial,Footnote1,Footnote2,Footnote3,stile 1,Footnote4,Footnote5,Footnote6,Footnote7,Footnote8,Footnote9,Footnote10,Footnote11,Footnote21,Footnote31,Footnote41,Footnote51,Footnote61,Footnote71,Footnote81,Footnote91,single space"/>
    <w:basedOn w:val="Normal"/>
    <w:link w:val="FootnoteTextChar"/>
    <w:rsid w:val="004122D2"/>
    <w:rPr>
      <w:sz w:val="20"/>
      <w:szCs w:val="20"/>
    </w:rPr>
  </w:style>
  <w:style w:type="character" w:customStyle="1" w:styleId="FootnoteTextChar">
    <w:name w:val="Footnote Text Char"/>
    <w:aliases w:val="Fußnotentext arial Char,Footnote1 Char,Footnote2 Char,Footnote3 Char,stile 1 Char,Footnote4 Char,Footnote5 Char,Footnote6 Char,Footnote7 Char,Footnote8 Char,Footnote9 Char,Footnote10 Char,Footnote11 Char,Footnote21 Char"/>
    <w:link w:val="FootnoteText"/>
    <w:uiPriority w:val="99"/>
    <w:locked/>
    <w:rsid w:val="00B17007"/>
    <w:rPr>
      <w:rFonts w:cs="Times New Roman"/>
      <w:sz w:val="20"/>
      <w:szCs w:val="20"/>
    </w:rPr>
  </w:style>
  <w:style w:type="character" w:styleId="FootnoteReference">
    <w:name w:val="footnote reference"/>
    <w:aliases w:val="Footnote,Footnote symbol,SUPERS,BVI fnr,Footnote reference number,Times 10 Point,Exposant 3 Point,Ref,de nota al pie,note TESI,EN Footnote text,EN Footnote Reference,Footnote Reference Number,E FNZ,Appel note de bas de p,Nota,BVI fnr1"/>
    <w:uiPriority w:val="99"/>
    <w:rsid w:val="004122D2"/>
    <w:rPr>
      <w:rFonts w:cs="Times New Roman"/>
      <w:vertAlign w:val="superscript"/>
    </w:rPr>
  </w:style>
  <w:style w:type="paragraph" w:styleId="BodyTextIndent">
    <w:name w:val="Body Text Indent"/>
    <w:basedOn w:val="Normal"/>
    <w:link w:val="BodyTextIndentChar"/>
    <w:uiPriority w:val="99"/>
    <w:rsid w:val="004122D2"/>
    <w:pPr>
      <w:spacing w:after="120"/>
      <w:ind w:left="283"/>
    </w:pPr>
    <w:rPr>
      <w:lang w:val="en-GB" w:eastAsia="en-US"/>
    </w:rPr>
  </w:style>
  <w:style w:type="character" w:customStyle="1" w:styleId="BodyTextIndentChar">
    <w:name w:val="Body Text Indent Char"/>
    <w:link w:val="BodyTextIndent"/>
    <w:uiPriority w:val="99"/>
    <w:locked/>
    <w:rsid w:val="00B17007"/>
    <w:rPr>
      <w:rFonts w:cs="Times New Roman"/>
      <w:sz w:val="24"/>
      <w:szCs w:val="24"/>
    </w:rPr>
  </w:style>
  <w:style w:type="paragraph" w:customStyle="1" w:styleId="Char1CharCharChar">
    <w:name w:val="Char1 Char Char Char"/>
    <w:basedOn w:val="Normal"/>
    <w:uiPriority w:val="99"/>
    <w:semiHidden/>
    <w:rsid w:val="004122D2"/>
    <w:pPr>
      <w:tabs>
        <w:tab w:val="left" w:pos="709"/>
      </w:tabs>
    </w:pPr>
    <w:rPr>
      <w:rFonts w:ascii="Futura Bk" w:hAnsi="Futura Bk"/>
      <w:lang w:val="pl-PL" w:eastAsia="pl-PL"/>
    </w:rPr>
  </w:style>
  <w:style w:type="paragraph" w:styleId="Header">
    <w:name w:val="header"/>
    <w:aliases w:val="Header Char,Header Char1 Char,Header Char Char Char,Header Char3 Char Char Char,Header Char1 Char Char Char Char1 Char,Header Char Char Char Char Char Char1 Char,Header Char2 Char1 Char Char Char,Header Char Char Char Char Char"/>
    <w:basedOn w:val="Normal"/>
    <w:link w:val="HeaderChar2"/>
    <w:uiPriority w:val="99"/>
    <w:rsid w:val="009C5217"/>
    <w:pPr>
      <w:tabs>
        <w:tab w:val="center" w:pos="4153"/>
        <w:tab w:val="right" w:pos="8306"/>
      </w:tabs>
    </w:pPr>
  </w:style>
  <w:style w:type="character" w:customStyle="1" w:styleId="HeaderChar1">
    <w:name w:val="Header Char1"/>
    <w:aliases w:val="Header Char Char,Header Char1 Char Char,Header Char Char Char Char,Header Char3 Char Char Char Char,Header Char1 Char Char Char Char1 Char Char,Header Char Char Char Char Char Char1 Char Char,Header Char2 Char1 Char Char Char Char"/>
    <w:uiPriority w:val="99"/>
    <w:semiHidden/>
    <w:locked/>
    <w:rsid w:val="00B17007"/>
    <w:rPr>
      <w:rFonts w:cs="Times New Roman"/>
      <w:sz w:val="24"/>
      <w:szCs w:val="24"/>
    </w:rPr>
  </w:style>
  <w:style w:type="character" w:customStyle="1" w:styleId="HeaderChar2">
    <w:name w:val="Header Char2"/>
    <w:aliases w:val="Header Char Char1,Header Char1 Char Char1,Header Char Char Char Char1,Header Char3 Char Char Char Char1,Header Char1 Char Char Char Char1 Char Char1,Header Char Char Char Char Char Char1 Char Char1,Header Char2 Char1 Char Char Char Char1"/>
    <w:link w:val="Header"/>
    <w:uiPriority w:val="99"/>
    <w:locked/>
    <w:rsid w:val="00964429"/>
    <w:rPr>
      <w:rFonts w:cs="Times New Roman"/>
      <w:sz w:val="24"/>
      <w:szCs w:val="24"/>
      <w:lang w:val="bg-BG" w:eastAsia="bg-BG" w:bidi="ar-SA"/>
    </w:rPr>
  </w:style>
  <w:style w:type="paragraph" w:customStyle="1" w:styleId="font5">
    <w:name w:val="font5"/>
    <w:basedOn w:val="Normal"/>
    <w:uiPriority w:val="99"/>
    <w:rsid w:val="009C5217"/>
    <w:pPr>
      <w:spacing w:before="100" w:beforeAutospacing="1" w:after="100" w:afterAutospacing="1"/>
    </w:pPr>
    <w:rPr>
      <w:b/>
      <w:bCs/>
      <w:sz w:val="16"/>
      <w:szCs w:val="16"/>
      <w:lang w:eastAsia="en-US"/>
    </w:rPr>
  </w:style>
  <w:style w:type="paragraph" w:customStyle="1" w:styleId="font6">
    <w:name w:val="font6"/>
    <w:basedOn w:val="Normal"/>
    <w:uiPriority w:val="99"/>
    <w:rsid w:val="009C5217"/>
    <w:pPr>
      <w:spacing w:before="100" w:beforeAutospacing="1" w:after="100" w:afterAutospacing="1"/>
    </w:pPr>
    <w:rPr>
      <w:sz w:val="16"/>
      <w:szCs w:val="16"/>
      <w:lang w:eastAsia="en-US"/>
    </w:rPr>
  </w:style>
  <w:style w:type="paragraph" w:customStyle="1" w:styleId="Default">
    <w:name w:val="Default"/>
    <w:rsid w:val="009C5217"/>
    <w:pPr>
      <w:autoSpaceDE w:val="0"/>
      <w:autoSpaceDN w:val="0"/>
      <w:adjustRightInd w:val="0"/>
    </w:pPr>
    <w:rPr>
      <w:rFonts w:ascii="Arial" w:hAnsi="Arial" w:cs="Arial"/>
      <w:color w:val="000000"/>
      <w:sz w:val="24"/>
      <w:szCs w:val="24"/>
    </w:rPr>
  </w:style>
  <w:style w:type="paragraph" w:customStyle="1" w:styleId="NormalFirstline">
    <w:name w:val="Normal + First line"/>
    <w:aliases w:val="1.25 cm,After 6 pt"/>
    <w:basedOn w:val="Normal"/>
    <w:uiPriority w:val="99"/>
    <w:rsid w:val="009C5217"/>
    <w:rPr>
      <w:sz w:val="20"/>
      <w:szCs w:val="20"/>
      <w:lang w:eastAsia="en-US"/>
    </w:rPr>
  </w:style>
  <w:style w:type="paragraph" w:customStyle="1" w:styleId="Char">
    <w:name w:val="Char"/>
    <w:basedOn w:val="Normal"/>
    <w:uiPriority w:val="99"/>
    <w:semiHidden/>
    <w:rsid w:val="00D4044A"/>
    <w:pPr>
      <w:tabs>
        <w:tab w:val="left" w:pos="709"/>
      </w:tabs>
    </w:pPr>
    <w:rPr>
      <w:rFonts w:ascii="Futura Bk" w:hAnsi="Futura Bk"/>
      <w:lang w:val="pl-PL" w:eastAsia="pl-PL"/>
    </w:rPr>
  </w:style>
  <w:style w:type="paragraph" w:customStyle="1" w:styleId="Char1">
    <w:name w:val="Char1"/>
    <w:basedOn w:val="Normal"/>
    <w:uiPriority w:val="99"/>
    <w:semiHidden/>
    <w:rsid w:val="00443C14"/>
    <w:pPr>
      <w:tabs>
        <w:tab w:val="left" w:pos="709"/>
      </w:tabs>
    </w:pPr>
    <w:rPr>
      <w:rFonts w:ascii="Futura Bk" w:hAnsi="Futura Bk"/>
      <w:lang w:val="pl-PL" w:eastAsia="pl-PL"/>
    </w:rPr>
  </w:style>
  <w:style w:type="paragraph" w:styleId="BodyTextIndent2">
    <w:name w:val="Body Text Indent 2"/>
    <w:basedOn w:val="Normal"/>
    <w:link w:val="BodyTextIndent2Char"/>
    <w:uiPriority w:val="99"/>
    <w:rsid w:val="006D3A7B"/>
    <w:pPr>
      <w:spacing w:after="120" w:line="480" w:lineRule="auto"/>
      <w:ind w:left="283"/>
    </w:pPr>
  </w:style>
  <w:style w:type="character" w:customStyle="1" w:styleId="BodyTextIndent2Char">
    <w:name w:val="Body Text Indent 2 Char"/>
    <w:link w:val="BodyTextIndent2"/>
    <w:uiPriority w:val="99"/>
    <w:locked/>
    <w:rsid w:val="00B17007"/>
    <w:rPr>
      <w:rFonts w:cs="Times New Roman"/>
      <w:sz w:val="24"/>
      <w:szCs w:val="24"/>
    </w:rPr>
  </w:style>
  <w:style w:type="paragraph" w:styleId="BodyText">
    <w:name w:val="Body Text"/>
    <w:basedOn w:val="Normal"/>
    <w:link w:val="BodyTextChar1"/>
    <w:rsid w:val="000A652B"/>
    <w:pPr>
      <w:spacing w:after="120"/>
    </w:pPr>
  </w:style>
  <w:style w:type="character" w:customStyle="1" w:styleId="BodyTextChar">
    <w:name w:val="Body Text Char"/>
    <w:aliases w:val="block style Char"/>
    <w:uiPriority w:val="99"/>
    <w:locked/>
    <w:rsid w:val="00B17007"/>
    <w:rPr>
      <w:rFonts w:cs="Times New Roman"/>
      <w:sz w:val="24"/>
      <w:szCs w:val="24"/>
    </w:rPr>
  </w:style>
  <w:style w:type="character" w:customStyle="1" w:styleId="BodyTextChar1">
    <w:name w:val="Body Text Char1"/>
    <w:link w:val="BodyText"/>
    <w:locked/>
    <w:rsid w:val="00C159EE"/>
    <w:rPr>
      <w:rFonts w:cs="Times New Roman"/>
      <w:sz w:val="24"/>
      <w:szCs w:val="24"/>
      <w:lang w:val="bg-BG" w:eastAsia="bg-BG" w:bidi="ar-SA"/>
    </w:rPr>
  </w:style>
  <w:style w:type="paragraph" w:customStyle="1" w:styleId="CharCharCharChar1CharCharCharCharCharCharCharCharChar">
    <w:name w:val="Char Char Char Char1 Char Char Char Char Char Char Char Char Char"/>
    <w:basedOn w:val="Normal"/>
    <w:uiPriority w:val="99"/>
    <w:rsid w:val="005623A7"/>
    <w:pPr>
      <w:spacing w:after="160" w:line="240" w:lineRule="exact"/>
    </w:pPr>
    <w:rPr>
      <w:rFonts w:ascii="Tahoma" w:hAnsi="Tahoma"/>
      <w:sz w:val="20"/>
      <w:szCs w:val="20"/>
      <w:lang w:val="en-US" w:eastAsia="en-US"/>
    </w:rPr>
  </w:style>
  <w:style w:type="paragraph" w:styleId="BodyText3">
    <w:name w:val="Body Text 3"/>
    <w:basedOn w:val="Normal"/>
    <w:link w:val="BodyText3Char"/>
    <w:uiPriority w:val="99"/>
    <w:rsid w:val="005623A7"/>
    <w:pPr>
      <w:spacing w:after="120"/>
    </w:pPr>
    <w:rPr>
      <w:sz w:val="16"/>
      <w:szCs w:val="16"/>
    </w:rPr>
  </w:style>
  <w:style w:type="character" w:customStyle="1" w:styleId="BodyText3Char">
    <w:name w:val="Body Text 3 Char"/>
    <w:link w:val="BodyText3"/>
    <w:uiPriority w:val="99"/>
    <w:locked/>
    <w:rsid w:val="00B17007"/>
    <w:rPr>
      <w:rFonts w:cs="Times New Roman"/>
      <w:sz w:val="16"/>
      <w:szCs w:val="16"/>
    </w:rPr>
  </w:style>
  <w:style w:type="paragraph" w:styleId="BodyText2">
    <w:name w:val="Body Text 2"/>
    <w:basedOn w:val="Normal"/>
    <w:link w:val="BodyText2Char"/>
    <w:uiPriority w:val="99"/>
    <w:rsid w:val="005623A7"/>
    <w:pPr>
      <w:spacing w:after="120" w:line="480" w:lineRule="auto"/>
    </w:pPr>
  </w:style>
  <w:style w:type="character" w:customStyle="1" w:styleId="BodyText2Char">
    <w:name w:val="Body Text 2 Char"/>
    <w:link w:val="BodyText2"/>
    <w:uiPriority w:val="99"/>
    <w:locked/>
    <w:rsid w:val="00B17007"/>
    <w:rPr>
      <w:rFonts w:cs="Times New Roman"/>
      <w:sz w:val="24"/>
      <w:szCs w:val="24"/>
    </w:rPr>
  </w:style>
  <w:style w:type="paragraph" w:styleId="BodyTextIndent3">
    <w:name w:val="Body Text Indent 3"/>
    <w:basedOn w:val="Normal"/>
    <w:link w:val="BodyTextIndent3Char"/>
    <w:uiPriority w:val="99"/>
    <w:rsid w:val="005623A7"/>
    <w:pPr>
      <w:spacing w:after="120"/>
      <w:ind w:left="283"/>
    </w:pPr>
    <w:rPr>
      <w:sz w:val="16"/>
      <w:szCs w:val="16"/>
    </w:rPr>
  </w:style>
  <w:style w:type="character" w:customStyle="1" w:styleId="BodyTextIndent3Char">
    <w:name w:val="Body Text Indent 3 Char"/>
    <w:link w:val="BodyTextIndent3"/>
    <w:uiPriority w:val="99"/>
    <w:locked/>
    <w:rsid w:val="00B17007"/>
    <w:rPr>
      <w:rFonts w:cs="Times New Roman"/>
      <w:sz w:val="16"/>
      <w:szCs w:val="16"/>
    </w:rPr>
  </w:style>
  <w:style w:type="paragraph" w:customStyle="1" w:styleId="Style">
    <w:name w:val="Style"/>
    <w:uiPriority w:val="99"/>
    <w:rsid w:val="005623A7"/>
    <w:pPr>
      <w:widowControl w:val="0"/>
      <w:autoSpaceDE w:val="0"/>
      <w:autoSpaceDN w:val="0"/>
      <w:adjustRightInd w:val="0"/>
      <w:ind w:left="140" w:right="140" w:firstLine="840"/>
      <w:jc w:val="both"/>
    </w:pPr>
    <w:rPr>
      <w:sz w:val="24"/>
      <w:szCs w:val="24"/>
    </w:rPr>
  </w:style>
  <w:style w:type="paragraph" w:styleId="BlockText">
    <w:name w:val="Block Text"/>
    <w:basedOn w:val="Normal"/>
    <w:uiPriority w:val="99"/>
    <w:rsid w:val="005623A7"/>
    <w:pPr>
      <w:ind w:left="-851" w:right="-99"/>
    </w:pPr>
    <w:rPr>
      <w:rFonts w:ascii="Arial" w:hAnsi="Arial"/>
      <w:szCs w:val="20"/>
      <w:lang w:eastAsia="en-US"/>
    </w:rPr>
  </w:style>
  <w:style w:type="paragraph" w:customStyle="1" w:styleId="Char1CharChar1CharCharCharChar1CharCharChar">
    <w:name w:val="Char1 Char Char1 Char Char Char Char1 Char Char Char"/>
    <w:basedOn w:val="Normal"/>
    <w:uiPriority w:val="99"/>
    <w:rsid w:val="005623A7"/>
    <w:pPr>
      <w:tabs>
        <w:tab w:val="left" w:pos="709"/>
      </w:tabs>
      <w:spacing w:line="360" w:lineRule="auto"/>
    </w:pPr>
    <w:rPr>
      <w:rFonts w:ascii="Tahoma" w:hAnsi="Tahoma"/>
      <w:lang w:val="pl-PL" w:eastAsia="pl-PL"/>
    </w:rPr>
  </w:style>
  <w:style w:type="paragraph" w:customStyle="1" w:styleId="a">
    <w:name w:val="Знак"/>
    <w:basedOn w:val="Normal"/>
    <w:uiPriority w:val="99"/>
    <w:rsid w:val="005623A7"/>
    <w:pPr>
      <w:spacing w:after="160" w:line="240" w:lineRule="exact"/>
    </w:pPr>
    <w:rPr>
      <w:rFonts w:ascii="Tahoma" w:hAnsi="Tahoma"/>
      <w:sz w:val="20"/>
      <w:szCs w:val="20"/>
      <w:lang w:val="en-US" w:eastAsia="en-US"/>
    </w:rPr>
  </w:style>
  <w:style w:type="paragraph" w:styleId="TOC1">
    <w:name w:val="toc 1"/>
    <w:basedOn w:val="Normal"/>
    <w:next w:val="Normal"/>
    <w:autoRedefine/>
    <w:uiPriority w:val="39"/>
    <w:rsid w:val="00646840"/>
    <w:pPr>
      <w:tabs>
        <w:tab w:val="right" w:leader="dot" w:pos="9720"/>
      </w:tabs>
      <w:ind w:left="-539" w:right="-517" w:hanging="361"/>
    </w:pPr>
    <w:rPr>
      <w:b/>
      <w:noProof/>
      <w:color w:val="000000"/>
      <w:sz w:val="21"/>
      <w:szCs w:val="22"/>
    </w:rPr>
  </w:style>
  <w:style w:type="paragraph" w:styleId="TOC2">
    <w:name w:val="toc 2"/>
    <w:basedOn w:val="Normal"/>
    <w:next w:val="Normal"/>
    <w:autoRedefine/>
    <w:uiPriority w:val="39"/>
    <w:rsid w:val="00295580"/>
    <w:pPr>
      <w:tabs>
        <w:tab w:val="right" w:leader="dot" w:pos="9720"/>
      </w:tabs>
      <w:ind w:left="240" w:right="-157" w:hanging="420"/>
    </w:pPr>
    <w:rPr>
      <w:b/>
      <w:noProof/>
      <w:color w:val="000000"/>
      <w:sz w:val="22"/>
      <w:szCs w:val="22"/>
    </w:rPr>
  </w:style>
  <w:style w:type="paragraph" w:styleId="TOC3">
    <w:name w:val="toc 3"/>
    <w:basedOn w:val="Normal"/>
    <w:next w:val="Normal"/>
    <w:autoRedefine/>
    <w:uiPriority w:val="39"/>
    <w:rsid w:val="00557105"/>
    <w:pPr>
      <w:tabs>
        <w:tab w:val="left" w:pos="540"/>
        <w:tab w:val="left" w:pos="720"/>
        <w:tab w:val="left" w:pos="900"/>
        <w:tab w:val="right" w:leader="dot" w:pos="9720"/>
      </w:tabs>
      <w:ind w:left="181" w:right="-517" w:hanging="1"/>
    </w:pPr>
    <w:rPr>
      <w:noProof/>
      <w:color w:val="000000"/>
    </w:rPr>
  </w:style>
  <w:style w:type="character" w:styleId="Hyperlink">
    <w:name w:val="Hyperlink"/>
    <w:uiPriority w:val="99"/>
    <w:rsid w:val="00ED5678"/>
    <w:rPr>
      <w:rFonts w:cs="Times New Roman"/>
      <w:color w:val="0000FF"/>
      <w:u w:val="single"/>
    </w:rPr>
  </w:style>
  <w:style w:type="character" w:styleId="CommentReference">
    <w:name w:val="annotation reference"/>
    <w:uiPriority w:val="99"/>
    <w:semiHidden/>
    <w:rsid w:val="00FE5827"/>
    <w:rPr>
      <w:rFonts w:cs="Times New Roman"/>
      <w:sz w:val="16"/>
      <w:szCs w:val="16"/>
    </w:rPr>
  </w:style>
  <w:style w:type="paragraph" w:styleId="CommentText">
    <w:name w:val="annotation text"/>
    <w:basedOn w:val="Normal"/>
    <w:link w:val="CommentTextChar"/>
    <w:uiPriority w:val="99"/>
    <w:semiHidden/>
    <w:rsid w:val="00FE5827"/>
    <w:rPr>
      <w:sz w:val="20"/>
      <w:szCs w:val="20"/>
    </w:rPr>
  </w:style>
  <w:style w:type="character" w:customStyle="1" w:styleId="CommentTextChar">
    <w:name w:val="Comment Text Char"/>
    <w:link w:val="CommentText"/>
    <w:uiPriority w:val="99"/>
    <w:semiHidden/>
    <w:locked/>
    <w:rsid w:val="00B17007"/>
    <w:rPr>
      <w:rFonts w:cs="Times New Roman"/>
      <w:sz w:val="20"/>
      <w:szCs w:val="20"/>
    </w:rPr>
  </w:style>
  <w:style w:type="paragraph" w:customStyle="1" w:styleId="a0">
    <w:name w:val="Обикн. параграф"/>
    <w:basedOn w:val="Normal"/>
    <w:uiPriority w:val="99"/>
    <w:rsid w:val="00964429"/>
    <w:pPr>
      <w:spacing w:before="120" w:line="360" w:lineRule="auto"/>
      <w:ind w:firstLine="720"/>
      <w:jc w:val="both"/>
    </w:pPr>
    <w:rPr>
      <w:szCs w:val="20"/>
      <w:lang w:eastAsia="en-US"/>
    </w:rPr>
  </w:style>
  <w:style w:type="paragraph" w:styleId="Caption">
    <w:name w:val="caption"/>
    <w:basedOn w:val="Normal"/>
    <w:next w:val="Normal"/>
    <w:uiPriority w:val="99"/>
    <w:qFormat/>
    <w:rsid w:val="00964429"/>
    <w:pPr>
      <w:spacing w:before="120" w:after="120"/>
    </w:pPr>
    <w:rPr>
      <w:b/>
      <w:bCs/>
      <w:sz w:val="20"/>
      <w:szCs w:val="20"/>
      <w:lang w:val="en-GB" w:eastAsia="en-US"/>
    </w:rPr>
  </w:style>
  <w:style w:type="paragraph" w:customStyle="1" w:styleId="CharCharCharCharCharCharCharCharCharCharCharChar">
    <w:name w:val="Знак Char Char Char Знак Char Char Char Char Знак Char Знак Char Char Char Знак Char Знак"/>
    <w:basedOn w:val="Normal"/>
    <w:uiPriority w:val="99"/>
    <w:semiHidden/>
    <w:rsid w:val="00FF0656"/>
    <w:pPr>
      <w:tabs>
        <w:tab w:val="left" w:pos="709"/>
      </w:tabs>
    </w:pPr>
    <w:rPr>
      <w:rFonts w:ascii="Futura Bk" w:hAnsi="Futura Bk"/>
      <w:sz w:val="20"/>
      <w:lang w:val="pl-PL" w:eastAsia="pl-PL"/>
    </w:rPr>
  </w:style>
  <w:style w:type="character" w:styleId="PageNumber">
    <w:name w:val="page number"/>
    <w:uiPriority w:val="99"/>
    <w:rsid w:val="00600F9D"/>
    <w:rPr>
      <w:rFonts w:cs="Times New Roman"/>
    </w:rPr>
  </w:style>
  <w:style w:type="paragraph" w:customStyle="1" w:styleId="NormalFirstline1">
    <w:name w:val="Normal+First line:1"/>
    <w:aliases w:val="25 cm,After:6 pt"/>
    <w:basedOn w:val="Normal"/>
    <w:uiPriority w:val="99"/>
    <w:rsid w:val="00674C44"/>
    <w:pPr>
      <w:spacing w:after="120"/>
      <w:ind w:firstLine="720"/>
    </w:pPr>
    <w:rPr>
      <w:lang w:eastAsia="en-US"/>
    </w:rPr>
  </w:style>
  <w:style w:type="character" w:styleId="FollowedHyperlink">
    <w:name w:val="FollowedHyperlink"/>
    <w:uiPriority w:val="99"/>
    <w:rsid w:val="0029769D"/>
    <w:rPr>
      <w:rFonts w:cs="Times New Roman"/>
      <w:color w:val="800080"/>
      <w:u w:val="single"/>
    </w:rPr>
  </w:style>
  <w:style w:type="paragraph" w:customStyle="1" w:styleId="firstline">
    <w:name w:val="firstline"/>
    <w:basedOn w:val="Normal"/>
    <w:uiPriority w:val="99"/>
    <w:rsid w:val="002D7859"/>
    <w:pPr>
      <w:spacing w:line="240" w:lineRule="atLeast"/>
      <w:ind w:firstLine="640"/>
      <w:jc w:val="both"/>
    </w:pPr>
    <w:rPr>
      <w:color w:val="000000"/>
    </w:rPr>
  </w:style>
  <w:style w:type="paragraph" w:styleId="PlainText">
    <w:name w:val="Plain Text"/>
    <w:basedOn w:val="Normal"/>
    <w:link w:val="PlainTextChar"/>
    <w:uiPriority w:val="99"/>
    <w:rsid w:val="00C37C2F"/>
    <w:pPr>
      <w:spacing w:before="100" w:beforeAutospacing="1" w:after="100" w:afterAutospacing="1"/>
    </w:pPr>
  </w:style>
  <w:style w:type="character" w:customStyle="1" w:styleId="PlainTextChar">
    <w:name w:val="Plain Text Char"/>
    <w:link w:val="PlainText"/>
    <w:uiPriority w:val="99"/>
    <w:locked/>
    <w:rsid w:val="00B17007"/>
    <w:rPr>
      <w:rFonts w:ascii="Courier New" w:hAnsi="Courier New" w:cs="Courier New"/>
      <w:sz w:val="20"/>
      <w:szCs w:val="20"/>
    </w:rPr>
  </w:style>
  <w:style w:type="character" w:customStyle="1" w:styleId="selection">
    <w:name w:val="selection"/>
    <w:uiPriority w:val="99"/>
    <w:rsid w:val="005806ED"/>
    <w:rPr>
      <w:rFonts w:cs="Times New Roman"/>
    </w:rPr>
  </w:style>
  <w:style w:type="paragraph" w:styleId="Footer">
    <w:name w:val="footer"/>
    <w:basedOn w:val="Normal"/>
    <w:link w:val="FooterChar"/>
    <w:uiPriority w:val="99"/>
    <w:rsid w:val="00797BA4"/>
    <w:pPr>
      <w:tabs>
        <w:tab w:val="center" w:pos="4536"/>
        <w:tab w:val="right" w:pos="9072"/>
      </w:tabs>
    </w:pPr>
  </w:style>
  <w:style w:type="character" w:customStyle="1" w:styleId="FooterChar">
    <w:name w:val="Footer Char"/>
    <w:link w:val="Footer"/>
    <w:uiPriority w:val="99"/>
    <w:locked/>
    <w:rsid w:val="00B17007"/>
    <w:rPr>
      <w:rFonts w:cs="Times New Roman"/>
      <w:sz w:val="24"/>
      <w:szCs w:val="24"/>
    </w:rPr>
  </w:style>
  <w:style w:type="paragraph" w:styleId="Title">
    <w:name w:val="Title"/>
    <w:basedOn w:val="Normal"/>
    <w:link w:val="TitleChar"/>
    <w:uiPriority w:val="99"/>
    <w:qFormat/>
    <w:rsid w:val="008E5000"/>
    <w:pPr>
      <w:spacing w:after="200"/>
      <w:ind w:firstLine="720"/>
      <w:jc w:val="center"/>
    </w:pPr>
    <w:rPr>
      <w:b/>
      <w:bCs/>
      <w:szCs w:val="20"/>
      <w:lang w:eastAsia="en-US"/>
    </w:rPr>
  </w:style>
  <w:style w:type="character" w:customStyle="1" w:styleId="TitleChar">
    <w:name w:val="Title Char"/>
    <w:link w:val="Title"/>
    <w:uiPriority w:val="99"/>
    <w:locked/>
    <w:rsid w:val="00B17007"/>
    <w:rPr>
      <w:rFonts w:ascii="Cambria" w:hAnsi="Cambria" w:cs="Times New Roman"/>
      <w:b/>
      <w:bCs/>
      <w:kern w:val="28"/>
      <w:sz w:val="32"/>
      <w:szCs w:val="32"/>
    </w:rPr>
  </w:style>
  <w:style w:type="paragraph" w:styleId="Index1">
    <w:name w:val="index 1"/>
    <w:basedOn w:val="Normal"/>
    <w:next w:val="Normal"/>
    <w:autoRedefine/>
    <w:uiPriority w:val="99"/>
    <w:semiHidden/>
    <w:rsid w:val="00D90A8E"/>
    <w:pPr>
      <w:ind w:left="240" w:hanging="240"/>
    </w:pPr>
  </w:style>
  <w:style w:type="paragraph" w:styleId="DocumentMap">
    <w:name w:val="Document Map"/>
    <w:basedOn w:val="Normal"/>
    <w:link w:val="DocumentMapChar"/>
    <w:uiPriority w:val="99"/>
    <w:semiHidden/>
    <w:rsid w:val="00017EB1"/>
    <w:pPr>
      <w:shd w:val="clear" w:color="auto" w:fill="000080"/>
    </w:pPr>
    <w:rPr>
      <w:rFonts w:ascii="Tahoma" w:hAnsi="Tahoma" w:cs="Tahoma"/>
      <w:sz w:val="20"/>
      <w:szCs w:val="20"/>
    </w:rPr>
  </w:style>
  <w:style w:type="character" w:customStyle="1" w:styleId="DocumentMapChar">
    <w:name w:val="Document Map Char"/>
    <w:link w:val="DocumentMap"/>
    <w:uiPriority w:val="99"/>
    <w:semiHidden/>
    <w:locked/>
    <w:rsid w:val="00B17007"/>
    <w:rPr>
      <w:rFonts w:cs="Times New Roman"/>
      <w:sz w:val="2"/>
    </w:rPr>
  </w:style>
  <w:style w:type="character" w:styleId="Strong">
    <w:name w:val="Strong"/>
    <w:uiPriority w:val="99"/>
    <w:qFormat/>
    <w:rsid w:val="001A4F7D"/>
    <w:rPr>
      <w:rFonts w:cs="Times New Roman"/>
      <w:b/>
      <w:bCs/>
    </w:rPr>
  </w:style>
  <w:style w:type="paragraph" w:styleId="NormalWeb">
    <w:name w:val="Normal (Web)"/>
    <w:basedOn w:val="Normal"/>
    <w:uiPriority w:val="99"/>
    <w:rsid w:val="00507250"/>
    <w:pPr>
      <w:spacing w:before="100" w:beforeAutospacing="1" w:after="100" w:afterAutospacing="1"/>
    </w:pPr>
  </w:style>
  <w:style w:type="table" w:styleId="TableGrid">
    <w:name w:val="Table Grid"/>
    <w:basedOn w:val="TableNormal"/>
    <w:uiPriority w:val="99"/>
    <w:rsid w:val="00E66B0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s">
    <w:name w:val="news"/>
    <w:basedOn w:val="Normal"/>
    <w:uiPriority w:val="99"/>
    <w:rsid w:val="00C159EE"/>
    <w:pPr>
      <w:spacing w:before="100" w:after="100"/>
    </w:pPr>
    <w:rPr>
      <w:rFonts w:ascii="Verdana" w:hAnsi="Verdana"/>
      <w:color w:val="000000"/>
      <w:sz w:val="17"/>
      <w:szCs w:val="20"/>
      <w:lang w:val="en-US"/>
    </w:rPr>
  </w:style>
  <w:style w:type="paragraph" w:customStyle="1" w:styleId="a1">
    <w:name w:val="Знак Знак"/>
    <w:basedOn w:val="Normal"/>
    <w:uiPriority w:val="99"/>
    <w:rsid w:val="009201BB"/>
    <w:pPr>
      <w:tabs>
        <w:tab w:val="left" w:pos="709"/>
      </w:tabs>
    </w:pPr>
    <w:rPr>
      <w:rFonts w:ascii="Tahoma" w:hAnsi="Tahoma"/>
      <w:lang w:val="pl-PL" w:eastAsia="pl-PL"/>
    </w:rPr>
  </w:style>
  <w:style w:type="paragraph" w:customStyle="1" w:styleId="NormalBold">
    <w:name w:val="Normal + Bold"/>
    <w:basedOn w:val="Normal"/>
    <w:uiPriority w:val="99"/>
    <w:rsid w:val="00632D9F"/>
    <w:pPr>
      <w:ind w:firstLine="708"/>
      <w:jc w:val="both"/>
    </w:pPr>
    <w:rPr>
      <w:b/>
    </w:rPr>
  </w:style>
  <w:style w:type="paragraph" w:styleId="CommentSubject">
    <w:name w:val="annotation subject"/>
    <w:basedOn w:val="CommentText"/>
    <w:next w:val="CommentText"/>
    <w:link w:val="CommentSubjectChar"/>
    <w:uiPriority w:val="99"/>
    <w:semiHidden/>
    <w:rsid w:val="008B6959"/>
    <w:rPr>
      <w:b/>
      <w:bCs/>
    </w:rPr>
  </w:style>
  <w:style w:type="character" w:customStyle="1" w:styleId="CommentSubjectChar">
    <w:name w:val="Comment Subject Char"/>
    <w:link w:val="CommentSubject"/>
    <w:uiPriority w:val="99"/>
    <w:semiHidden/>
    <w:locked/>
    <w:rsid w:val="00B17007"/>
    <w:rPr>
      <w:rFonts w:cs="Times New Roman"/>
      <w:b/>
      <w:bCs/>
      <w:sz w:val="20"/>
      <w:szCs w:val="20"/>
    </w:rPr>
  </w:style>
  <w:style w:type="paragraph" w:customStyle="1" w:styleId="CharCharCharCharCharCharCharCharCharCharCharCharCharCharCharCharCharCharCharCharChar1CharCharCharCharCharCharCharCharCharCharCharChar1">
    <w:name w:val="Char Char Char Char Char Char Char Char Char Char Char Char Char Char Char Char Char Char Char Char Char1 Char Char Char Char Char Char Char Char Char Char Char Char1"/>
    <w:basedOn w:val="Normal"/>
    <w:uiPriority w:val="99"/>
    <w:rsid w:val="00BC0C49"/>
    <w:pPr>
      <w:tabs>
        <w:tab w:val="left" w:pos="709"/>
      </w:tabs>
    </w:pPr>
    <w:rPr>
      <w:rFonts w:ascii="Tahoma" w:hAnsi="Tahoma"/>
      <w:lang w:val="pl-PL" w:eastAsia="pl-PL"/>
    </w:rPr>
  </w:style>
  <w:style w:type="paragraph" w:customStyle="1" w:styleId="xl35">
    <w:name w:val="xl35"/>
    <w:basedOn w:val="Normal"/>
    <w:uiPriority w:val="99"/>
    <w:rsid w:val="00BC0C49"/>
    <w:pPr>
      <w:pBdr>
        <w:left w:val="single" w:sz="4" w:space="0" w:color="auto"/>
        <w:right w:val="single" w:sz="4" w:space="0" w:color="auto"/>
      </w:pBdr>
      <w:shd w:val="clear" w:color="auto" w:fill="C0C0C0"/>
      <w:spacing w:before="100" w:beforeAutospacing="1" w:after="100" w:afterAutospacing="1"/>
    </w:pPr>
    <w:rPr>
      <w:b/>
      <w:bCs/>
      <w:lang w:val="en-GB" w:eastAsia="en-US"/>
    </w:rPr>
  </w:style>
  <w:style w:type="paragraph" w:styleId="EndnoteText">
    <w:name w:val="endnote text"/>
    <w:basedOn w:val="Normal"/>
    <w:link w:val="EndnoteTextChar"/>
    <w:uiPriority w:val="99"/>
    <w:semiHidden/>
    <w:rsid w:val="00586A07"/>
    <w:rPr>
      <w:sz w:val="20"/>
      <w:szCs w:val="20"/>
    </w:rPr>
  </w:style>
  <w:style w:type="character" w:customStyle="1" w:styleId="EndnoteTextChar">
    <w:name w:val="Endnote Text Char"/>
    <w:link w:val="EndnoteText"/>
    <w:uiPriority w:val="99"/>
    <w:semiHidden/>
    <w:locked/>
    <w:rsid w:val="00B17007"/>
    <w:rPr>
      <w:rFonts w:cs="Times New Roman"/>
      <w:sz w:val="20"/>
      <w:szCs w:val="20"/>
    </w:rPr>
  </w:style>
  <w:style w:type="character" w:styleId="EndnoteReference">
    <w:name w:val="endnote reference"/>
    <w:uiPriority w:val="99"/>
    <w:semiHidden/>
    <w:rsid w:val="00586A07"/>
    <w:rPr>
      <w:rFonts w:cs="Times New Roman"/>
      <w:vertAlign w:val="superscript"/>
    </w:rPr>
  </w:style>
  <w:style w:type="paragraph" w:customStyle="1" w:styleId="CharCharCharChar">
    <w:name w:val="Char Char Char Char"/>
    <w:basedOn w:val="Normal"/>
    <w:uiPriority w:val="99"/>
    <w:rsid w:val="002F7471"/>
    <w:pPr>
      <w:spacing w:after="160" w:line="240" w:lineRule="exact"/>
    </w:pPr>
    <w:rPr>
      <w:rFonts w:ascii="Tahoma" w:hAnsi="Tahoma"/>
      <w:sz w:val="20"/>
      <w:szCs w:val="20"/>
      <w:lang w:val="en-US" w:eastAsia="en-US"/>
    </w:rPr>
  </w:style>
  <w:style w:type="character" w:customStyle="1" w:styleId="FontStyle17">
    <w:name w:val="Font Style17"/>
    <w:uiPriority w:val="99"/>
    <w:rsid w:val="00C65203"/>
    <w:rPr>
      <w:rFonts w:ascii="Times New Roman" w:hAnsi="Times New Roman"/>
      <w:sz w:val="22"/>
    </w:rPr>
  </w:style>
  <w:style w:type="character" w:customStyle="1" w:styleId="FontStyle25">
    <w:name w:val="Font Style25"/>
    <w:uiPriority w:val="99"/>
    <w:rsid w:val="00C65203"/>
    <w:rPr>
      <w:rFonts w:ascii="Arial" w:hAnsi="Arial"/>
      <w:sz w:val="20"/>
    </w:rPr>
  </w:style>
  <w:style w:type="paragraph" w:styleId="ListParagraph">
    <w:name w:val="List Paragraph"/>
    <w:basedOn w:val="Normal"/>
    <w:uiPriority w:val="34"/>
    <w:qFormat/>
    <w:rsid w:val="00174EA8"/>
    <w:pPr>
      <w:ind w:left="720"/>
      <w:contextualSpacing/>
    </w:pPr>
  </w:style>
  <w:style w:type="character" w:customStyle="1" w:styleId="FootnoteCharacters">
    <w:name w:val="Footnote Characters"/>
    <w:uiPriority w:val="99"/>
    <w:rsid w:val="0027644C"/>
    <w:rPr>
      <w:rFonts w:cs="Times New Roman"/>
      <w:vertAlign w:val="superscript"/>
    </w:rPr>
  </w:style>
  <w:style w:type="character" w:customStyle="1" w:styleId="longtext">
    <w:name w:val="long_text"/>
    <w:uiPriority w:val="99"/>
    <w:rsid w:val="00B722CB"/>
    <w:rPr>
      <w:rFonts w:cs="Times New Roman"/>
    </w:rPr>
  </w:style>
  <w:style w:type="table" w:styleId="TableWeb3">
    <w:name w:val="Table Web 3"/>
    <w:basedOn w:val="TableNormal"/>
    <w:uiPriority w:val="99"/>
    <w:rsid w:val="00C26BEB"/>
    <w:rPr>
      <w:rFonts w:eastAsia="Batang"/>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paragraph" w:customStyle="1" w:styleId="Style2">
    <w:name w:val="Style2"/>
    <w:basedOn w:val="Normal"/>
    <w:uiPriority w:val="99"/>
    <w:rsid w:val="00C26BEB"/>
    <w:rPr>
      <w:rFonts w:eastAsia="Batang"/>
      <w:lang w:eastAsia="ko-KR"/>
    </w:rPr>
  </w:style>
  <w:style w:type="paragraph" w:customStyle="1" w:styleId="footnot">
    <w:name w:val="footnot"/>
    <w:basedOn w:val="FootnoteText"/>
    <w:link w:val="footnotChar"/>
    <w:uiPriority w:val="99"/>
    <w:rsid w:val="0065435E"/>
    <w:pPr>
      <w:spacing w:after="60"/>
      <w:jc w:val="both"/>
    </w:pPr>
    <w:rPr>
      <w:rFonts w:ascii="Verdana" w:hAnsi="Verdana"/>
      <w:i/>
      <w:w w:val="90"/>
      <w:sz w:val="16"/>
    </w:rPr>
  </w:style>
  <w:style w:type="character" w:customStyle="1" w:styleId="footnotChar">
    <w:name w:val="footnot Char"/>
    <w:link w:val="footnot"/>
    <w:uiPriority w:val="99"/>
    <w:locked/>
    <w:rsid w:val="0065435E"/>
    <w:rPr>
      <w:rFonts w:ascii="Verdana" w:hAnsi="Verdana"/>
      <w:i/>
      <w:w w:val="90"/>
      <w:sz w:val="16"/>
      <w:lang w:val="bg-BG" w:eastAsia="bg-BG"/>
    </w:rPr>
  </w:style>
  <w:style w:type="table" w:styleId="TableContemporary">
    <w:name w:val="Table Contemporary"/>
    <w:basedOn w:val="TableNormal"/>
    <w:uiPriority w:val="99"/>
    <w:rsid w:val="00AE051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paragraph" w:customStyle="1" w:styleId="CharCharCharCharCharCharChar">
    <w:name w:val="Char Char Знак Знак Char Знак Знак Char Char Char Знак Знак Char"/>
    <w:basedOn w:val="Normal"/>
    <w:uiPriority w:val="99"/>
    <w:rsid w:val="00D12312"/>
    <w:pPr>
      <w:tabs>
        <w:tab w:val="left" w:pos="709"/>
      </w:tabs>
    </w:pPr>
    <w:rPr>
      <w:rFonts w:ascii="Tahoma" w:hAnsi="Tahoma"/>
      <w:lang w:val="pl-PL" w:eastAsia="pl-PL"/>
    </w:rPr>
  </w:style>
  <w:style w:type="paragraph" w:customStyle="1" w:styleId="footnote">
    <w:name w:val="footnote"/>
    <w:basedOn w:val="Normal"/>
    <w:link w:val="footnoteChar"/>
    <w:uiPriority w:val="99"/>
    <w:rsid w:val="00211F7E"/>
    <w:pPr>
      <w:jc w:val="both"/>
    </w:pPr>
    <w:rPr>
      <w:rFonts w:ascii="Verdana" w:hAnsi="Verdana"/>
      <w:sz w:val="14"/>
      <w:szCs w:val="20"/>
      <w:lang w:eastAsia="en-US"/>
    </w:rPr>
  </w:style>
  <w:style w:type="character" w:customStyle="1" w:styleId="footnoteChar">
    <w:name w:val="footnote Char"/>
    <w:link w:val="footnote"/>
    <w:uiPriority w:val="99"/>
    <w:locked/>
    <w:rsid w:val="00211F7E"/>
    <w:rPr>
      <w:rFonts w:ascii="Verdana" w:hAnsi="Verdana"/>
      <w:sz w:val="14"/>
      <w:lang w:val="bg-BG" w:eastAsia="en-US"/>
    </w:rPr>
  </w:style>
  <w:style w:type="paragraph" w:customStyle="1" w:styleId="thefirstparagraph">
    <w:name w:val="the first paragraph"/>
    <w:basedOn w:val="Normal"/>
    <w:link w:val="thefirstparagraphChar"/>
    <w:uiPriority w:val="99"/>
    <w:rsid w:val="00211F7E"/>
    <w:pPr>
      <w:spacing w:after="120" w:line="260" w:lineRule="atLeast"/>
      <w:ind w:firstLine="567"/>
      <w:jc w:val="both"/>
    </w:pPr>
    <w:rPr>
      <w:rFonts w:ascii="Verdana" w:hAnsi="Verdana"/>
      <w:szCs w:val="20"/>
      <w:lang w:eastAsia="en-US"/>
    </w:rPr>
  </w:style>
  <w:style w:type="character" w:customStyle="1" w:styleId="thefirstparagraphChar">
    <w:name w:val="the first paragraph Char"/>
    <w:link w:val="thefirstparagraph"/>
    <w:uiPriority w:val="99"/>
    <w:locked/>
    <w:rsid w:val="00211F7E"/>
    <w:rPr>
      <w:rFonts w:ascii="Verdana" w:hAnsi="Verdana"/>
      <w:sz w:val="24"/>
      <w:lang w:val="bg-BG" w:eastAsia="en-US"/>
    </w:rPr>
  </w:style>
  <w:style w:type="character" w:styleId="Emphasis">
    <w:name w:val="Emphasis"/>
    <w:uiPriority w:val="99"/>
    <w:qFormat/>
    <w:rsid w:val="0030043D"/>
    <w:rPr>
      <w:rFonts w:cs="Times New Roman"/>
      <w:i/>
      <w:iCs/>
    </w:rPr>
  </w:style>
  <w:style w:type="character" w:customStyle="1" w:styleId="CharChar">
    <w:name w:val="Char Char"/>
    <w:uiPriority w:val="99"/>
    <w:rsid w:val="00FD1A7F"/>
    <w:rPr>
      <w:sz w:val="24"/>
      <w:lang w:val="bg-BG" w:eastAsia="bg-BG"/>
    </w:rPr>
  </w:style>
  <w:style w:type="paragraph" w:styleId="TOC4">
    <w:name w:val="toc 4"/>
    <w:basedOn w:val="Normal"/>
    <w:next w:val="Normal"/>
    <w:autoRedefine/>
    <w:uiPriority w:val="99"/>
    <w:locked/>
    <w:rsid w:val="002A7AB2"/>
    <w:pPr>
      <w:ind w:left="720"/>
    </w:pPr>
  </w:style>
  <w:style w:type="paragraph" w:styleId="TOC5">
    <w:name w:val="toc 5"/>
    <w:basedOn w:val="Normal"/>
    <w:next w:val="Normal"/>
    <w:autoRedefine/>
    <w:uiPriority w:val="99"/>
    <w:locked/>
    <w:rsid w:val="002A7AB2"/>
    <w:pPr>
      <w:ind w:left="960"/>
    </w:pPr>
  </w:style>
  <w:style w:type="paragraph" w:styleId="TOC6">
    <w:name w:val="toc 6"/>
    <w:basedOn w:val="Normal"/>
    <w:next w:val="Normal"/>
    <w:autoRedefine/>
    <w:uiPriority w:val="99"/>
    <w:locked/>
    <w:rsid w:val="002A7AB2"/>
    <w:pPr>
      <w:ind w:left="1200"/>
    </w:pPr>
  </w:style>
  <w:style w:type="paragraph" w:styleId="TOC7">
    <w:name w:val="toc 7"/>
    <w:basedOn w:val="Normal"/>
    <w:next w:val="Normal"/>
    <w:autoRedefine/>
    <w:uiPriority w:val="99"/>
    <w:locked/>
    <w:rsid w:val="002A7AB2"/>
    <w:pPr>
      <w:ind w:left="1440"/>
    </w:pPr>
  </w:style>
  <w:style w:type="paragraph" w:styleId="TOC8">
    <w:name w:val="toc 8"/>
    <w:basedOn w:val="Normal"/>
    <w:next w:val="Normal"/>
    <w:autoRedefine/>
    <w:uiPriority w:val="99"/>
    <w:locked/>
    <w:rsid w:val="002A7AB2"/>
    <w:pPr>
      <w:ind w:left="1680"/>
    </w:pPr>
  </w:style>
  <w:style w:type="paragraph" w:styleId="TOC9">
    <w:name w:val="toc 9"/>
    <w:basedOn w:val="Normal"/>
    <w:next w:val="Normal"/>
    <w:autoRedefine/>
    <w:uiPriority w:val="99"/>
    <w:locked/>
    <w:rsid w:val="002A7AB2"/>
    <w:pPr>
      <w:ind w:left="1920"/>
    </w:pPr>
  </w:style>
  <w:style w:type="character" w:customStyle="1" w:styleId="CharChar1">
    <w:name w:val="Char Char1"/>
    <w:uiPriority w:val="99"/>
    <w:rsid w:val="00287093"/>
    <w:rPr>
      <w:rFonts w:cs="Times New Roman"/>
      <w:sz w:val="24"/>
      <w:szCs w:val="24"/>
      <w:lang w:val="bg-BG" w:eastAsia="bg-BG" w:bidi="ar-SA"/>
    </w:rPr>
  </w:style>
  <w:style w:type="character" w:customStyle="1" w:styleId="CharChar11">
    <w:name w:val="Char Char11"/>
    <w:uiPriority w:val="99"/>
    <w:rsid w:val="00EC12E6"/>
    <w:rPr>
      <w:rFonts w:ascii="Arial" w:hAnsi="Arial" w:cs="Arial"/>
      <w:b/>
      <w:bCs/>
      <w:sz w:val="26"/>
      <w:szCs w:val="26"/>
      <w:lang w:val="en-AU" w:eastAsia="bg-BG" w:bidi="ar-SA"/>
    </w:rPr>
  </w:style>
  <w:style w:type="character" w:customStyle="1" w:styleId="CharChar2">
    <w:name w:val="Char Char2"/>
    <w:uiPriority w:val="99"/>
    <w:rsid w:val="006E4DEB"/>
    <w:rPr>
      <w:rFonts w:cs="Times New Roman"/>
      <w:sz w:val="24"/>
      <w:szCs w:val="24"/>
      <w:lang w:val="bg-BG" w:eastAsia="bg-BG" w:bidi="ar-SA"/>
    </w:rPr>
  </w:style>
  <w:style w:type="paragraph" w:customStyle="1" w:styleId="Char11">
    <w:name w:val="Char11"/>
    <w:basedOn w:val="Normal"/>
    <w:uiPriority w:val="99"/>
    <w:semiHidden/>
    <w:rsid w:val="00890890"/>
    <w:pPr>
      <w:tabs>
        <w:tab w:val="left" w:pos="709"/>
      </w:tabs>
    </w:pPr>
    <w:rPr>
      <w:rFonts w:ascii="Futura Bk" w:hAnsi="Futura Bk"/>
      <w:lang w:val="pl-PL" w:eastAsia="pl-PL"/>
    </w:rPr>
  </w:style>
  <w:style w:type="paragraph" w:styleId="NoSpacing">
    <w:name w:val="No Spacing"/>
    <w:uiPriority w:val="99"/>
    <w:qFormat/>
    <w:rsid w:val="00350AB2"/>
    <w:rPr>
      <w:sz w:val="24"/>
      <w:szCs w:val="24"/>
    </w:rPr>
  </w:style>
  <w:style w:type="character" w:customStyle="1" w:styleId="TablesourceChar">
    <w:name w:val="Table source Char"/>
    <w:link w:val="Tablesource"/>
    <w:locked/>
    <w:rsid w:val="002C4BAC"/>
    <w:rPr>
      <w:rFonts w:ascii="Calibri" w:hAnsi="Calibri"/>
      <w:bCs/>
      <w:i/>
    </w:rPr>
  </w:style>
  <w:style w:type="paragraph" w:customStyle="1" w:styleId="Tablesource">
    <w:name w:val="Table source"/>
    <w:basedOn w:val="Normal"/>
    <w:link w:val="TablesourceChar"/>
    <w:qFormat/>
    <w:rsid w:val="002C4BAC"/>
    <w:pPr>
      <w:spacing w:before="120" w:after="240"/>
      <w:ind w:right="432"/>
      <w:jc w:val="right"/>
      <w:outlineLvl w:val="3"/>
    </w:pPr>
    <w:rPr>
      <w:rFonts w:ascii="Calibri" w:hAnsi="Calibri"/>
      <w:bCs/>
      <w:i/>
      <w:sz w:val="22"/>
      <w:szCs w:val="22"/>
    </w:rPr>
  </w:style>
  <w:style w:type="paragraph" w:customStyle="1" w:styleId="listparagraphcxspmiddle">
    <w:name w:val="listparagraphcxspmiddle"/>
    <w:basedOn w:val="Normal"/>
    <w:uiPriority w:val="99"/>
    <w:rsid w:val="00621B56"/>
    <w:pPr>
      <w:spacing w:before="100" w:beforeAutospacing="1" w:after="100" w:afterAutospacing="1"/>
    </w:pPr>
  </w:style>
  <w:style w:type="paragraph" w:customStyle="1" w:styleId="Normal12pt">
    <w:name w:val="Normal + 12 pt"/>
    <w:basedOn w:val="BodyText"/>
    <w:link w:val="Normal12ptChar"/>
    <w:rsid w:val="005328CD"/>
    <w:pPr>
      <w:spacing w:after="0" w:line="288" w:lineRule="auto"/>
      <w:ind w:firstLine="720"/>
    </w:pPr>
    <w:rPr>
      <w:lang w:eastAsia="en-US"/>
    </w:rPr>
  </w:style>
  <w:style w:type="character" w:customStyle="1" w:styleId="Normal12ptChar">
    <w:name w:val="Normal + 12 pt Char"/>
    <w:link w:val="Normal12pt"/>
    <w:rsid w:val="005328CD"/>
    <w:rPr>
      <w:sz w:val="24"/>
      <w:szCs w:val="24"/>
      <w:lang w:eastAsia="en-US"/>
    </w:rPr>
  </w:style>
  <w:style w:type="numbering" w:customStyle="1" w:styleId="NoList1">
    <w:name w:val="No List1"/>
    <w:next w:val="NoList"/>
    <w:uiPriority w:val="99"/>
    <w:semiHidden/>
    <w:unhideWhenUsed/>
    <w:rsid w:val="00A45931"/>
  </w:style>
  <w:style w:type="numbering" w:customStyle="1" w:styleId="NoList11">
    <w:name w:val="No List11"/>
    <w:next w:val="NoList"/>
    <w:uiPriority w:val="99"/>
    <w:semiHidden/>
    <w:unhideWhenUsed/>
    <w:rsid w:val="00A45931"/>
  </w:style>
  <w:style w:type="table" w:customStyle="1" w:styleId="TableGrid1">
    <w:name w:val="Table Grid1"/>
    <w:basedOn w:val="TableNormal"/>
    <w:next w:val="TableGrid"/>
    <w:uiPriority w:val="39"/>
    <w:rsid w:val="00A4593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Web31">
    <w:name w:val="Table Web 31"/>
    <w:basedOn w:val="TableNormal"/>
    <w:next w:val="TableWeb3"/>
    <w:uiPriority w:val="99"/>
    <w:rsid w:val="00A45931"/>
    <w:rPr>
      <w:rFonts w:eastAsia="Batang"/>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table" w:customStyle="1" w:styleId="TableContemporary1">
    <w:name w:val="Table Contemporary1"/>
    <w:basedOn w:val="TableNormal"/>
    <w:next w:val="TableContemporary"/>
    <w:uiPriority w:val="99"/>
    <w:rsid w:val="00A45931"/>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character" w:customStyle="1" w:styleId="FootnoteTextChar1">
    <w:name w:val="Footnote Text Char1"/>
    <w:aliases w:val="Fußnotentext arial Char1,Footnote1 Char1,Footnote2 Char1,Footnote3 Char1,stile 1 Char1,Footnote4 Char1,Footnote5 Char1,Footnote6 Char1,Footnote7 Char1,Footnote8 Char1,Footnote9 Char1,Footnote10 Char1,Footnote11 Char1,Footnote21 Char1"/>
    <w:uiPriority w:val="99"/>
    <w:semiHidden/>
    <w:rsid w:val="006E5AE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uiPriority="0" w:qFormat="1"/>
    <w:lsdException w:name="heading 6" w:locked="1" w:semiHidden="0" w:unhideWhenUsed="0" w:qFormat="1"/>
    <w:lsdException w:name="heading 7" w:locked="1" w:uiPriority="0" w:qFormat="1"/>
    <w:lsdException w:name="heading 8" w:locked="1" w:uiPriority="0" w:qFormat="1"/>
    <w:lsdException w:name="heading 9" w:locked="1" w:semiHidden="0" w:unhideWhenUsed="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nhideWhenUsed="0"/>
    <w:lsdException w:name="toc 5" w:locked="1" w:semiHidden="0" w:unhideWhenUsed="0"/>
    <w:lsdException w:name="toc 6" w:locked="1" w:semiHidden="0" w:unhideWhenUsed="0"/>
    <w:lsdException w:name="toc 7" w:locked="1" w:semiHidden="0" w:unhideWhenUsed="0"/>
    <w:lsdException w:name="toc 8" w:locked="1" w:semiHidden="0" w:unhideWhenUsed="0"/>
    <w:lsdException w:name="toc 9" w:locked="1" w:semiHidden="0" w:unhideWhenUsed="0"/>
    <w:lsdException w:name="footnote text" w:uiPriority="0"/>
    <w:lsdException w:name="caption" w:locked="1" w:semiHidden="0" w:unhideWhenUsed="0" w:qFormat="1"/>
    <w:lsdException w:name="Title" w:locked="1" w:semiHidden="0" w:unhideWhenUsed="0" w:qFormat="1"/>
    <w:lsdException w:name="Default Paragraph Font" w:locked="1" w:semiHidden="0" w:uiPriority="0" w:unhideWhenUsed="0"/>
    <w:lsdException w:name="Body Text" w:uiPriority="0"/>
    <w:lsdException w:name="Subtitle" w:locked="1" w:semiHidden="0" w:uiPriority="0" w:unhideWhenUsed="0" w:qFormat="1"/>
    <w:lsdException w:name="Body Text 2" w:locked="1" w:semiHidden="0" w:unhideWhenUsed="0"/>
    <w:lsdException w:name="Strong" w:locked="1" w:semiHidden="0" w:unhideWhenUsed="0" w:qFormat="1"/>
    <w:lsdException w:name="Emphasis" w:locked="1" w:semiHidden="0" w:unhideWhenUsed="0" w:qFormat="1"/>
    <w:lsdException w:name="Table Grid" w:locked="1"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7237"/>
    <w:rPr>
      <w:sz w:val="24"/>
      <w:szCs w:val="24"/>
    </w:rPr>
  </w:style>
  <w:style w:type="paragraph" w:styleId="Heading1">
    <w:name w:val="heading 1"/>
    <w:basedOn w:val="Normal"/>
    <w:next w:val="Normal"/>
    <w:link w:val="Heading1Char"/>
    <w:uiPriority w:val="99"/>
    <w:qFormat/>
    <w:rsid w:val="004122D2"/>
    <w:pPr>
      <w:keepNext/>
      <w:jc w:val="center"/>
      <w:outlineLvl w:val="0"/>
    </w:pPr>
    <w:rPr>
      <w:b/>
      <w:bCs/>
      <w:lang w:eastAsia="en-US"/>
    </w:rPr>
  </w:style>
  <w:style w:type="paragraph" w:styleId="Heading2">
    <w:name w:val="heading 2"/>
    <w:basedOn w:val="Normal"/>
    <w:next w:val="Normal"/>
    <w:link w:val="Heading2Char"/>
    <w:uiPriority w:val="99"/>
    <w:qFormat/>
    <w:rsid w:val="009C5217"/>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1"/>
    <w:uiPriority w:val="99"/>
    <w:qFormat/>
    <w:rsid w:val="009C5217"/>
    <w:pPr>
      <w:keepNext/>
      <w:spacing w:before="240" w:after="60"/>
      <w:outlineLvl w:val="2"/>
    </w:pPr>
    <w:rPr>
      <w:rFonts w:ascii="Arial" w:hAnsi="Arial" w:cs="Arial"/>
      <w:b/>
      <w:bCs/>
      <w:sz w:val="26"/>
      <w:szCs w:val="26"/>
      <w:lang w:val="en-AU"/>
    </w:rPr>
  </w:style>
  <w:style w:type="paragraph" w:styleId="Heading4">
    <w:name w:val="heading 4"/>
    <w:basedOn w:val="Normal"/>
    <w:next w:val="Normal"/>
    <w:link w:val="Heading4Char"/>
    <w:uiPriority w:val="99"/>
    <w:qFormat/>
    <w:rsid w:val="009C5217"/>
    <w:pPr>
      <w:keepNext/>
      <w:spacing w:before="240" w:after="60"/>
      <w:outlineLvl w:val="3"/>
    </w:pPr>
    <w:rPr>
      <w:b/>
      <w:bCs/>
      <w:sz w:val="28"/>
      <w:szCs w:val="28"/>
    </w:rPr>
  </w:style>
  <w:style w:type="paragraph" w:styleId="Heading6">
    <w:name w:val="heading 6"/>
    <w:basedOn w:val="Normal"/>
    <w:next w:val="Normal"/>
    <w:link w:val="Heading6Char"/>
    <w:uiPriority w:val="99"/>
    <w:qFormat/>
    <w:rsid w:val="00600F9D"/>
    <w:pPr>
      <w:spacing w:before="240" w:after="60"/>
      <w:outlineLvl w:val="5"/>
    </w:pPr>
    <w:rPr>
      <w:b/>
      <w:bCs/>
      <w:sz w:val="22"/>
      <w:szCs w:val="22"/>
    </w:rPr>
  </w:style>
  <w:style w:type="paragraph" w:styleId="Heading9">
    <w:name w:val="heading 9"/>
    <w:basedOn w:val="Normal"/>
    <w:next w:val="Normal"/>
    <w:link w:val="Heading9Char"/>
    <w:uiPriority w:val="99"/>
    <w:qFormat/>
    <w:rsid w:val="004D0E90"/>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17007"/>
    <w:rPr>
      <w:rFonts w:ascii="Cambria" w:hAnsi="Cambria" w:cs="Times New Roman"/>
      <w:b/>
      <w:bCs/>
      <w:kern w:val="32"/>
      <w:sz w:val="32"/>
      <w:szCs w:val="32"/>
    </w:rPr>
  </w:style>
  <w:style w:type="character" w:customStyle="1" w:styleId="Heading2Char">
    <w:name w:val="Heading 2 Char"/>
    <w:link w:val="Heading2"/>
    <w:uiPriority w:val="99"/>
    <w:locked/>
    <w:rsid w:val="00B17007"/>
    <w:rPr>
      <w:rFonts w:ascii="Cambria" w:hAnsi="Cambria" w:cs="Times New Roman"/>
      <w:b/>
      <w:bCs/>
      <w:i/>
      <w:iCs/>
      <w:sz w:val="28"/>
      <w:szCs w:val="28"/>
    </w:rPr>
  </w:style>
  <w:style w:type="character" w:customStyle="1" w:styleId="Heading3Char">
    <w:name w:val="Heading 3 Char"/>
    <w:uiPriority w:val="99"/>
    <w:locked/>
    <w:rsid w:val="002C3782"/>
    <w:rPr>
      <w:rFonts w:ascii="Arial" w:hAnsi="Arial" w:cs="Arial"/>
      <w:b/>
      <w:bCs/>
      <w:sz w:val="26"/>
      <w:szCs w:val="26"/>
      <w:lang w:val="en-AU" w:eastAsia="bg-BG" w:bidi="ar-SA"/>
    </w:rPr>
  </w:style>
  <w:style w:type="character" w:customStyle="1" w:styleId="Heading4Char">
    <w:name w:val="Heading 4 Char"/>
    <w:link w:val="Heading4"/>
    <w:uiPriority w:val="99"/>
    <w:locked/>
    <w:rsid w:val="00B17007"/>
    <w:rPr>
      <w:rFonts w:ascii="Calibri" w:hAnsi="Calibri" w:cs="Times New Roman"/>
      <w:b/>
      <w:bCs/>
      <w:sz w:val="28"/>
      <w:szCs w:val="28"/>
    </w:rPr>
  </w:style>
  <w:style w:type="character" w:customStyle="1" w:styleId="Heading6Char">
    <w:name w:val="Heading 6 Char"/>
    <w:link w:val="Heading6"/>
    <w:uiPriority w:val="99"/>
    <w:locked/>
    <w:rsid w:val="00B17007"/>
    <w:rPr>
      <w:rFonts w:ascii="Calibri" w:hAnsi="Calibri" w:cs="Times New Roman"/>
      <w:b/>
      <w:bCs/>
    </w:rPr>
  </w:style>
  <w:style w:type="character" w:customStyle="1" w:styleId="Heading9Char">
    <w:name w:val="Heading 9 Char"/>
    <w:link w:val="Heading9"/>
    <w:uiPriority w:val="99"/>
    <w:locked/>
    <w:rsid w:val="00B17007"/>
    <w:rPr>
      <w:rFonts w:ascii="Cambria" w:hAnsi="Cambria" w:cs="Times New Roman"/>
    </w:rPr>
  </w:style>
  <w:style w:type="paragraph" w:styleId="BalloonText">
    <w:name w:val="Balloon Text"/>
    <w:basedOn w:val="Normal"/>
    <w:link w:val="BalloonTextChar"/>
    <w:uiPriority w:val="99"/>
    <w:semiHidden/>
    <w:rsid w:val="00FE5827"/>
    <w:rPr>
      <w:rFonts w:ascii="Tahoma" w:hAnsi="Tahoma" w:cs="Tahoma"/>
      <w:sz w:val="16"/>
      <w:szCs w:val="16"/>
    </w:rPr>
  </w:style>
  <w:style w:type="character" w:customStyle="1" w:styleId="BalloonTextChar">
    <w:name w:val="Balloon Text Char"/>
    <w:link w:val="BalloonText"/>
    <w:uiPriority w:val="99"/>
    <w:semiHidden/>
    <w:locked/>
    <w:rsid w:val="00B17007"/>
    <w:rPr>
      <w:rFonts w:cs="Times New Roman"/>
      <w:sz w:val="2"/>
    </w:rPr>
  </w:style>
  <w:style w:type="character" w:customStyle="1" w:styleId="Heading3Char1">
    <w:name w:val="Heading 3 Char1"/>
    <w:link w:val="Heading3"/>
    <w:uiPriority w:val="99"/>
    <w:locked/>
    <w:rsid w:val="009C5217"/>
    <w:rPr>
      <w:rFonts w:ascii="Arial" w:hAnsi="Arial" w:cs="Arial"/>
      <w:b/>
      <w:bCs/>
      <w:sz w:val="26"/>
      <w:szCs w:val="26"/>
      <w:lang w:val="en-AU" w:eastAsia="bg-BG" w:bidi="ar-SA"/>
    </w:rPr>
  </w:style>
  <w:style w:type="paragraph" w:styleId="FootnoteText">
    <w:name w:val="footnote text"/>
    <w:aliases w:val="Fußnotentext arial,Footnote1,Footnote2,Footnote3,stile 1,Footnote4,Footnote5,Footnote6,Footnote7,Footnote8,Footnote9,Footnote10,Footnote11,Footnote21,Footnote31,Footnote41,Footnote51,Footnote61,Footnote71,Footnote81,Footnote91,single space"/>
    <w:basedOn w:val="Normal"/>
    <w:link w:val="FootnoteTextChar"/>
    <w:rsid w:val="004122D2"/>
    <w:rPr>
      <w:sz w:val="20"/>
      <w:szCs w:val="20"/>
    </w:rPr>
  </w:style>
  <w:style w:type="character" w:customStyle="1" w:styleId="FootnoteTextChar">
    <w:name w:val="Footnote Text Char"/>
    <w:aliases w:val="Fußnotentext arial Char,Footnote1 Char,Footnote2 Char,Footnote3 Char,stile 1 Char,Footnote4 Char,Footnote5 Char,Footnote6 Char,Footnote7 Char,Footnote8 Char,Footnote9 Char,Footnote10 Char,Footnote11 Char,Footnote21 Char"/>
    <w:link w:val="FootnoteText"/>
    <w:uiPriority w:val="99"/>
    <w:locked/>
    <w:rsid w:val="00B17007"/>
    <w:rPr>
      <w:rFonts w:cs="Times New Roman"/>
      <w:sz w:val="20"/>
      <w:szCs w:val="20"/>
    </w:rPr>
  </w:style>
  <w:style w:type="character" w:styleId="FootnoteReference">
    <w:name w:val="footnote reference"/>
    <w:aliases w:val="Footnote,Footnote symbol,SUPERS,BVI fnr,Footnote reference number,Times 10 Point,Exposant 3 Point,Ref,de nota al pie,note TESI,EN Footnote text,EN Footnote Reference,Footnote Reference Number,E FNZ,Appel note de bas de p,Nota,BVI fnr1"/>
    <w:uiPriority w:val="99"/>
    <w:rsid w:val="004122D2"/>
    <w:rPr>
      <w:rFonts w:cs="Times New Roman"/>
      <w:vertAlign w:val="superscript"/>
    </w:rPr>
  </w:style>
  <w:style w:type="paragraph" w:styleId="BodyTextIndent">
    <w:name w:val="Body Text Indent"/>
    <w:basedOn w:val="Normal"/>
    <w:link w:val="BodyTextIndentChar"/>
    <w:uiPriority w:val="99"/>
    <w:rsid w:val="004122D2"/>
    <w:pPr>
      <w:spacing w:after="120"/>
      <w:ind w:left="283"/>
    </w:pPr>
    <w:rPr>
      <w:lang w:val="en-GB" w:eastAsia="en-US"/>
    </w:rPr>
  </w:style>
  <w:style w:type="character" w:customStyle="1" w:styleId="BodyTextIndentChar">
    <w:name w:val="Body Text Indent Char"/>
    <w:link w:val="BodyTextIndent"/>
    <w:uiPriority w:val="99"/>
    <w:locked/>
    <w:rsid w:val="00B17007"/>
    <w:rPr>
      <w:rFonts w:cs="Times New Roman"/>
      <w:sz w:val="24"/>
      <w:szCs w:val="24"/>
    </w:rPr>
  </w:style>
  <w:style w:type="paragraph" w:customStyle="1" w:styleId="Char1CharCharChar">
    <w:name w:val="Char1 Char Char Char"/>
    <w:basedOn w:val="Normal"/>
    <w:uiPriority w:val="99"/>
    <w:semiHidden/>
    <w:rsid w:val="004122D2"/>
    <w:pPr>
      <w:tabs>
        <w:tab w:val="left" w:pos="709"/>
      </w:tabs>
    </w:pPr>
    <w:rPr>
      <w:rFonts w:ascii="Futura Bk" w:hAnsi="Futura Bk"/>
      <w:lang w:val="pl-PL" w:eastAsia="pl-PL"/>
    </w:rPr>
  </w:style>
  <w:style w:type="paragraph" w:styleId="Header">
    <w:name w:val="header"/>
    <w:aliases w:val="Header Char,Header Char1 Char,Header Char Char Char,Header Char3 Char Char Char,Header Char1 Char Char Char Char1 Char,Header Char Char Char Char Char Char1 Char,Header Char2 Char1 Char Char Char,Header Char Char Char Char Char"/>
    <w:basedOn w:val="Normal"/>
    <w:link w:val="HeaderChar2"/>
    <w:uiPriority w:val="99"/>
    <w:rsid w:val="009C5217"/>
    <w:pPr>
      <w:tabs>
        <w:tab w:val="center" w:pos="4153"/>
        <w:tab w:val="right" w:pos="8306"/>
      </w:tabs>
    </w:pPr>
  </w:style>
  <w:style w:type="character" w:customStyle="1" w:styleId="HeaderChar1">
    <w:name w:val="Header Char1"/>
    <w:aliases w:val="Header Char Char,Header Char1 Char Char,Header Char Char Char Char,Header Char3 Char Char Char Char,Header Char1 Char Char Char Char1 Char Char,Header Char Char Char Char Char Char1 Char Char,Header Char2 Char1 Char Char Char Char"/>
    <w:uiPriority w:val="99"/>
    <w:semiHidden/>
    <w:locked/>
    <w:rsid w:val="00B17007"/>
    <w:rPr>
      <w:rFonts w:cs="Times New Roman"/>
      <w:sz w:val="24"/>
      <w:szCs w:val="24"/>
    </w:rPr>
  </w:style>
  <w:style w:type="character" w:customStyle="1" w:styleId="HeaderChar2">
    <w:name w:val="Header Char2"/>
    <w:aliases w:val="Header Char Char1,Header Char1 Char Char1,Header Char Char Char Char1,Header Char3 Char Char Char Char1,Header Char1 Char Char Char Char1 Char Char1,Header Char Char Char Char Char Char1 Char Char1,Header Char2 Char1 Char Char Char Char1"/>
    <w:link w:val="Header"/>
    <w:uiPriority w:val="99"/>
    <w:locked/>
    <w:rsid w:val="00964429"/>
    <w:rPr>
      <w:rFonts w:cs="Times New Roman"/>
      <w:sz w:val="24"/>
      <w:szCs w:val="24"/>
      <w:lang w:val="bg-BG" w:eastAsia="bg-BG" w:bidi="ar-SA"/>
    </w:rPr>
  </w:style>
  <w:style w:type="paragraph" w:customStyle="1" w:styleId="font5">
    <w:name w:val="font5"/>
    <w:basedOn w:val="Normal"/>
    <w:uiPriority w:val="99"/>
    <w:rsid w:val="009C5217"/>
    <w:pPr>
      <w:spacing w:before="100" w:beforeAutospacing="1" w:after="100" w:afterAutospacing="1"/>
    </w:pPr>
    <w:rPr>
      <w:b/>
      <w:bCs/>
      <w:sz w:val="16"/>
      <w:szCs w:val="16"/>
      <w:lang w:eastAsia="en-US"/>
    </w:rPr>
  </w:style>
  <w:style w:type="paragraph" w:customStyle="1" w:styleId="font6">
    <w:name w:val="font6"/>
    <w:basedOn w:val="Normal"/>
    <w:uiPriority w:val="99"/>
    <w:rsid w:val="009C5217"/>
    <w:pPr>
      <w:spacing w:before="100" w:beforeAutospacing="1" w:after="100" w:afterAutospacing="1"/>
    </w:pPr>
    <w:rPr>
      <w:sz w:val="16"/>
      <w:szCs w:val="16"/>
      <w:lang w:eastAsia="en-US"/>
    </w:rPr>
  </w:style>
  <w:style w:type="paragraph" w:customStyle="1" w:styleId="Default">
    <w:name w:val="Default"/>
    <w:rsid w:val="009C5217"/>
    <w:pPr>
      <w:autoSpaceDE w:val="0"/>
      <w:autoSpaceDN w:val="0"/>
      <w:adjustRightInd w:val="0"/>
    </w:pPr>
    <w:rPr>
      <w:rFonts w:ascii="Arial" w:hAnsi="Arial" w:cs="Arial"/>
      <w:color w:val="000000"/>
      <w:sz w:val="24"/>
      <w:szCs w:val="24"/>
    </w:rPr>
  </w:style>
  <w:style w:type="paragraph" w:customStyle="1" w:styleId="NormalFirstline">
    <w:name w:val="Normal + First line"/>
    <w:aliases w:val="1.25 cm,After 6 pt"/>
    <w:basedOn w:val="Normal"/>
    <w:uiPriority w:val="99"/>
    <w:rsid w:val="009C5217"/>
    <w:rPr>
      <w:sz w:val="20"/>
      <w:szCs w:val="20"/>
      <w:lang w:eastAsia="en-US"/>
    </w:rPr>
  </w:style>
  <w:style w:type="paragraph" w:customStyle="1" w:styleId="Char">
    <w:name w:val="Char"/>
    <w:basedOn w:val="Normal"/>
    <w:uiPriority w:val="99"/>
    <w:semiHidden/>
    <w:rsid w:val="00D4044A"/>
    <w:pPr>
      <w:tabs>
        <w:tab w:val="left" w:pos="709"/>
      </w:tabs>
    </w:pPr>
    <w:rPr>
      <w:rFonts w:ascii="Futura Bk" w:hAnsi="Futura Bk"/>
      <w:lang w:val="pl-PL" w:eastAsia="pl-PL"/>
    </w:rPr>
  </w:style>
  <w:style w:type="paragraph" w:customStyle="1" w:styleId="Char1">
    <w:name w:val="Char1"/>
    <w:basedOn w:val="Normal"/>
    <w:uiPriority w:val="99"/>
    <w:semiHidden/>
    <w:rsid w:val="00443C14"/>
    <w:pPr>
      <w:tabs>
        <w:tab w:val="left" w:pos="709"/>
      </w:tabs>
    </w:pPr>
    <w:rPr>
      <w:rFonts w:ascii="Futura Bk" w:hAnsi="Futura Bk"/>
      <w:lang w:val="pl-PL" w:eastAsia="pl-PL"/>
    </w:rPr>
  </w:style>
  <w:style w:type="paragraph" w:styleId="BodyTextIndent2">
    <w:name w:val="Body Text Indent 2"/>
    <w:basedOn w:val="Normal"/>
    <w:link w:val="BodyTextIndent2Char"/>
    <w:uiPriority w:val="99"/>
    <w:rsid w:val="006D3A7B"/>
    <w:pPr>
      <w:spacing w:after="120" w:line="480" w:lineRule="auto"/>
      <w:ind w:left="283"/>
    </w:pPr>
  </w:style>
  <w:style w:type="character" w:customStyle="1" w:styleId="BodyTextIndent2Char">
    <w:name w:val="Body Text Indent 2 Char"/>
    <w:link w:val="BodyTextIndent2"/>
    <w:uiPriority w:val="99"/>
    <w:locked/>
    <w:rsid w:val="00B17007"/>
    <w:rPr>
      <w:rFonts w:cs="Times New Roman"/>
      <w:sz w:val="24"/>
      <w:szCs w:val="24"/>
    </w:rPr>
  </w:style>
  <w:style w:type="paragraph" w:styleId="BodyText">
    <w:name w:val="Body Text"/>
    <w:basedOn w:val="Normal"/>
    <w:link w:val="BodyTextChar1"/>
    <w:rsid w:val="000A652B"/>
    <w:pPr>
      <w:spacing w:after="120"/>
    </w:pPr>
  </w:style>
  <w:style w:type="character" w:customStyle="1" w:styleId="BodyTextChar">
    <w:name w:val="Body Text Char"/>
    <w:aliases w:val="block style Char"/>
    <w:uiPriority w:val="99"/>
    <w:locked/>
    <w:rsid w:val="00B17007"/>
    <w:rPr>
      <w:rFonts w:cs="Times New Roman"/>
      <w:sz w:val="24"/>
      <w:szCs w:val="24"/>
    </w:rPr>
  </w:style>
  <w:style w:type="character" w:customStyle="1" w:styleId="BodyTextChar1">
    <w:name w:val="Body Text Char1"/>
    <w:link w:val="BodyText"/>
    <w:locked/>
    <w:rsid w:val="00C159EE"/>
    <w:rPr>
      <w:rFonts w:cs="Times New Roman"/>
      <w:sz w:val="24"/>
      <w:szCs w:val="24"/>
      <w:lang w:val="bg-BG" w:eastAsia="bg-BG" w:bidi="ar-SA"/>
    </w:rPr>
  </w:style>
  <w:style w:type="paragraph" w:customStyle="1" w:styleId="CharCharCharChar1CharCharCharCharCharCharCharCharChar">
    <w:name w:val="Char Char Char Char1 Char Char Char Char Char Char Char Char Char"/>
    <w:basedOn w:val="Normal"/>
    <w:uiPriority w:val="99"/>
    <w:rsid w:val="005623A7"/>
    <w:pPr>
      <w:spacing w:after="160" w:line="240" w:lineRule="exact"/>
    </w:pPr>
    <w:rPr>
      <w:rFonts w:ascii="Tahoma" w:hAnsi="Tahoma"/>
      <w:sz w:val="20"/>
      <w:szCs w:val="20"/>
      <w:lang w:val="en-US" w:eastAsia="en-US"/>
    </w:rPr>
  </w:style>
  <w:style w:type="paragraph" w:styleId="BodyText3">
    <w:name w:val="Body Text 3"/>
    <w:basedOn w:val="Normal"/>
    <w:link w:val="BodyText3Char"/>
    <w:uiPriority w:val="99"/>
    <w:rsid w:val="005623A7"/>
    <w:pPr>
      <w:spacing w:after="120"/>
    </w:pPr>
    <w:rPr>
      <w:sz w:val="16"/>
      <w:szCs w:val="16"/>
    </w:rPr>
  </w:style>
  <w:style w:type="character" w:customStyle="1" w:styleId="BodyText3Char">
    <w:name w:val="Body Text 3 Char"/>
    <w:link w:val="BodyText3"/>
    <w:uiPriority w:val="99"/>
    <w:locked/>
    <w:rsid w:val="00B17007"/>
    <w:rPr>
      <w:rFonts w:cs="Times New Roman"/>
      <w:sz w:val="16"/>
      <w:szCs w:val="16"/>
    </w:rPr>
  </w:style>
  <w:style w:type="paragraph" w:styleId="BodyText2">
    <w:name w:val="Body Text 2"/>
    <w:basedOn w:val="Normal"/>
    <w:link w:val="BodyText2Char"/>
    <w:uiPriority w:val="99"/>
    <w:rsid w:val="005623A7"/>
    <w:pPr>
      <w:spacing w:after="120" w:line="480" w:lineRule="auto"/>
    </w:pPr>
  </w:style>
  <w:style w:type="character" w:customStyle="1" w:styleId="BodyText2Char">
    <w:name w:val="Body Text 2 Char"/>
    <w:link w:val="BodyText2"/>
    <w:uiPriority w:val="99"/>
    <w:locked/>
    <w:rsid w:val="00B17007"/>
    <w:rPr>
      <w:rFonts w:cs="Times New Roman"/>
      <w:sz w:val="24"/>
      <w:szCs w:val="24"/>
    </w:rPr>
  </w:style>
  <w:style w:type="paragraph" w:styleId="BodyTextIndent3">
    <w:name w:val="Body Text Indent 3"/>
    <w:basedOn w:val="Normal"/>
    <w:link w:val="BodyTextIndent3Char"/>
    <w:uiPriority w:val="99"/>
    <w:rsid w:val="005623A7"/>
    <w:pPr>
      <w:spacing w:after="120"/>
      <w:ind w:left="283"/>
    </w:pPr>
    <w:rPr>
      <w:sz w:val="16"/>
      <w:szCs w:val="16"/>
    </w:rPr>
  </w:style>
  <w:style w:type="character" w:customStyle="1" w:styleId="BodyTextIndent3Char">
    <w:name w:val="Body Text Indent 3 Char"/>
    <w:link w:val="BodyTextIndent3"/>
    <w:uiPriority w:val="99"/>
    <w:locked/>
    <w:rsid w:val="00B17007"/>
    <w:rPr>
      <w:rFonts w:cs="Times New Roman"/>
      <w:sz w:val="16"/>
      <w:szCs w:val="16"/>
    </w:rPr>
  </w:style>
  <w:style w:type="paragraph" w:customStyle="1" w:styleId="Style">
    <w:name w:val="Style"/>
    <w:uiPriority w:val="99"/>
    <w:rsid w:val="005623A7"/>
    <w:pPr>
      <w:widowControl w:val="0"/>
      <w:autoSpaceDE w:val="0"/>
      <w:autoSpaceDN w:val="0"/>
      <w:adjustRightInd w:val="0"/>
      <w:ind w:left="140" w:right="140" w:firstLine="840"/>
      <w:jc w:val="both"/>
    </w:pPr>
    <w:rPr>
      <w:sz w:val="24"/>
      <w:szCs w:val="24"/>
    </w:rPr>
  </w:style>
  <w:style w:type="paragraph" w:styleId="BlockText">
    <w:name w:val="Block Text"/>
    <w:basedOn w:val="Normal"/>
    <w:uiPriority w:val="99"/>
    <w:rsid w:val="005623A7"/>
    <w:pPr>
      <w:ind w:left="-851" w:right="-99"/>
    </w:pPr>
    <w:rPr>
      <w:rFonts w:ascii="Arial" w:hAnsi="Arial"/>
      <w:szCs w:val="20"/>
      <w:lang w:eastAsia="en-US"/>
    </w:rPr>
  </w:style>
  <w:style w:type="paragraph" w:customStyle="1" w:styleId="Char1CharChar1CharCharCharChar1CharCharChar">
    <w:name w:val="Char1 Char Char1 Char Char Char Char1 Char Char Char"/>
    <w:basedOn w:val="Normal"/>
    <w:uiPriority w:val="99"/>
    <w:rsid w:val="005623A7"/>
    <w:pPr>
      <w:tabs>
        <w:tab w:val="left" w:pos="709"/>
      </w:tabs>
      <w:spacing w:line="360" w:lineRule="auto"/>
    </w:pPr>
    <w:rPr>
      <w:rFonts w:ascii="Tahoma" w:hAnsi="Tahoma"/>
      <w:lang w:val="pl-PL" w:eastAsia="pl-PL"/>
    </w:rPr>
  </w:style>
  <w:style w:type="paragraph" w:customStyle="1" w:styleId="a">
    <w:name w:val="Знак"/>
    <w:basedOn w:val="Normal"/>
    <w:uiPriority w:val="99"/>
    <w:rsid w:val="005623A7"/>
    <w:pPr>
      <w:spacing w:after="160" w:line="240" w:lineRule="exact"/>
    </w:pPr>
    <w:rPr>
      <w:rFonts w:ascii="Tahoma" w:hAnsi="Tahoma"/>
      <w:sz w:val="20"/>
      <w:szCs w:val="20"/>
      <w:lang w:val="en-US" w:eastAsia="en-US"/>
    </w:rPr>
  </w:style>
  <w:style w:type="paragraph" w:styleId="TOC1">
    <w:name w:val="toc 1"/>
    <w:basedOn w:val="Normal"/>
    <w:next w:val="Normal"/>
    <w:autoRedefine/>
    <w:uiPriority w:val="39"/>
    <w:rsid w:val="00646840"/>
    <w:pPr>
      <w:tabs>
        <w:tab w:val="right" w:leader="dot" w:pos="9720"/>
      </w:tabs>
      <w:ind w:left="-539" w:right="-517" w:hanging="361"/>
    </w:pPr>
    <w:rPr>
      <w:b/>
      <w:noProof/>
      <w:color w:val="000000"/>
      <w:sz w:val="21"/>
      <w:szCs w:val="22"/>
    </w:rPr>
  </w:style>
  <w:style w:type="paragraph" w:styleId="TOC2">
    <w:name w:val="toc 2"/>
    <w:basedOn w:val="Normal"/>
    <w:next w:val="Normal"/>
    <w:autoRedefine/>
    <w:uiPriority w:val="39"/>
    <w:rsid w:val="00295580"/>
    <w:pPr>
      <w:tabs>
        <w:tab w:val="right" w:leader="dot" w:pos="9720"/>
      </w:tabs>
      <w:ind w:left="240" w:right="-157" w:hanging="420"/>
    </w:pPr>
    <w:rPr>
      <w:b/>
      <w:noProof/>
      <w:color w:val="000000"/>
      <w:sz w:val="22"/>
      <w:szCs w:val="22"/>
    </w:rPr>
  </w:style>
  <w:style w:type="paragraph" w:styleId="TOC3">
    <w:name w:val="toc 3"/>
    <w:basedOn w:val="Normal"/>
    <w:next w:val="Normal"/>
    <w:autoRedefine/>
    <w:uiPriority w:val="39"/>
    <w:rsid w:val="00557105"/>
    <w:pPr>
      <w:tabs>
        <w:tab w:val="left" w:pos="540"/>
        <w:tab w:val="left" w:pos="720"/>
        <w:tab w:val="left" w:pos="900"/>
        <w:tab w:val="right" w:leader="dot" w:pos="9720"/>
      </w:tabs>
      <w:ind w:left="181" w:right="-517" w:hanging="1"/>
    </w:pPr>
    <w:rPr>
      <w:noProof/>
      <w:color w:val="000000"/>
    </w:rPr>
  </w:style>
  <w:style w:type="character" w:styleId="Hyperlink">
    <w:name w:val="Hyperlink"/>
    <w:uiPriority w:val="99"/>
    <w:rsid w:val="00ED5678"/>
    <w:rPr>
      <w:rFonts w:cs="Times New Roman"/>
      <w:color w:val="0000FF"/>
      <w:u w:val="single"/>
    </w:rPr>
  </w:style>
  <w:style w:type="character" w:styleId="CommentReference">
    <w:name w:val="annotation reference"/>
    <w:uiPriority w:val="99"/>
    <w:semiHidden/>
    <w:rsid w:val="00FE5827"/>
    <w:rPr>
      <w:rFonts w:cs="Times New Roman"/>
      <w:sz w:val="16"/>
      <w:szCs w:val="16"/>
    </w:rPr>
  </w:style>
  <w:style w:type="paragraph" w:styleId="CommentText">
    <w:name w:val="annotation text"/>
    <w:basedOn w:val="Normal"/>
    <w:link w:val="CommentTextChar"/>
    <w:uiPriority w:val="99"/>
    <w:semiHidden/>
    <w:rsid w:val="00FE5827"/>
    <w:rPr>
      <w:sz w:val="20"/>
      <w:szCs w:val="20"/>
    </w:rPr>
  </w:style>
  <w:style w:type="character" w:customStyle="1" w:styleId="CommentTextChar">
    <w:name w:val="Comment Text Char"/>
    <w:link w:val="CommentText"/>
    <w:uiPriority w:val="99"/>
    <w:semiHidden/>
    <w:locked/>
    <w:rsid w:val="00B17007"/>
    <w:rPr>
      <w:rFonts w:cs="Times New Roman"/>
      <w:sz w:val="20"/>
      <w:szCs w:val="20"/>
    </w:rPr>
  </w:style>
  <w:style w:type="paragraph" w:customStyle="1" w:styleId="a0">
    <w:name w:val="Обикн. параграф"/>
    <w:basedOn w:val="Normal"/>
    <w:uiPriority w:val="99"/>
    <w:rsid w:val="00964429"/>
    <w:pPr>
      <w:spacing w:before="120" w:line="360" w:lineRule="auto"/>
      <w:ind w:firstLine="720"/>
      <w:jc w:val="both"/>
    </w:pPr>
    <w:rPr>
      <w:szCs w:val="20"/>
      <w:lang w:eastAsia="en-US"/>
    </w:rPr>
  </w:style>
  <w:style w:type="paragraph" w:styleId="Caption">
    <w:name w:val="caption"/>
    <w:basedOn w:val="Normal"/>
    <w:next w:val="Normal"/>
    <w:uiPriority w:val="99"/>
    <w:qFormat/>
    <w:rsid w:val="00964429"/>
    <w:pPr>
      <w:spacing w:before="120" w:after="120"/>
    </w:pPr>
    <w:rPr>
      <w:b/>
      <w:bCs/>
      <w:sz w:val="20"/>
      <w:szCs w:val="20"/>
      <w:lang w:val="en-GB" w:eastAsia="en-US"/>
    </w:rPr>
  </w:style>
  <w:style w:type="paragraph" w:customStyle="1" w:styleId="CharCharCharCharCharCharCharCharCharCharCharChar">
    <w:name w:val="Знак Char Char Char Знак Char Char Char Char Знак Char Знак Char Char Char Знак Char Знак"/>
    <w:basedOn w:val="Normal"/>
    <w:uiPriority w:val="99"/>
    <w:semiHidden/>
    <w:rsid w:val="00FF0656"/>
    <w:pPr>
      <w:tabs>
        <w:tab w:val="left" w:pos="709"/>
      </w:tabs>
    </w:pPr>
    <w:rPr>
      <w:rFonts w:ascii="Futura Bk" w:hAnsi="Futura Bk"/>
      <w:sz w:val="20"/>
      <w:lang w:val="pl-PL" w:eastAsia="pl-PL"/>
    </w:rPr>
  </w:style>
  <w:style w:type="character" w:styleId="PageNumber">
    <w:name w:val="page number"/>
    <w:uiPriority w:val="99"/>
    <w:rsid w:val="00600F9D"/>
    <w:rPr>
      <w:rFonts w:cs="Times New Roman"/>
    </w:rPr>
  </w:style>
  <w:style w:type="paragraph" w:customStyle="1" w:styleId="NormalFirstline1">
    <w:name w:val="Normal+First line:1"/>
    <w:aliases w:val="25 cm,After:6 pt"/>
    <w:basedOn w:val="Normal"/>
    <w:uiPriority w:val="99"/>
    <w:rsid w:val="00674C44"/>
    <w:pPr>
      <w:spacing w:after="120"/>
      <w:ind w:firstLine="720"/>
    </w:pPr>
    <w:rPr>
      <w:lang w:eastAsia="en-US"/>
    </w:rPr>
  </w:style>
  <w:style w:type="character" w:styleId="FollowedHyperlink">
    <w:name w:val="FollowedHyperlink"/>
    <w:uiPriority w:val="99"/>
    <w:rsid w:val="0029769D"/>
    <w:rPr>
      <w:rFonts w:cs="Times New Roman"/>
      <w:color w:val="800080"/>
      <w:u w:val="single"/>
    </w:rPr>
  </w:style>
  <w:style w:type="paragraph" w:customStyle="1" w:styleId="firstline">
    <w:name w:val="firstline"/>
    <w:basedOn w:val="Normal"/>
    <w:uiPriority w:val="99"/>
    <w:rsid w:val="002D7859"/>
    <w:pPr>
      <w:spacing w:line="240" w:lineRule="atLeast"/>
      <w:ind w:firstLine="640"/>
      <w:jc w:val="both"/>
    </w:pPr>
    <w:rPr>
      <w:color w:val="000000"/>
    </w:rPr>
  </w:style>
  <w:style w:type="paragraph" w:styleId="PlainText">
    <w:name w:val="Plain Text"/>
    <w:basedOn w:val="Normal"/>
    <w:link w:val="PlainTextChar"/>
    <w:uiPriority w:val="99"/>
    <w:rsid w:val="00C37C2F"/>
    <w:pPr>
      <w:spacing w:before="100" w:beforeAutospacing="1" w:after="100" w:afterAutospacing="1"/>
    </w:pPr>
  </w:style>
  <w:style w:type="character" w:customStyle="1" w:styleId="PlainTextChar">
    <w:name w:val="Plain Text Char"/>
    <w:link w:val="PlainText"/>
    <w:uiPriority w:val="99"/>
    <w:locked/>
    <w:rsid w:val="00B17007"/>
    <w:rPr>
      <w:rFonts w:ascii="Courier New" w:hAnsi="Courier New" w:cs="Courier New"/>
      <w:sz w:val="20"/>
      <w:szCs w:val="20"/>
    </w:rPr>
  </w:style>
  <w:style w:type="character" w:customStyle="1" w:styleId="selection">
    <w:name w:val="selection"/>
    <w:uiPriority w:val="99"/>
    <w:rsid w:val="005806ED"/>
    <w:rPr>
      <w:rFonts w:cs="Times New Roman"/>
    </w:rPr>
  </w:style>
  <w:style w:type="paragraph" w:styleId="Footer">
    <w:name w:val="footer"/>
    <w:basedOn w:val="Normal"/>
    <w:link w:val="FooterChar"/>
    <w:uiPriority w:val="99"/>
    <w:rsid w:val="00797BA4"/>
    <w:pPr>
      <w:tabs>
        <w:tab w:val="center" w:pos="4536"/>
        <w:tab w:val="right" w:pos="9072"/>
      </w:tabs>
    </w:pPr>
  </w:style>
  <w:style w:type="character" w:customStyle="1" w:styleId="FooterChar">
    <w:name w:val="Footer Char"/>
    <w:link w:val="Footer"/>
    <w:uiPriority w:val="99"/>
    <w:locked/>
    <w:rsid w:val="00B17007"/>
    <w:rPr>
      <w:rFonts w:cs="Times New Roman"/>
      <w:sz w:val="24"/>
      <w:szCs w:val="24"/>
    </w:rPr>
  </w:style>
  <w:style w:type="paragraph" w:styleId="Title">
    <w:name w:val="Title"/>
    <w:basedOn w:val="Normal"/>
    <w:link w:val="TitleChar"/>
    <w:uiPriority w:val="99"/>
    <w:qFormat/>
    <w:rsid w:val="008E5000"/>
    <w:pPr>
      <w:spacing w:after="200"/>
      <w:ind w:firstLine="720"/>
      <w:jc w:val="center"/>
    </w:pPr>
    <w:rPr>
      <w:b/>
      <w:bCs/>
      <w:szCs w:val="20"/>
      <w:lang w:eastAsia="en-US"/>
    </w:rPr>
  </w:style>
  <w:style w:type="character" w:customStyle="1" w:styleId="TitleChar">
    <w:name w:val="Title Char"/>
    <w:link w:val="Title"/>
    <w:uiPriority w:val="99"/>
    <w:locked/>
    <w:rsid w:val="00B17007"/>
    <w:rPr>
      <w:rFonts w:ascii="Cambria" w:hAnsi="Cambria" w:cs="Times New Roman"/>
      <w:b/>
      <w:bCs/>
      <w:kern w:val="28"/>
      <w:sz w:val="32"/>
      <w:szCs w:val="32"/>
    </w:rPr>
  </w:style>
  <w:style w:type="paragraph" w:styleId="Index1">
    <w:name w:val="index 1"/>
    <w:basedOn w:val="Normal"/>
    <w:next w:val="Normal"/>
    <w:autoRedefine/>
    <w:uiPriority w:val="99"/>
    <w:semiHidden/>
    <w:rsid w:val="00D90A8E"/>
    <w:pPr>
      <w:ind w:left="240" w:hanging="240"/>
    </w:pPr>
  </w:style>
  <w:style w:type="paragraph" w:styleId="DocumentMap">
    <w:name w:val="Document Map"/>
    <w:basedOn w:val="Normal"/>
    <w:link w:val="DocumentMapChar"/>
    <w:uiPriority w:val="99"/>
    <w:semiHidden/>
    <w:rsid w:val="00017EB1"/>
    <w:pPr>
      <w:shd w:val="clear" w:color="auto" w:fill="000080"/>
    </w:pPr>
    <w:rPr>
      <w:rFonts w:ascii="Tahoma" w:hAnsi="Tahoma" w:cs="Tahoma"/>
      <w:sz w:val="20"/>
      <w:szCs w:val="20"/>
    </w:rPr>
  </w:style>
  <w:style w:type="character" w:customStyle="1" w:styleId="DocumentMapChar">
    <w:name w:val="Document Map Char"/>
    <w:link w:val="DocumentMap"/>
    <w:uiPriority w:val="99"/>
    <w:semiHidden/>
    <w:locked/>
    <w:rsid w:val="00B17007"/>
    <w:rPr>
      <w:rFonts w:cs="Times New Roman"/>
      <w:sz w:val="2"/>
    </w:rPr>
  </w:style>
  <w:style w:type="character" w:styleId="Strong">
    <w:name w:val="Strong"/>
    <w:uiPriority w:val="99"/>
    <w:qFormat/>
    <w:rsid w:val="001A4F7D"/>
    <w:rPr>
      <w:rFonts w:cs="Times New Roman"/>
      <w:b/>
      <w:bCs/>
    </w:rPr>
  </w:style>
  <w:style w:type="paragraph" w:styleId="NormalWeb">
    <w:name w:val="Normal (Web)"/>
    <w:basedOn w:val="Normal"/>
    <w:uiPriority w:val="99"/>
    <w:rsid w:val="00507250"/>
    <w:pPr>
      <w:spacing w:before="100" w:beforeAutospacing="1" w:after="100" w:afterAutospacing="1"/>
    </w:pPr>
  </w:style>
  <w:style w:type="table" w:styleId="TableGrid">
    <w:name w:val="Table Grid"/>
    <w:basedOn w:val="TableNormal"/>
    <w:uiPriority w:val="99"/>
    <w:rsid w:val="00E66B0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s">
    <w:name w:val="news"/>
    <w:basedOn w:val="Normal"/>
    <w:uiPriority w:val="99"/>
    <w:rsid w:val="00C159EE"/>
    <w:pPr>
      <w:spacing w:before="100" w:after="100"/>
    </w:pPr>
    <w:rPr>
      <w:rFonts w:ascii="Verdana" w:hAnsi="Verdana"/>
      <w:color w:val="000000"/>
      <w:sz w:val="17"/>
      <w:szCs w:val="20"/>
      <w:lang w:val="en-US"/>
    </w:rPr>
  </w:style>
  <w:style w:type="paragraph" w:customStyle="1" w:styleId="a1">
    <w:name w:val="Знак Знак"/>
    <w:basedOn w:val="Normal"/>
    <w:uiPriority w:val="99"/>
    <w:rsid w:val="009201BB"/>
    <w:pPr>
      <w:tabs>
        <w:tab w:val="left" w:pos="709"/>
      </w:tabs>
    </w:pPr>
    <w:rPr>
      <w:rFonts w:ascii="Tahoma" w:hAnsi="Tahoma"/>
      <w:lang w:val="pl-PL" w:eastAsia="pl-PL"/>
    </w:rPr>
  </w:style>
  <w:style w:type="paragraph" w:customStyle="1" w:styleId="NormalBold">
    <w:name w:val="Normal + Bold"/>
    <w:basedOn w:val="Normal"/>
    <w:uiPriority w:val="99"/>
    <w:rsid w:val="00632D9F"/>
    <w:pPr>
      <w:ind w:firstLine="708"/>
      <w:jc w:val="both"/>
    </w:pPr>
    <w:rPr>
      <w:b/>
    </w:rPr>
  </w:style>
  <w:style w:type="paragraph" w:styleId="CommentSubject">
    <w:name w:val="annotation subject"/>
    <w:basedOn w:val="CommentText"/>
    <w:next w:val="CommentText"/>
    <w:link w:val="CommentSubjectChar"/>
    <w:uiPriority w:val="99"/>
    <w:semiHidden/>
    <w:rsid w:val="008B6959"/>
    <w:rPr>
      <w:b/>
      <w:bCs/>
    </w:rPr>
  </w:style>
  <w:style w:type="character" w:customStyle="1" w:styleId="CommentSubjectChar">
    <w:name w:val="Comment Subject Char"/>
    <w:link w:val="CommentSubject"/>
    <w:uiPriority w:val="99"/>
    <w:semiHidden/>
    <w:locked/>
    <w:rsid w:val="00B17007"/>
    <w:rPr>
      <w:rFonts w:cs="Times New Roman"/>
      <w:b/>
      <w:bCs/>
      <w:sz w:val="20"/>
      <w:szCs w:val="20"/>
    </w:rPr>
  </w:style>
  <w:style w:type="paragraph" w:customStyle="1" w:styleId="CharCharCharCharCharCharCharCharCharCharCharCharCharCharCharCharCharCharCharCharChar1CharCharCharCharCharCharCharCharCharCharCharChar1">
    <w:name w:val="Char Char Char Char Char Char Char Char Char Char Char Char Char Char Char Char Char Char Char Char Char1 Char Char Char Char Char Char Char Char Char Char Char Char1"/>
    <w:basedOn w:val="Normal"/>
    <w:uiPriority w:val="99"/>
    <w:rsid w:val="00BC0C49"/>
    <w:pPr>
      <w:tabs>
        <w:tab w:val="left" w:pos="709"/>
      </w:tabs>
    </w:pPr>
    <w:rPr>
      <w:rFonts w:ascii="Tahoma" w:hAnsi="Tahoma"/>
      <w:lang w:val="pl-PL" w:eastAsia="pl-PL"/>
    </w:rPr>
  </w:style>
  <w:style w:type="paragraph" w:customStyle="1" w:styleId="xl35">
    <w:name w:val="xl35"/>
    <w:basedOn w:val="Normal"/>
    <w:uiPriority w:val="99"/>
    <w:rsid w:val="00BC0C49"/>
    <w:pPr>
      <w:pBdr>
        <w:left w:val="single" w:sz="4" w:space="0" w:color="auto"/>
        <w:right w:val="single" w:sz="4" w:space="0" w:color="auto"/>
      </w:pBdr>
      <w:shd w:val="clear" w:color="auto" w:fill="C0C0C0"/>
      <w:spacing w:before="100" w:beforeAutospacing="1" w:after="100" w:afterAutospacing="1"/>
    </w:pPr>
    <w:rPr>
      <w:b/>
      <w:bCs/>
      <w:lang w:val="en-GB" w:eastAsia="en-US"/>
    </w:rPr>
  </w:style>
  <w:style w:type="paragraph" w:styleId="EndnoteText">
    <w:name w:val="endnote text"/>
    <w:basedOn w:val="Normal"/>
    <w:link w:val="EndnoteTextChar"/>
    <w:uiPriority w:val="99"/>
    <w:semiHidden/>
    <w:rsid w:val="00586A07"/>
    <w:rPr>
      <w:sz w:val="20"/>
      <w:szCs w:val="20"/>
    </w:rPr>
  </w:style>
  <w:style w:type="character" w:customStyle="1" w:styleId="EndnoteTextChar">
    <w:name w:val="Endnote Text Char"/>
    <w:link w:val="EndnoteText"/>
    <w:uiPriority w:val="99"/>
    <w:semiHidden/>
    <w:locked/>
    <w:rsid w:val="00B17007"/>
    <w:rPr>
      <w:rFonts w:cs="Times New Roman"/>
      <w:sz w:val="20"/>
      <w:szCs w:val="20"/>
    </w:rPr>
  </w:style>
  <w:style w:type="character" w:styleId="EndnoteReference">
    <w:name w:val="endnote reference"/>
    <w:uiPriority w:val="99"/>
    <w:semiHidden/>
    <w:rsid w:val="00586A07"/>
    <w:rPr>
      <w:rFonts w:cs="Times New Roman"/>
      <w:vertAlign w:val="superscript"/>
    </w:rPr>
  </w:style>
  <w:style w:type="paragraph" w:customStyle="1" w:styleId="CharCharCharChar">
    <w:name w:val="Char Char Char Char"/>
    <w:basedOn w:val="Normal"/>
    <w:uiPriority w:val="99"/>
    <w:rsid w:val="002F7471"/>
    <w:pPr>
      <w:spacing w:after="160" w:line="240" w:lineRule="exact"/>
    </w:pPr>
    <w:rPr>
      <w:rFonts w:ascii="Tahoma" w:hAnsi="Tahoma"/>
      <w:sz w:val="20"/>
      <w:szCs w:val="20"/>
      <w:lang w:val="en-US" w:eastAsia="en-US"/>
    </w:rPr>
  </w:style>
  <w:style w:type="character" w:customStyle="1" w:styleId="FontStyle17">
    <w:name w:val="Font Style17"/>
    <w:uiPriority w:val="99"/>
    <w:rsid w:val="00C65203"/>
    <w:rPr>
      <w:rFonts w:ascii="Times New Roman" w:hAnsi="Times New Roman"/>
      <w:sz w:val="22"/>
    </w:rPr>
  </w:style>
  <w:style w:type="character" w:customStyle="1" w:styleId="FontStyle25">
    <w:name w:val="Font Style25"/>
    <w:uiPriority w:val="99"/>
    <w:rsid w:val="00C65203"/>
    <w:rPr>
      <w:rFonts w:ascii="Arial" w:hAnsi="Arial"/>
      <w:sz w:val="20"/>
    </w:rPr>
  </w:style>
  <w:style w:type="paragraph" w:styleId="ListParagraph">
    <w:name w:val="List Paragraph"/>
    <w:basedOn w:val="Normal"/>
    <w:uiPriority w:val="34"/>
    <w:qFormat/>
    <w:rsid w:val="00174EA8"/>
    <w:pPr>
      <w:ind w:left="720"/>
      <w:contextualSpacing/>
    </w:pPr>
  </w:style>
  <w:style w:type="character" w:customStyle="1" w:styleId="FootnoteCharacters">
    <w:name w:val="Footnote Characters"/>
    <w:uiPriority w:val="99"/>
    <w:rsid w:val="0027644C"/>
    <w:rPr>
      <w:rFonts w:cs="Times New Roman"/>
      <w:vertAlign w:val="superscript"/>
    </w:rPr>
  </w:style>
  <w:style w:type="character" w:customStyle="1" w:styleId="longtext">
    <w:name w:val="long_text"/>
    <w:uiPriority w:val="99"/>
    <w:rsid w:val="00B722CB"/>
    <w:rPr>
      <w:rFonts w:cs="Times New Roman"/>
    </w:rPr>
  </w:style>
  <w:style w:type="table" w:styleId="TableWeb3">
    <w:name w:val="Table Web 3"/>
    <w:basedOn w:val="TableNormal"/>
    <w:uiPriority w:val="99"/>
    <w:rsid w:val="00C26BEB"/>
    <w:rPr>
      <w:rFonts w:eastAsia="Batang"/>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paragraph" w:customStyle="1" w:styleId="Style2">
    <w:name w:val="Style2"/>
    <w:basedOn w:val="Normal"/>
    <w:uiPriority w:val="99"/>
    <w:rsid w:val="00C26BEB"/>
    <w:rPr>
      <w:rFonts w:eastAsia="Batang"/>
      <w:lang w:eastAsia="ko-KR"/>
    </w:rPr>
  </w:style>
  <w:style w:type="paragraph" w:customStyle="1" w:styleId="footnot">
    <w:name w:val="footnot"/>
    <w:basedOn w:val="FootnoteText"/>
    <w:link w:val="footnotChar"/>
    <w:uiPriority w:val="99"/>
    <w:rsid w:val="0065435E"/>
    <w:pPr>
      <w:spacing w:after="60"/>
      <w:jc w:val="both"/>
    </w:pPr>
    <w:rPr>
      <w:rFonts w:ascii="Verdana" w:hAnsi="Verdana"/>
      <w:i/>
      <w:w w:val="90"/>
      <w:sz w:val="16"/>
    </w:rPr>
  </w:style>
  <w:style w:type="character" w:customStyle="1" w:styleId="footnotChar">
    <w:name w:val="footnot Char"/>
    <w:link w:val="footnot"/>
    <w:uiPriority w:val="99"/>
    <w:locked/>
    <w:rsid w:val="0065435E"/>
    <w:rPr>
      <w:rFonts w:ascii="Verdana" w:hAnsi="Verdana"/>
      <w:i/>
      <w:w w:val="90"/>
      <w:sz w:val="16"/>
      <w:lang w:val="bg-BG" w:eastAsia="bg-BG"/>
    </w:rPr>
  </w:style>
  <w:style w:type="table" w:styleId="TableContemporary">
    <w:name w:val="Table Contemporary"/>
    <w:basedOn w:val="TableNormal"/>
    <w:uiPriority w:val="99"/>
    <w:rsid w:val="00AE051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paragraph" w:customStyle="1" w:styleId="CharCharCharCharCharCharChar">
    <w:name w:val="Char Char Знак Знак Char Знак Знак Char Char Char Знак Знак Char"/>
    <w:basedOn w:val="Normal"/>
    <w:uiPriority w:val="99"/>
    <w:rsid w:val="00D12312"/>
    <w:pPr>
      <w:tabs>
        <w:tab w:val="left" w:pos="709"/>
      </w:tabs>
    </w:pPr>
    <w:rPr>
      <w:rFonts w:ascii="Tahoma" w:hAnsi="Tahoma"/>
      <w:lang w:val="pl-PL" w:eastAsia="pl-PL"/>
    </w:rPr>
  </w:style>
  <w:style w:type="paragraph" w:customStyle="1" w:styleId="footnote">
    <w:name w:val="footnote"/>
    <w:basedOn w:val="Normal"/>
    <w:link w:val="footnoteChar"/>
    <w:uiPriority w:val="99"/>
    <w:rsid w:val="00211F7E"/>
    <w:pPr>
      <w:jc w:val="both"/>
    </w:pPr>
    <w:rPr>
      <w:rFonts w:ascii="Verdana" w:hAnsi="Verdana"/>
      <w:sz w:val="14"/>
      <w:szCs w:val="20"/>
      <w:lang w:eastAsia="en-US"/>
    </w:rPr>
  </w:style>
  <w:style w:type="character" w:customStyle="1" w:styleId="footnoteChar">
    <w:name w:val="footnote Char"/>
    <w:link w:val="footnote"/>
    <w:uiPriority w:val="99"/>
    <w:locked/>
    <w:rsid w:val="00211F7E"/>
    <w:rPr>
      <w:rFonts w:ascii="Verdana" w:hAnsi="Verdana"/>
      <w:sz w:val="14"/>
      <w:lang w:val="bg-BG" w:eastAsia="en-US"/>
    </w:rPr>
  </w:style>
  <w:style w:type="paragraph" w:customStyle="1" w:styleId="thefirstparagraph">
    <w:name w:val="the first paragraph"/>
    <w:basedOn w:val="Normal"/>
    <w:link w:val="thefirstparagraphChar"/>
    <w:uiPriority w:val="99"/>
    <w:rsid w:val="00211F7E"/>
    <w:pPr>
      <w:spacing w:after="120" w:line="260" w:lineRule="atLeast"/>
      <w:ind w:firstLine="567"/>
      <w:jc w:val="both"/>
    </w:pPr>
    <w:rPr>
      <w:rFonts w:ascii="Verdana" w:hAnsi="Verdana"/>
      <w:szCs w:val="20"/>
      <w:lang w:eastAsia="en-US"/>
    </w:rPr>
  </w:style>
  <w:style w:type="character" w:customStyle="1" w:styleId="thefirstparagraphChar">
    <w:name w:val="the first paragraph Char"/>
    <w:link w:val="thefirstparagraph"/>
    <w:uiPriority w:val="99"/>
    <w:locked/>
    <w:rsid w:val="00211F7E"/>
    <w:rPr>
      <w:rFonts w:ascii="Verdana" w:hAnsi="Verdana"/>
      <w:sz w:val="24"/>
      <w:lang w:val="bg-BG" w:eastAsia="en-US"/>
    </w:rPr>
  </w:style>
  <w:style w:type="character" w:styleId="Emphasis">
    <w:name w:val="Emphasis"/>
    <w:uiPriority w:val="99"/>
    <w:qFormat/>
    <w:rsid w:val="0030043D"/>
    <w:rPr>
      <w:rFonts w:cs="Times New Roman"/>
      <w:i/>
      <w:iCs/>
    </w:rPr>
  </w:style>
  <w:style w:type="character" w:customStyle="1" w:styleId="CharChar">
    <w:name w:val="Char Char"/>
    <w:uiPriority w:val="99"/>
    <w:rsid w:val="00FD1A7F"/>
    <w:rPr>
      <w:sz w:val="24"/>
      <w:lang w:val="bg-BG" w:eastAsia="bg-BG"/>
    </w:rPr>
  </w:style>
  <w:style w:type="paragraph" w:styleId="TOC4">
    <w:name w:val="toc 4"/>
    <w:basedOn w:val="Normal"/>
    <w:next w:val="Normal"/>
    <w:autoRedefine/>
    <w:uiPriority w:val="99"/>
    <w:locked/>
    <w:rsid w:val="002A7AB2"/>
    <w:pPr>
      <w:ind w:left="720"/>
    </w:pPr>
  </w:style>
  <w:style w:type="paragraph" w:styleId="TOC5">
    <w:name w:val="toc 5"/>
    <w:basedOn w:val="Normal"/>
    <w:next w:val="Normal"/>
    <w:autoRedefine/>
    <w:uiPriority w:val="99"/>
    <w:locked/>
    <w:rsid w:val="002A7AB2"/>
    <w:pPr>
      <w:ind w:left="960"/>
    </w:pPr>
  </w:style>
  <w:style w:type="paragraph" w:styleId="TOC6">
    <w:name w:val="toc 6"/>
    <w:basedOn w:val="Normal"/>
    <w:next w:val="Normal"/>
    <w:autoRedefine/>
    <w:uiPriority w:val="99"/>
    <w:locked/>
    <w:rsid w:val="002A7AB2"/>
    <w:pPr>
      <w:ind w:left="1200"/>
    </w:pPr>
  </w:style>
  <w:style w:type="paragraph" w:styleId="TOC7">
    <w:name w:val="toc 7"/>
    <w:basedOn w:val="Normal"/>
    <w:next w:val="Normal"/>
    <w:autoRedefine/>
    <w:uiPriority w:val="99"/>
    <w:locked/>
    <w:rsid w:val="002A7AB2"/>
    <w:pPr>
      <w:ind w:left="1440"/>
    </w:pPr>
  </w:style>
  <w:style w:type="paragraph" w:styleId="TOC8">
    <w:name w:val="toc 8"/>
    <w:basedOn w:val="Normal"/>
    <w:next w:val="Normal"/>
    <w:autoRedefine/>
    <w:uiPriority w:val="99"/>
    <w:locked/>
    <w:rsid w:val="002A7AB2"/>
    <w:pPr>
      <w:ind w:left="1680"/>
    </w:pPr>
  </w:style>
  <w:style w:type="paragraph" w:styleId="TOC9">
    <w:name w:val="toc 9"/>
    <w:basedOn w:val="Normal"/>
    <w:next w:val="Normal"/>
    <w:autoRedefine/>
    <w:uiPriority w:val="99"/>
    <w:locked/>
    <w:rsid w:val="002A7AB2"/>
    <w:pPr>
      <w:ind w:left="1920"/>
    </w:pPr>
  </w:style>
  <w:style w:type="character" w:customStyle="1" w:styleId="CharChar1">
    <w:name w:val="Char Char1"/>
    <w:uiPriority w:val="99"/>
    <w:rsid w:val="00287093"/>
    <w:rPr>
      <w:rFonts w:cs="Times New Roman"/>
      <w:sz w:val="24"/>
      <w:szCs w:val="24"/>
      <w:lang w:val="bg-BG" w:eastAsia="bg-BG" w:bidi="ar-SA"/>
    </w:rPr>
  </w:style>
  <w:style w:type="character" w:customStyle="1" w:styleId="CharChar11">
    <w:name w:val="Char Char11"/>
    <w:uiPriority w:val="99"/>
    <w:rsid w:val="00EC12E6"/>
    <w:rPr>
      <w:rFonts w:ascii="Arial" w:hAnsi="Arial" w:cs="Arial"/>
      <w:b/>
      <w:bCs/>
      <w:sz w:val="26"/>
      <w:szCs w:val="26"/>
      <w:lang w:val="en-AU" w:eastAsia="bg-BG" w:bidi="ar-SA"/>
    </w:rPr>
  </w:style>
  <w:style w:type="character" w:customStyle="1" w:styleId="CharChar2">
    <w:name w:val="Char Char2"/>
    <w:uiPriority w:val="99"/>
    <w:rsid w:val="006E4DEB"/>
    <w:rPr>
      <w:rFonts w:cs="Times New Roman"/>
      <w:sz w:val="24"/>
      <w:szCs w:val="24"/>
      <w:lang w:val="bg-BG" w:eastAsia="bg-BG" w:bidi="ar-SA"/>
    </w:rPr>
  </w:style>
  <w:style w:type="paragraph" w:customStyle="1" w:styleId="Char11">
    <w:name w:val="Char11"/>
    <w:basedOn w:val="Normal"/>
    <w:uiPriority w:val="99"/>
    <w:semiHidden/>
    <w:rsid w:val="00890890"/>
    <w:pPr>
      <w:tabs>
        <w:tab w:val="left" w:pos="709"/>
      </w:tabs>
    </w:pPr>
    <w:rPr>
      <w:rFonts w:ascii="Futura Bk" w:hAnsi="Futura Bk"/>
      <w:lang w:val="pl-PL" w:eastAsia="pl-PL"/>
    </w:rPr>
  </w:style>
  <w:style w:type="paragraph" w:styleId="NoSpacing">
    <w:name w:val="No Spacing"/>
    <w:uiPriority w:val="99"/>
    <w:qFormat/>
    <w:rsid w:val="00350AB2"/>
    <w:rPr>
      <w:sz w:val="24"/>
      <w:szCs w:val="24"/>
    </w:rPr>
  </w:style>
  <w:style w:type="character" w:customStyle="1" w:styleId="TablesourceChar">
    <w:name w:val="Table source Char"/>
    <w:link w:val="Tablesource"/>
    <w:locked/>
    <w:rsid w:val="002C4BAC"/>
    <w:rPr>
      <w:rFonts w:ascii="Calibri" w:hAnsi="Calibri"/>
      <w:bCs/>
      <w:i/>
    </w:rPr>
  </w:style>
  <w:style w:type="paragraph" w:customStyle="1" w:styleId="Tablesource">
    <w:name w:val="Table source"/>
    <w:basedOn w:val="Normal"/>
    <w:link w:val="TablesourceChar"/>
    <w:qFormat/>
    <w:rsid w:val="002C4BAC"/>
    <w:pPr>
      <w:spacing w:before="120" w:after="240"/>
      <w:ind w:right="432"/>
      <w:jc w:val="right"/>
      <w:outlineLvl w:val="3"/>
    </w:pPr>
    <w:rPr>
      <w:rFonts w:ascii="Calibri" w:hAnsi="Calibri"/>
      <w:bCs/>
      <w:i/>
      <w:sz w:val="22"/>
      <w:szCs w:val="22"/>
    </w:rPr>
  </w:style>
  <w:style w:type="paragraph" w:customStyle="1" w:styleId="listparagraphcxspmiddle">
    <w:name w:val="listparagraphcxspmiddle"/>
    <w:basedOn w:val="Normal"/>
    <w:uiPriority w:val="99"/>
    <w:rsid w:val="00621B56"/>
    <w:pPr>
      <w:spacing w:before="100" w:beforeAutospacing="1" w:after="100" w:afterAutospacing="1"/>
    </w:pPr>
  </w:style>
  <w:style w:type="paragraph" w:customStyle="1" w:styleId="Normal12pt">
    <w:name w:val="Normal + 12 pt"/>
    <w:basedOn w:val="BodyText"/>
    <w:link w:val="Normal12ptChar"/>
    <w:rsid w:val="005328CD"/>
    <w:pPr>
      <w:spacing w:after="0" w:line="288" w:lineRule="auto"/>
      <w:ind w:firstLine="720"/>
    </w:pPr>
    <w:rPr>
      <w:lang w:eastAsia="en-US"/>
    </w:rPr>
  </w:style>
  <w:style w:type="character" w:customStyle="1" w:styleId="Normal12ptChar">
    <w:name w:val="Normal + 12 pt Char"/>
    <w:link w:val="Normal12pt"/>
    <w:rsid w:val="005328CD"/>
    <w:rPr>
      <w:sz w:val="24"/>
      <w:szCs w:val="24"/>
      <w:lang w:eastAsia="en-US"/>
    </w:rPr>
  </w:style>
  <w:style w:type="numbering" w:customStyle="1" w:styleId="NoList1">
    <w:name w:val="No List1"/>
    <w:next w:val="NoList"/>
    <w:uiPriority w:val="99"/>
    <w:semiHidden/>
    <w:unhideWhenUsed/>
    <w:rsid w:val="00A45931"/>
  </w:style>
  <w:style w:type="numbering" w:customStyle="1" w:styleId="NoList11">
    <w:name w:val="No List11"/>
    <w:next w:val="NoList"/>
    <w:uiPriority w:val="99"/>
    <w:semiHidden/>
    <w:unhideWhenUsed/>
    <w:rsid w:val="00A45931"/>
  </w:style>
  <w:style w:type="table" w:customStyle="1" w:styleId="TableGrid1">
    <w:name w:val="Table Grid1"/>
    <w:basedOn w:val="TableNormal"/>
    <w:next w:val="TableGrid"/>
    <w:uiPriority w:val="39"/>
    <w:rsid w:val="00A4593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Web31">
    <w:name w:val="Table Web 31"/>
    <w:basedOn w:val="TableNormal"/>
    <w:next w:val="TableWeb3"/>
    <w:uiPriority w:val="99"/>
    <w:rsid w:val="00A45931"/>
    <w:rPr>
      <w:rFonts w:eastAsia="Batang"/>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rPr>
      <w:tblPr/>
      <w:tcPr>
        <w:tcBorders>
          <w:tl2br w:val="none" w:sz="0" w:space="0" w:color="auto"/>
          <w:tr2bl w:val="none" w:sz="0" w:space="0" w:color="auto"/>
        </w:tcBorders>
      </w:tcPr>
    </w:tblStylePr>
  </w:style>
  <w:style w:type="table" w:customStyle="1" w:styleId="TableContemporary1">
    <w:name w:val="Table Contemporary1"/>
    <w:basedOn w:val="TableNormal"/>
    <w:next w:val="TableContemporary"/>
    <w:uiPriority w:val="99"/>
    <w:rsid w:val="00A45931"/>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pct20" w:color="000000" w:fill="FFFFFF"/>
      </w:tcPr>
    </w:tblStylePr>
    <w:tblStylePr w:type="band1Horz">
      <w:rPr>
        <w:rFonts w:cs="Times New Roman"/>
      </w:rPr>
      <w:tblPr/>
      <w:tcPr>
        <w:tcBorders>
          <w:tl2br w:val="none" w:sz="0" w:space="0" w:color="auto"/>
          <w:tr2bl w:val="none" w:sz="0" w:space="0" w:color="auto"/>
        </w:tcBorders>
        <w:shd w:val="pct5" w:color="000000" w:fill="FFFFFF"/>
      </w:tcPr>
    </w:tblStylePr>
    <w:tblStylePr w:type="band2Horz">
      <w:rPr>
        <w:rFonts w:cs="Times New Roman"/>
      </w:rPr>
      <w:tblPr/>
      <w:tcPr>
        <w:tcBorders>
          <w:tl2br w:val="none" w:sz="0" w:space="0" w:color="auto"/>
          <w:tr2bl w:val="none" w:sz="0" w:space="0" w:color="auto"/>
        </w:tcBorders>
        <w:shd w:val="pct20" w:color="000000" w:fill="FFFFFF"/>
      </w:tcPr>
    </w:tblStylePr>
  </w:style>
  <w:style w:type="character" w:customStyle="1" w:styleId="FootnoteTextChar1">
    <w:name w:val="Footnote Text Char1"/>
    <w:aliases w:val="Fußnotentext arial Char1,Footnote1 Char1,Footnote2 Char1,Footnote3 Char1,stile 1 Char1,Footnote4 Char1,Footnote5 Char1,Footnote6 Char1,Footnote7 Char1,Footnote8 Char1,Footnote9 Char1,Footnote10 Char1,Footnote11 Char1,Footnote21 Char1"/>
    <w:uiPriority w:val="99"/>
    <w:semiHidden/>
    <w:rsid w:val="006E5A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109166">
      <w:bodyDiv w:val="1"/>
      <w:marLeft w:val="0"/>
      <w:marRight w:val="0"/>
      <w:marTop w:val="0"/>
      <w:marBottom w:val="0"/>
      <w:divBdr>
        <w:top w:val="none" w:sz="0" w:space="0" w:color="auto"/>
        <w:left w:val="none" w:sz="0" w:space="0" w:color="auto"/>
        <w:bottom w:val="none" w:sz="0" w:space="0" w:color="auto"/>
        <w:right w:val="none" w:sz="0" w:space="0" w:color="auto"/>
      </w:divBdr>
    </w:div>
    <w:div w:id="134446039">
      <w:bodyDiv w:val="1"/>
      <w:marLeft w:val="0"/>
      <w:marRight w:val="0"/>
      <w:marTop w:val="0"/>
      <w:marBottom w:val="0"/>
      <w:divBdr>
        <w:top w:val="none" w:sz="0" w:space="0" w:color="auto"/>
        <w:left w:val="none" w:sz="0" w:space="0" w:color="auto"/>
        <w:bottom w:val="none" w:sz="0" w:space="0" w:color="auto"/>
        <w:right w:val="none" w:sz="0" w:space="0" w:color="auto"/>
      </w:divBdr>
    </w:div>
    <w:div w:id="200481042">
      <w:bodyDiv w:val="1"/>
      <w:marLeft w:val="0"/>
      <w:marRight w:val="0"/>
      <w:marTop w:val="0"/>
      <w:marBottom w:val="0"/>
      <w:divBdr>
        <w:top w:val="none" w:sz="0" w:space="0" w:color="auto"/>
        <w:left w:val="none" w:sz="0" w:space="0" w:color="auto"/>
        <w:bottom w:val="none" w:sz="0" w:space="0" w:color="auto"/>
        <w:right w:val="none" w:sz="0" w:space="0" w:color="auto"/>
      </w:divBdr>
    </w:div>
    <w:div w:id="219749573">
      <w:bodyDiv w:val="1"/>
      <w:marLeft w:val="0"/>
      <w:marRight w:val="0"/>
      <w:marTop w:val="0"/>
      <w:marBottom w:val="0"/>
      <w:divBdr>
        <w:top w:val="none" w:sz="0" w:space="0" w:color="auto"/>
        <w:left w:val="none" w:sz="0" w:space="0" w:color="auto"/>
        <w:bottom w:val="none" w:sz="0" w:space="0" w:color="auto"/>
        <w:right w:val="none" w:sz="0" w:space="0" w:color="auto"/>
      </w:divBdr>
    </w:div>
    <w:div w:id="305012412">
      <w:bodyDiv w:val="1"/>
      <w:marLeft w:val="0"/>
      <w:marRight w:val="0"/>
      <w:marTop w:val="0"/>
      <w:marBottom w:val="0"/>
      <w:divBdr>
        <w:top w:val="none" w:sz="0" w:space="0" w:color="auto"/>
        <w:left w:val="none" w:sz="0" w:space="0" w:color="auto"/>
        <w:bottom w:val="none" w:sz="0" w:space="0" w:color="auto"/>
        <w:right w:val="none" w:sz="0" w:space="0" w:color="auto"/>
      </w:divBdr>
    </w:div>
    <w:div w:id="320624099">
      <w:bodyDiv w:val="1"/>
      <w:marLeft w:val="0"/>
      <w:marRight w:val="0"/>
      <w:marTop w:val="0"/>
      <w:marBottom w:val="0"/>
      <w:divBdr>
        <w:top w:val="none" w:sz="0" w:space="0" w:color="auto"/>
        <w:left w:val="none" w:sz="0" w:space="0" w:color="auto"/>
        <w:bottom w:val="none" w:sz="0" w:space="0" w:color="auto"/>
        <w:right w:val="none" w:sz="0" w:space="0" w:color="auto"/>
      </w:divBdr>
    </w:div>
    <w:div w:id="363988877">
      <w:bodyDiv w:val="1"/>
      <w:marLeft w:val="0"/>
      <w:marRight w:val="0"/>
      <w:marTop w:val="0"/>
      <w:marBottom w:val="0"/>
      <w:divBdr>
        <w:top w:val="none" w:sz="0" w:space="0" w:color="auto"/>
        <w:left w:val="none" w:sz="0" w:space="0" w:color="auto"/>
        <w:bottom w:val="none" w:sz="0" w:space="0" w:color="auto"/>
        <w:right w:val="none" w:sz="0" w:space="0" w:color="auto"/>
      </w:divBdr>
    </w:div>
    <w:div w:id="417948151">
      <w:bodyDiv w:val="1"/>
      <w:marLeft w:val="0"/>
      <w:marRight w:val="0"/>
      <w:marTop w:val="0"/>
      <w:marBottom w:val="0"/>
      <w:divBdr>
        <w:top w:val="none" w:sz="0" w:space="0" w:color="auto"/>
        <w:left w:val="none" w:sz="0" w:space="0" w:color="auto"/>
        <w:bottom w:val="none" w:sz="0" w:space="0" w:color="auto"/>
        <w:right w:val="none" w:sz="0" w:space="0" w:color="auto"/>
      </w:divBdr>
    </w:div>
    <w:div w:id="433980737">
      <w:bodyDiv w:val="1"/>
      <w:marLeft w:val="0"/>
      <w:marRight w:val="0"/>
      <w:marTop w:val="0"/>
      <w:marBottom w:val="0"/>
      <w:divBdr>
        <w:top w:val="none" w:sz="0" w:space="0" w:color="auto"/>
        <w:left w:val="none" w:sz="0" w:space="0" w:color="auto"/>
        <w:bottom w:val="none" w:sz="0" w:space="0" w:color="auto"/>
        <w:right w:val="none" w:sz="0" w:space="0" w:color="auto"/>
      </w:divBdr>
    </w:div>
    <w:div w:id="441997596">
      <w:bodyDiv w:val="1"/>
      <w:marLeft w:val="0"/>
      <w:marRight w:val="0"/>
      <w:marTop w:val="0"/>
      <w:marBottom w:val="0"/>
      <w:divBdr>
        <w:top w:val="none" w:sz="0" w:space="0" w:color="auto"/>
        <w:left w:val="none" w:sz="0" w:space="0" w:color="auto"/>
        <w:bottom w:val="none" w:sz="0" w:space="0" w:color="auto"/>
        <w:right w:val="none" w:sz="0" w:space="0" w:color="auto"/>
      </w:divBdr>
    </w:div>
    <w:div w:id="454911939">
      <w:bodyDiv w:val="1"/>
      <w:marLeft w:val="0"/>
      <w:marRight w:val="0"/>
      <w:marTop w:val="0"/>
      <w:marBottom w:val="0"/>
      <w:divBdr>
        <w:top w:val="none" w:sz="0" w:space="0" w:color="auto"/>
        <w:left w:val="none" w:sz="0" w:space="0" w:color="auto"/>
        <w:bottom w:val="none" w:sz="0" w:space="0" w:color="auto"/>
        <w:right w:val="none" w:sz="0" w:space="0" w:color="auto"/>
      </w:divBdr>
    </w:div>
    <w:div w:id="522476342">
      <w:bodyDiv w:val="1"/>
      <w:marLeft w:val="0"/>
      <w:marRight w:val="0"/>
      <w:marTop w:val="0"/>
      <w:marBottom w:val="0"/>
      <w:divBdr>
        <w:top w:val="none" w:sz="0" w:space="0" w:color="auto"/>
        <w:left w:val="none" w:sz="0" w:space="0" w:color="auto"/>
        <w:bottom w:val="none" w:sz="0" w:space="0" w:color="auto"/>
        <w:right w:val="none" w:sz="0" w:space="0" w:color="auto"/>
      </w:divBdr>
    </w:div>
    <w:div w:id="527261216">
      <w:bodyDiv w:val="1"/>
      <w:marLeft w:val="0"/>
      <w:marRight w:val="0"/>
      <w:marTop w:val="0"/>
      <w:marBottom w:val="0"/>
      <w:divBdr>
        <w:top w:val="none" w:sz="0" w:space="0" w:color="auto"/>
        <w:left w:val="none" w:sz="0" w:space="0" w:color="auto"/>
        <w:bottom w:val="none" w:sz="0" w:space="0" w:color="auto"/>
        <w:right w:val="none" w:sz="0" w:space="0" w:color="auto"/>
      </w:divBdr>
    </w:div>
    <w:div w:id="570118820">
      <w:bodyDiv w:val="1"/>
      <w:marLeft w:val="0"/>
      <w:marRight w:val="0"/>
      <w:marTop w:val="0"/>
      <w:marBottom w:val="0"/>
      <w:divBdr>
        <w:top w:val="none" w:sz="0" w:space="0" w:color="auto"/>
        <w:left w:val="none" w:sz="0" w:space="0" w:color="auto"/>
        <w:bottom w:val="none" w:sz="0" w:space="0" w:color="auto"/>
        <w:right w:val="none" w:sz="0" w:space="0" w:color="auto"/>
      </w:divBdr>
    </w:div>
    <w:div w:id="689916828">
      <w:bodyDiv w:val="1"/>
      <w:marLeft w:val="0"/>
      <w:marRight w:val="0"/>
      <w:marTop w:val="0"/>
      <w:marBottom w:val="0"/>
      <w:divBdr>
        <w:top w:val="none" w:sz="0" w:space="0" w:color="auto"/>
        <w:left w:val="none" w:sz="0" w:space="0" w:color="auto"/>
        <w:bottom w:val="none" w:sz="0" w:space="0" w:color="auto"/>
        <w:right w:val="none" w:sz="0" w:space="0" w:color="auto"/>
      </w:divBdr>
    </w:div>
    <w:div w:id="1188373656">
      <w:bodyDiv w:val="1"/>
      <w:marLeft w:val="0"/>
      <w:marRight w:val="0"/>
      <w:marTop w:val="0"/>
      <w:marBottom w:val="0"/>
      <w:divBdr>
        <w:top w:val="none" w:sz="0" w:space="0" w:color="auto"/>
        <w:left w:val="none" w:sz="0" w:space="0" w:color="auto"/>
        <w:bottom w:val="none" w:sz="0" w:space="0" w:color="auto"/>
        <w:right w:val="none" w:sz="0" w:space="0" w:color="auto"/>
      </w:divBdr>
    </w:div>
    <w:div w:id="1308508610">
      <w:bodyDiv w:val="1"/>
      <w:marLeft w:val="0"/>
      <w:marRight w:val="0"/>
      <w:marTop w:val="0"/>
      <w:marBottom w:val="0"/>
      <w:divBdr>
        <w:top w:val="none" w:sz="0" w:space="0" w:color="auto"/>
        <w:left w:val="none" w:sz="0" w:space="0" w:color="auto"/>
        <w:bottom w:val="none" w:sz="0" w:space="0" w:color="auto"/>
        <w:right w:val="none" w:sz="0" w:space="0" w:color="auto"/>
      </w:divBdr>
    </w:div>
    <w:div w:id="1325470286">
      <w:bodyDiv w:val="1"/>
      <w:marLeft w:val="0"/>
      <w:marRight w:val="0"/>
      <w:marTop w:val="0"/>
      <w:marBottom w:val="0"/>
      <w:divBdr>
        <w:top w:val="none" w:sz="0" w:space="0" w:color="auto"/>
        <w:left w:val="none" w:sz="0" w:space="0" w:color="auto"/>
        <w:bottom w:val="none" w:sz="0" w:space="0" w:color="auto"/>
        <w:right w:val="none" w:sz="0" w:space="0" w:color="auto"/>
      </w:divBdr>
    </w:div>
    <w:div w:id="1581451330">
      <w:bodyDiv w:val="1"/>
      <w:marLeft w:val="0"/>
      <w:marRight w:val="0"/>
      <w:marTop w:val="0"/>
      <w:marBottom w:val="0"/>
      <w:divBdr>
        <w:top w:val="none" w:sz="0" w:space="0" w:color="auto"/>
        <w:left w:val="none" w:sz="0" w:space="0" w:color="auto"/>
        <w:bottom w:val="none" w:sz="0" w:space="0" w:color="auto"/>
        <w:right w:val="none" w:sz="0" w:space="0" w:color="auto"/>
      </w:divBdr>
    </w:div>
    <w:div w:id="1610114614">
      <w:bodyDiv w:val="1"/>
      <w:marLeft w:val="0"/>
      <w:marRight w:val="0"/>
      <w:marTop w:val="0"/>
      <w:marBottom w:val="0"/>
      <w:divBdr>
        <w:top w:val="none" w:sz="0" w:space="0" w:color="auto"/>
        <w:left w:val="none" w:sz="0" w:space="0" w:color="auto"/>
        <w:bottom w:val="none" w:sz="0" w:space="0" w:color="auto"/>
        <w:right w:val="none" w:sz="0" w:space="0" w:color="auto"/>
      </w:divBdr>
    </w:div>
    <w:div w:id="1759911088">
      <w:bodyDiv w:val="1"/>
      <w:marLeft w:val="0"/>
      <w:marRight w:val="0"/>
      <w:marTop w:val="0"/>
      <w:marBottom w:val="0"/>
      <w:divBdr>
        <w:top w:val="none" w:sz="0" w:space="0" w:color="auto"/>
        <w:left w:val="none" w:sz="0" w:space="0" w:color="auto"/>
        <w:bottom w:val="none" w:sz="0" w:space="0" w:color="auto"/>
        <w:right w:val="none" w:sz="0" w:space="0" w:color="auto"/>
      </w:divBdr>
    </w:div>
    <w:div w:id="1853831772">
      <w:bodyDiv w:val="1"/>
      <w:marLeft w:val="0"/>
      <w:marRight w:val="0"/>
      <w:marTop w:val="0"/>
      <w:marBottom w:val="0"/>
      <w:divBdr>
        <w:top w:val="none" w:sz="0" w:space="0" w:color="auto"/>
        <w:left w:val="none" w:sz="0" w:space="0" w:color="auto"/>
        <w:bottom w:val="none" w:sz="0" w:space="0" w:color="auto"/>
        <w:right w:val="none" w:sz="0" w:space="0" w:color="auto"/>
      </w:divBdr>
    </w:div>
    <w:div w:id="1884444725">
      <w:bodyDiv w:val="1"/>
      <w:marLeft w:val="0"/>
      <w:marRight w:val="0"/>
      <w:marTop w:val="0"/>
      <w:marBottom w:val="0"/>
      <w:divBdr>
        <w:top w:val="none" w:sz="0" w:space="0" w:color="auto"/>
        <w:left w:val="none" w:sz="0" w:space="0" w:color="auto"/>
        <w:bottom w:val="none" w:sz="0" w:space="0" w:color="auto"/>
        <w:right w:val="none" w:sz="0" w:space="0" w:color="auto"/>
      </w:divBdr>
    </w:div>
    <w:div w:id="1915970018">
      <w:bodyDiv w:val="1"/>
      <w:marLeft w:val="0"/>
      <w:marRight w:val="0"/>
      <w:marTop w:val="0"/>
      <w:marBottom w:val="0"/>
      <w:divBdr>
        <w:top w:val="none" w:sz="0" w:space="0" w:color="auto"/>
        <w:left w:val="none" w:sz="0" w:space="0" w:color="auto"/>
        <w:bottom w:val="none" w:sz="0" w:space="0" w:color="auto"/>
        <w:right w:val="none" w:sz="0" w:space="0" w:color="auto"/>
      </w:divBdr>
    </w:div>
    <w:div w:id="1931500335">
      <w:bodyDiv w:val="1"/>
      <w:marLeft w:val="0"/>
      <w:marRight w:val="0"/>
      <w:marTop w:val="0"/>
      <w:marBottom w:val="0"/>
      <w:divBdr>
        <w:top w:val="none" w:sz="0" w:space="0" w:color="auto"/>
        <w:left w:val="none" w:sz="0" w:space="0" w:color="auto"/>
        <w:bottom w:val="none" w:sz="0" w:space="0" w:color="auto"/>
        <w:right w:val="none" w:sz="0" w:space="0" w:color="auto"/>
      </w:divBdr>
    </w:div>
    <w:div w:id="1956327277">
      <w:bodyDiv w:val="1"/>
      <w:marLeft w:val="0"/>
      <w:marRight w:val="0"/>
      <w:marTop w:val="0"/>
      <w:marBottom w:val="0"/>
      <w:divBdr>
        <w:top w:val="none" w:sz="0" w:space="0" w:color="auto"/>
        <w:left w:val="none" w:sz="0" w:space="0" w:color="auto"/>
        <w:bottom w:val="none" w:sz="0" w:space="0" w:color="auto"/>
        <w:right w:val="none" w:sz="0" w:space="0" w:color="auto"/>
      </w:divBdr>
    </w:div>
    <w:div w:id="2034107392">
      <w:bodyDiv w:val="1"/>
      <w:marLeft w:val="0"/>
      <w:marRight w:val="0"/>
      <w:marTop w:val="0"/>
      <w:marBottom w:val="0"/>
      <w:divBdr>
        <w:top w:val="none" w:sz="0" w:space="0" w:color="auto"/>
        <w:left w:val="none" w:sz="0" w:space="0" w:color="auto"/>
        <w:bottom w:val="none" w:sz="0" w:space="0" w:color="auto"/>
        <w:right w:val="none" w:sz="0" w:space="0" w:color="auto"/>
      </w:divBdr>
    </w:div>
    <w:div w:id="2047295800">
      <w:bodyDiv w:val="1"/>
      <w:marLeft w:val="0"/>
      <w:marRight w:val="0"/>
      <w:marTop w:val="0"/>
      <w:marBottom w:val="0"/>
      <w:divBdr>
        <w:top w:val="none" w:sz="0" w:space="0" w:color="auto"/>
        <w:left w:val="none" w:sz="0" w:space="0" w:color="auto"/>
        <w:bottom w:val="none" w:sz="0" w:space="0" w:color="auto"/>
        <w:right w:val="none" w:sz="0" w:space="0" w:color="auto"/>
      </w:divBdr>
    </w:div>
    <w:div w:id="2052265334">
      <w:bodyDiv w:val="1"/>
      <w:marLeft w:val="0"/>
      <w:marRight w:val="0"/>
      <w:marTop w:val="0"/>
      <w:marBottom w:val="0"/>
      <w:divBdr>
        <w:top w:val="none" w:sz="0" w:space="0" w:color="auto"/>
        <w:left w:val="none" w:sz="0" w:space="0" w:color="auto"/>
        <w:bottom w:val="none" w:sz="0" w:space="0" w:color="auto"/>
        <w:right w:val="none" w:sz="0" w:space="0" w:color="auto"/>
      </w:divBdr>
    </w:div>
    <w:div w:id="2070690361">
      <w:marLeft w:val="0"/>
      <w:marRight w:val="0"/>
      <w:marTop w:val="0"/>
      <w:marBottom w:val="0"/>
      <w:divBdr>
        <w:top w:val="none" w:sz="0" w:space="0" w:color="auto"/>
        <w:left w:val="none" w:sz="0" w:space="0" w:color="auto"/>
        <w:bottom w:val="none" w:sz="0" w:space="0" w:color="auto"/>
        <w:right w:val="none" w:sz="0" w:space="0" w:color="auto"/>
      </w:divBdr>
    </w:div>
    <w:div w:id="2070690362">
      <w:marLeft w:val="0"/>
      <w:marRight w:val="0"/>
      <w:marTop w:val="0"/>
      <w:marBottom w:val="0"/>
      <w:divBdr>
        <w:top w:val="none" w:sz="0" w:space="0" w:color="auto"/>
        <w:left w:val="none" w:sz="0" w:space="0" w:color="auto"/>
        <w:bottom w:val="none" w:sz="0" w:space="0" w:color="auto"/>
        <w:right w:val="none" w:sz="0" w:space="0" w:color="auto"/>
      </w:divBdr>
    </w:div>
    <w:div w:id="2070690363">
      <w:marLeft w:val="0"/>
      <w:marRight w:val="0"/>
      <w:marTop w:val="0"/>
      <w:marBottom w:val="0"/>
      <w:divBdr>
        <w:top w:val="none" w:sz="0" w:space="0" w:color="auto"/>
        <w:left w:val="none" w:sz="0" w:space="0" w:color="auto"/>
        <w:bottom w:val="none" w:sz="0" w:space="0" w:color="auto"/>
        <w:right w:val="none" w:sz="0" w:space="0" w:color="auto"/>
      </w:divBdr>
    </w:div>
    <w:div w:id="2070690364">
      <w:marLeft w:val="0"/>
      <w:marRight w:val="0"/>
      <w:marTop w:val="0"/>
      <w:marBottom w:val="0"/>
      <w:divBdr>
        <w:top w:val="none" w:sz="0" w:space="0" w:color="auto"/>
        <w:left w:val="none" w:sz="0" w:space="0" w:color="auto"/>
        <w:bottom w:val="none" w:sz="0" w:space="0" w:color="auto"/>
        <w:right w:val="none" w:sz="0" w:space="0" w:color="auto"/>
      </w:divBdr>
    </w:div>
    <w:div w:id="2070690365">
      <w:marLeft w:val="0"/>
      <w:marRight w:val="0"/>
      <w:marTop w:val="0"/>
      <w:marBottom w:val="0"/>
      <w:divBdr>
        <w:top w:val="none" w:sz="0" w:space="0" w:color="auto"/>
        <w:left w:val="none" w:sz="0" w:space="0" w:color="auto"/>
        <w:bottom w:val="none" w:sz="0" w:space="0" w:color="auto"/>
        <w:right w:val="none" w:sz="0" w:space="0" w:color="auto"/>
      </w:divBdr>
    </w:div>
    <w:div w:id="2070690366">
      <w:marLeft w:val="0"/>
      <w:marRight w:val="0"/>
      <w:marTop w:val="0"/>
      <w:marBottom w:val="0"/>
      <w:divBdr>
        <w:top w:val="none" w:sz="0" w:space="0" w:color="auto"/>
        <w:left w:val="none" w:sz="0" w:space="0" w:color="auto"/>
        <w:bottom w:val="none" w:sz="0" w:space="0" w:color="auto"/>
        <w:right w:val="none" w:sz="0" w:space="0" w:color="auto"/>
      </w:divBdr>
    </w:div>
    <w:div w:id="2070690367">
      <w:marLeft w:val="0"/>
      <w:marRight w:val="0"/>
      <w:marTop w:val="0"/>
      <w:marBottom w:val="0"/>
      <w:divBdr>
        <w:top w:val="none" w:sz="0" w:space="0" w:color="auto"/>
        <w:left w:val="none" w:sz="0" w:space="0" w:color="auto"/>
        <w:bottom w:val="none" w:sz="0" w:space="0" w:color="auto"/>
        <w:right w:val="none" w:sz="0" w:space="0" w:color="auto"/>
      </w:divBdr>
    </w:div>
    <w:div w:id="2070690368">
      <w:marLeft w:val="0"/>
      <w:marRight w:val="0"/>
      <w:marTop w:val="0"/>
      <w:marBottom w:val="0"/>
      <w:divBdr>
        <w:top w:val="none" w:sz="0" w:space="0" w:color="auto"/>
        <w:left w:val="none" w:sz="0" w:space="0" w:color="auto"/>
        <w:bottom w:val="none" w:sz="0" w:space="0" w:color="auto"/>
        <w:right w:val="none" w:sz="0" w:space="0" w:color="auto"/>
      </w:divBdr>
    </w:div>
    <w:div w:id="2070690369">
      <w:marLeft w:val="0"/>
      <w:marRight w:val="0"/>
      <w:marTop w:val="0"/>
      <w:marBottom w:val="0"/>
      <w:divBdr>
        <w:top w:val="none" w:sz="0" w:space="0" w:color="auto"/>
        <w:left w:val="none" w:sz="0" w:space="0" w:color="auto"/>
        <w:bottom w:val="none" w:sz="0" w:space="0" w:color="auto"/>
        <w:right w:val="none" w:sz="0" w:space="0" w:color="auto"/>
      </w:divBdr>
    </w:div>
    <w:div w:id="2070690370">
      <w:marLeft w:val="0"/>
      <w:marRight w:val="0"/>
      <w:marTop w:val="0"/>
      <w:marBottom w:val="0"/>
      <w:divBdr>
        <w:top w:val="none" w:sz="0" w:space="0" w:color="auto"/>
        <w:left w:val="none" w:sz="0" w:space="0" w:color="auto"/>
        <w:bottom w:val="none" w:sz="0" w:space="0" w:color="auto"/>
        <w:right w:val="none" w:sz="0" w:space="0" w:color="auto"/>
      </w:divBdr>
    </w:div>
    <w:div w:id="2070690371">
      <w:marLeft w:val="0"/>
      <w:marRight w:val="0"/>
      <w:marTop w:val="0"/>
      <w:marBottom w:val="0"/>
      <w:divBdr>
        <w:top w:val="none" w:sz="0" w:space="0" w:color="auto"/>
        <w:left w:val="none" w:sz="0" w:space="0" w:color="auto"/>
        <w:bottom w:val="none" w:sz="0" w:space="0" w:color="auto"/>
        <w:right w:val="none" w:sz="0" w:space="0" w:color="auto"/>
      </w:divBdr>
    </w:div>
    <w:div w:id="2070690372">
      <w:marLeft w:val="0"/>
      <w:marRight w:val="0"/>
      <w:marTop w:val="0"/>
      <w:marBottom w:val="0"/>
      <w:divBdr>
        <w:top w:val="none" w:sz="0" w:space="0" w:color="auto"/>
        <w:left w:val="none" w:sz="0" w:space="0" w:color="auto"/>
        <w:bottom w:val="none" w:sz="0" w:space="0" w:color="auto"/>
        <w:right w:val="none" w:sz="0" w:space="0" w:color="auto"/>
      </w:divBdr>
    </w:div>
    <w:div w:id="2070690373">
      <w:marLeft w:val="0"/>
      <w:marRight w:val="0"/>
      <w:marTop w:val="0"/>
      <w:marBottom w:val="0"/>
      <w:divBdr>
        <w:top w:val="none" w:sz="0" w:space="0" w:color="auto"/>
        <w:left w:val="none" w:sz="0" w:space="0" w:color="auto"/>
        <w:bottom w:val="none" w:sz="0" w:space="0" w:color="auto"/>
        <w:right w:val="none" w:sz="0" w:space="0" w:color="auto"/>
      </w:divBdr>
    </w:div>
    <w:div w:id="2070690374">
      <w:marLeft w:val="0"/>
      <w:marRight w:val="0"/>
      <w:marTop w:val="0"/>
      <w:marBottom w:val="0"/>
      <w:divBdr>
        <w:top w:val="none" w:sz="0" w:space="0" w:color="auto"/>
        <w:left w:val="none" w:sz="0" w:space="0" w:color="auto"/>
        <w:bottom w:val="none" w:sz="0" w:space="0" w:color="auto"/>
        <w:right w:val="none" w:sz="0" w:space="0" w:color="auto"/>
      </w:divBdr>
    </w:div>
    <w:div w:id="2070690375">
      <w:marLeft w:val="0"/>
      <w:marRight w:val="0"/>
      <w:marTop w:val="0"/>
      <w:marBottom w:val="0"/>
      <w:divBdr>
        <w:top w:val="none" w:sz="0" w:space="0" w:color="auto"/>
        <w:left w:val="none" w:sz="0" w:space="0" w:color="auto"/>
        <w:bottom w:val="none" w:sz="0" w:space="0" w:color="auto"/>
        <w:right w:val="none" w:sz="0" w:space="0" w:color="auto"/>
      </w:divBdr>
    </w:div>
    <w:div w:id="2070690376">
      <w:marLeft w:val="0"/>
      <w:marRight w:val="0"/>
      <w:marTop w:val="0"/>
      <w:marBottom w:val="0"/>
      <w:divBdr>
        <w:top w:val="none" w:sz="0" w:space="0" w:color="auto"/>
        <w:left w:val="none" w:sz="0" w:space="0" w:color="auto"/>
        <w:bottom w:val="none" w:sz="0" w:space="0" w:color="auto"/>
        <w:right w:val="none" w:sz="0" w:space="0" w:color="auto"/>
      </w:divBdr>
    </w:div>
    <w:div w:id="2070690377">
      <w:marLeft w:val="0"/>
      <w:marRight w:val="0"/>
      <w:marTop w:val="0"/>
      <w:marBottom w:val="0"/>
      <w:divBdr>
        <w:top w:val="none" w:sz="0" w:space="0" w:color="auto"/>
        <w:left w:val="none" w:sz="0" w:space="0" w:color="auto"/>
        <w:bottom w:val="none" w:sz="0" w:space="0" w:color="auto"/>
        <w:right w:val="none" w:sz="0" w:space="0" w:color="auto"/>
      </w:divBdr>
    </w:div>
    <w:div w:id="2070690378">
      <w:marLeft w:val="0"/>
      <w:marRight w:val="0"/>
      <w:marTop w:val="0"/>
      <w:marBottom w:val="0"/>
      <w:divBdr>
        <w:top w:val="none" w:sz="0" w:space="0" w:color="auto"/>
        <w:left w:val="none" w:sz="0" w:space="0" w:color="auto"/>
        <w:bottom w:val="none" w:sz="0" w:space="0" w:color="auto"/>
        <w:right w:val="none" w:sz="0" w:space="0" w:color="auto"/>
      </w:divBdr>
    </w:div>
    <w:div w:id="2070690379">
      <w:marLeft w:val="0"/>
      <w:marRight w:val="0"/>
      <w:marTop w:val="0"/>
      <w:marBottom w:val="0"/>
      <w:divBdr>
        <w:top w:val="none" w:sz="0" w:space="0" w:color="auto"/>
        <w:left w:val="none" w:sz="0" w:space="0" w:color="auto"/>
        <w:bottom w:val="none" w:sz="0" w:space="0" w:color="auto"/>
        <w:right w:val="none" w:sz="0" w:space="0" w:color="auto"/>
      </w:divBdr>
    </w:div>
    <w:div w:id="2070690380">
      <w:marLeft w:val="0"/>
      <w:marRight w:val="0"/>
      <w:marTop w:val="0"/>
      <w:marBottom w:val="0"/>
      <w:divBdr>
        <w:top w:val="none" w:sz="0" w:space="0" w:color="auto"/>
        <w:left w:val="none" w:sz="0" w:space="0" w:color="auto"/>
        <w:bottom w:val="none" w:sz="0" w:space="0" w:color="auto"/>
        <w:right w:val="none" w:sz="0" w:space="0" w:color="auto"/>
      </w:divBdr>
    </w:div>
    <w:div w:id="2070690381">
      <w:marLeft w:val="0"/>
      <w:marRight w:val="0"/>
      <w:marTop w:val="0"/>
      <w:marBottom w:val="0"/>
      <w:divBdr>
        <w:top w:val="none" w:sz="0" w:space="0" w:color="auto"/>
        <w:left w:val="none" w:sz="0" w:space="0" w:color="auto"/>
        <w:bottom w:val="none" w:sz="0" w:space="0" w:color="auto"/>
        <w:right w:val="none" w:sz="0" w:space="0" w:color="auto"/>
      </w:divBdr>
    </w:div>
    <w:div w:id="2070690382">
      <w:marLeft w:val="0"/>
      <w:marRight w:val="0"/>
      <w:marTop w:val="0"/>
      <w:marBottom w:val="0"/>
      <w:divBdr>
        <w:top w:val="none" w:sz="0" w:space="0" w:color="auto"/>
        <w:left w:val="none" w:sz="0" w:space="0" w:color="auto"/>
        <w:bottom w:val="none" w:sz="0" w:space="0" w:color="auto"/>
        <w:right w:val="none" w:sz="0" w:space="0" w:color="auto"/>
      </w:divBdr>
    </w:div>
    <w:div w:id="2070690383">
      <w:marLeft w:val="0"/>
      <w:marRight w:val="0"/>
      <w:marTop w:val="0"/>
      <w:marBottom w:val="0"/>
      <w:divBdr>
        <w:top w:val="none" w:sz="0" w:space="0" w:color="auto"/>
        <w:left w:val="none" w:sz="0" w:space="0" w:color="auto"/>
        <w:bottom w:val="none" w:sz="0" w:space="0" w:color="auto"/>
        <w:right w:val="none" w:sz="0" w:space="0" w:color="auto"/>
      </w:divBdr>
    </w:div>
    <w:div w:id="2070690384">
      <w:marLeft w:val="0"/>
      <w:marRight w:val="0"/>
      <w:marTop w:val="0"/>
      <w:marBottom w:val="0"/>
      <w:divBdr>
        <w:top w:val="none" w:sz="0" w:space="0" w:color="auto"/>
        <w:left w:val="none" w:sz="0" w:space="0" w:color="auto"/>
        <w:bottom w:val="none" w:sz="0" w:space="0" w:color="auto"/>
        <w:right w:val="none" w:sz="0" w:space="0" w:color="auto"/>
      </w:divBdr>
    </w:div>
    <w:div w:id="2070690385">
      <w:marLeft w:val="0"/>
      <w:marRight w:val="0"/>
      <w:marTop w:val="0"/>
      <w:marBottom w:val="0"/>
      <w:divBdr>
        <w:top w:val="none" w:sz="0" w:space="0" w:color="auto"/>
        <w:left w:val="none" w:sz="0" w:space="0" w:color="auto"/>
        <w:bottom w:val="none" w:sz="0" w:space="0" w:color="auto"/>
        <w:right w:val="none" w:sz="0" w:space="0" w:color="auto"/>
      </w:divBdr>
    </w:div>
    <w:div w:id="2070690386">
      <w:marLeft w:val="0"/>
      <w:marRight w:val="0"/>
      <w:marTop w:val="0"/>
      <w:marBottom w:val="0"/>
      <w:divBdr>
        <w:top w:val="none" w:sz="0" w:space="0" w:color="auto"/>
        <w:left w:val="none" w:sz="0" w:space="0" w:color="auto"/>
        <w:bottom w:val="none" w:sz="0" w:space="0" w:color="auto"/>
        <w:right w:val="none" w:sz="0" w:space="0" w:color="auto"/>
      </w:divBdr>
    </w:div>
    <w:div w:id="2070690387">
      <w:marLeft w:val="0"/>
      <w:marRight w:val="0"/>
      <w:marTop w:val="0"/>
      <w:marBottom w:val="0"/>
      <w:divBdr>
        <w:top w:val="none" w:sz="0" w:space="0" w:color="auto"/>
        <w:left w:val="none" w:sz="0" w:space="0" w:color="auto"/>
        <w:bottom w:val="none" w:sz="0" w:space="0" w:color="auto"/>
        <w:right w:val="none" w:sz="0" w:space="0" w:color="auto"/>
      </w:divBdr>
    </w:div>
    <w:div w:id="2070690388">
      <w:marLeft w:val="0"/>
      <w:marRight w:val="0"/>
      <w:marTop w:val="0"/>
      <w:marBottom w:val="0"/>
      <w:divBdr>
        <w:top w:val="none" w:sz="0" w:space="0" w:color="auto"/>
        <w:left w:val="none" w:sz="0" w:space="0" w:color="auto"/>
        <w:bottom w:val="none" w:sz="0" w:space="0" w:color="auto"/>
        <w:right w:val="none" w:sz="0" w:space="0" w:color="auto"/>
      </w:divBdr>
    </w:div>
    <w:div w:id="2070690389">
      <w:marLeft w:val="0"/>
      <w:marRight w:val="0"/>
      <w:marTop w:val="0"/>
      <w:marBottom w:val="0"/>
      <w:divBdr>
        <w:top w:val="none" w:sz="0" w:space="0" w:color="auto"/>
        <w:left w:val="none" w:sz="0" w:space="0" w:color="auto"/>
        <w:bottom w:val="none" w:sz="0" w:space="0" w:color="auto"/>
        <w:right w:val="none" w:sz="0" w:space="0" w:color="auto"/>
      </w:divBdr>
    </w:div>
    <w:div w:id="2070690390">
      <w:marLeft w:val="0"/>
      <w:marRight w:val="0"/>
      <w:marTop w:val="0"/>
      <w:marBottom w:val="0"/>
      <w:divBdr>
        <w:top w:val="none" w:sz="0" w:space="0" w:color="auto"/>
        <w:left w:val="none" w:sz="0" w:space="0" w:color="auto"/>
        <w:bottom w:val="none" w:sz="0" w:space="0" w:color="auto"/>
        <w:right w:val="none" w:sz="0" w:space="0" w:color="auto"/>
      </w:divBdr>
    </w:div>
    <w:div w:id="2109689847">
      <w:bodyDiv w:val="1"/>
      <w:marLeft w:val="0"/>
      <w:marRight w:val="0"/>
      <w:marTop w:val="0"/>
      <w:marBottom w:val="0"/>
      <w:divBdr>
        <w:top w:val="none" w:sz="0" w:space="0" w:color="auto"/>
        <w:left w:val="none" w:sz="0" w:space="0" w:color="auto"/>
        <w:bottom w:val="none" w:sz="0" w:space="0" w:color="auto"/>
        <w:right w:val="none" w:sz="0" w:space="0" w:color="auto"/>
      </w:divBdr>
    </w:div>
    <w:div w:id="2126000627">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3.xml"/><Relationship Id="rId3" Type="http://schemas.openxmlformats.org/officeDocument/2006/relationships/styles" Target="styles.xml"/><Relationship Id="rId21" Type="http://schemas.openxmlformats.org/officeDocument/2006/relationships/chart" Target="charts/chart9.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chart" Target="charts/chart5.xml"/><Relationship Id="rId25" Type="http://schemas.openxmlformats.org/officeDocument/2006/relationships/image" Target="media/image2.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chart" Target="charts/chart12.xml"/><Relationship Id="rId32" Type="http://schemas.openxmlformats.org/officeDocument/2006/relationships/image" Target="media/image4.emf"/><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5.xml"/><Relationship Id="rId10" Type="http://schemas.openxmlformats.org/officeDocument/2006/relationships/header" Target="header1.xml"/><Relationship Id="rId19" Type="http://schemas.openxmlformats.org/officeDocument/2006/relationships/chart" Target="charts/chart7.xml"/><Relationship Id="rId31" Type="http://schemas.openxmlformats.org/officeDocument/2006/relationships/chart" Target="charts/chart18.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4.xml"/><Relationship Id="rId30" Type="http://schemas.openxmlformats.org/officeDocument/2006/relationships/chart" Target="charts/chart17.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openxmlformats.org/officeDocument/2006/relationships/image" Target="../media/image3.jpeg"/><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3.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7.xml.rels><?xml version="1.0" encoding="UTF-8" standalone="yes"?>
<Relationships xmlns="http://schemas.openxmlformats.org/package/2006/relationships"><Relationship Id="rId2" Type="http://schemas.openxmlformats.org/officeDocument/2006/relationships/oleObject" Target="file:///\\mfshare\MF\&#1044;&#1066;&#1056;&#1046;&#1040;&#1042;&#1053;&#1054;%20&#1057;&#1066;&#1050;&#1056;&#1054;&#1042;&#1048;&#1065;&#1045;\&#1050;&#1041;&#1055;&#1040;\private\&#1056;&#1040;&#1041;&#1054;&#1058;&#1053;&#1048;%20&#1044;&#1048;&#1056;&#1045;&#1050;&#1058;&#1054;&#1056;&#1048;&#1048;\&#1043;&#1086;&#1076;&#1080;&#1096;&#1077;&#1085;%20&#1086;&#1090;&#1095;&#1077;&#1090;%20&#1079;&#1072;%20&#1052;&#1057;%20-%202015\RAB\Tablici%20i%20dr._rab\Tables_KFB_RB-2002-2015.xlsx" TargetMode="External"/><Relationship Id="rId1" Type="http://schemas.openxmlformats.org/officeDocument/2006/relationships/themeOverride" Target="../theme/themeOverride14.xml"/></Relationships>
</file>

<file path=word/charts/_rels/chart18.xml.rels><?xml version="1.0" encoding="UTF-8" standalone="yes"?>
<Relationships xmlns="http://schemas.openxmlformats.org/package/2006/relationships"><Relationship Id="rId2" Type="http://schemas.openxmlformats.org/officeDocument/2006/relationships/oleObject" Target="file:///\\mfshare\MF\&#1044;&#1066;&#1056;&#1046;&#1040;&#1042;&#1053;&#1054;%20&#1057;&#1066;&#1050;&#1056;&#1054;&#1042;&#1048;&#1065;&#1045;\&#1050;&#1041;&#1055;&#1040;\private\&#1056;&#1040;&#1041;&#1054;&#1058;&#1053;&#1048;%20&#1044;&#1048;&#1056;&#1045;&#1050;&#1058;&#1054;&#1056;&#1048;&#1048;\&#1043;&#1086;&#1076;&#1080;&#1096;&#1077;&#1085;%20&#1086;&#1090;&#1095;&#1077;&#1090;%20&#1079;&#1072;%20&#1052;&#1057;%20-%202015\RAB\Tablici%20i%20dr._rab\Funk_sistemi_15.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mtroskov\Desktop\graphs_03.2016.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G:\Work\Annual%202016\Graphs_Financial_sector_2016.xls"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oleObject" Target="file:///\\mfshare\MF\&#1044;&#1066;&#1056;&#1046;&#1040;&#1042;&#1053;&#1054;%20&#1057;&#1066;&#1050;&#1056;&#1054;&#1042;&#1048;&#1065;&#1045;\&#1050;&#1041;&#1055;&#1040;\private\&#1056;&#1040;&#1041;&#1054;&#1058;&#1053;&#1048;%20&#1044;&#1048;&#1056;&#1045;&#1050;&#1058;&#1054;&#1056;&#1048;&#1048;\&#1043;&#1086;&#1076;&#1080;&#1096;&#1077;&#1085;%20&#1086;&#1090;&#1095;&#1077;&#1090;%20&#1079;&#1072;%20&#1052;&#1057;%20-%202015\RAB\Tablici%20i%20dr._rab\Tables_KFB_RB-2002-2015.xlsx" TargetMode="External"/><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613735783027115E-2"/>
          <c:y val="5.0925925925925923E-2"/>
          <c:w val="0.85057786526684154"/>
          <c:h val="0.6342592592592593"/>
        </c:manualLayout>
      </c:layout>
      <c:barChart>
        <c:barDir val="col"/>
        <c:grouping val="stacked"/>
        <c:varyColors val="0"/>
        <c:ser>
          <c:idx val="1"/>
          <c:order val="1"/>
          <c:tx>
            <c:strRef>
              <c:f>Sheet1!$A$4</c:f>
              <c:strCache>
                <c:ptCount val="1"/>
                <c:pt idx="0">
                  <c:v>Селско стопанство (пр.п.)</c:v>
                </c:pt>
              </c:strCache>
            </c:strRef>
          </c:tx>
          <c:spPr>
            <a:solidFill>
              <a:schemeClr val="bg1">
                <a:lumMod val="75000"/>
              </a:schemeClr>
            </a:solidFill>
          </c:spPr>
          <c:invertIfNegative val="0"/>
          <c:dPt>
            <c:idx val="0"/>
            <c:invertIfNegative val="0"/>
            <c:bubble3D val="0"/>
          </c:dPt>
          <c:cat>
            <c:numRef>
              <c:f>Sheet1!$B$2:$E$2</c:f>
              <c:numCache>
                <c:formatCode>General</c:formatCode>
                <c:ptCount val="4"/>
                <c:pt idx="0">
                  <c:v>2012</c:v>
                </c:pt>
                <c:pt idx="1">
                  <c:v>2013</c:v>
                </c:pt>
                <c:pt idx="2">
                  <c:v>2014</c:v>
                </c:pt>
                <c:pt idx="3">
                  <c:v>2015</c:v>
                </c:pt>
              </c:numCache>
            </c:numRef>
          </c:cat>
          <c:val>
            <c:numRef>
              <c:f>Sheet1!$B$4:$E$4</c:f>
              <c:numCache>
                <c:formatCode>0.0</c:formatCode>
                <c:ptCount val="4"/>
                <c:pt idx="0">
                  <c:v>-1.1577074192691754</c:v>
                </c:pt>
                <c:pt idx="1">
                  <c:v>0.21711719235838239</c:v>
                </c:pt>
                <c:pt idx="2">
                  <c:v>0.30079697168878444</c:v>
                </c:pt>
                <c:pt idx="3">
                  <c:v>-0.5080711031648143</c:v>
                </c:pt>
              </c:numCache>
            </c:numRef>
          </c:val>
        </c:ser>
        <c:ser>
          <c:idx val="2"/>
          <c:order val="2"/>
          <c:tx>
            <c:strRef>
              <c:f>Sheet1!$A$5</c:f>
              <c:strCache>
                <c:ptCount val="1"/>
                <c:pt idx="0">
                  <c:v>Индустрия (пр.п.)</c:v>
                </c:pt>
              </c:strCache>
            </c:strRef>
          </c:tx>
          <c:invertIfNegative val="0"/>
          <c:cat>
            <c:numRef>
              <c:f>Sheet1!$B$2:$E$2</c:f>
              <c:numCache>
                <c:formatCode>General</c:formatCode>
                <c:ptCount val="4"/>
                <c:pt idx="0">
                  <c:v>2012</c:v>
                </c:pt>
                <c:pt idx="1">
                  <c:v>2013</c:v>
                </c:pt>
                <c:pt idx="2">
                  <c:v>2014</c:v>
                </c:pt>
                <c:pt idx="3">
                  <c:v>2015</c:v>
                </c:pt>
              </c:numCache>
            </c:numRef>
          </c:cat>
          <c:val>
            <c:numRef>
              <c:f>Sheet1!$B$5:$E$5</c:f>
              <c:numCache>
                <c:formatCode>0.0</c:formatCode>
                <c:ptCount val="4"/>
                <c:pt idx="0">
                  <c:v>-0.71152305314263697</c:v>
                </c:pt>
                <c:pt idx="1">
                  <c:v>-0.76623948424991395</c:v>
                </c:pt>
                <c:pt idx="2">
                  <c:v>-5.1438269546434309E-3</c:v>
                </c:pt>
                <c:pt idx="3">
                  <c:v>0.52009731623262601</c:v>
                </c:pt>
              </c:numCache>
            </c:numRef>
          </c:val>
        </c:ser>
        <c:ser>
          <c:idx val="3"/>
          <c:order val="3"/>
          <c:tx>
            <c:strRef>
              <c:f>Sheet1!$A$6</c:f>
              <c:strCache>
                <c:ptCount val="1"/>
                <c:pt idx="0">
                  <c:v>Услуги (пр.п.)</c:v>
                </c:pt>
              </c:strCache>
            </c:strRef>
          </c:tx>
          <c:spPr>
            <a:solidFill>
              <a:schemeClr val="accent5"/>
            </a:solidFill>
          </c:spPr>
          <c:invertIfNegative val="0"/>
          <c:cat>
            <c:numRef>
              <c:f>Sheet1!$B$2:$E$2</c:f>
              <c:numCache>
                <c:formatCode>General</c:formatCode>
                <c:ptCount val="4"/>
                <c:pt idx="0">
                  <c:v>2012</c:v>
                </c:pt>
                <c:pt idx="1">
                  <c:v>2013</c:v>
                </c:pt>
                <c:pt idx="2">
                  <c:v>2014</c:v>
                </c:pt>
                <c:pt idx="3">
                  <c:v>2015</c:v>
                </c:pt>
              </c:numCache>
            </c:numRef>
          </c:cat>
          <c:val>
            <c:numRef>
              <c:f>Sheet1!$B$6:$E$6</c:f>
              <c:numCache>
                <c:formatCode>0.0</c:formatCode>
                <c:ptCount val="4"/>
                <c:pt idx="0">
                  <c:v>-0.63205196007889941</c:v>
                </c:pt>
                <c:pt idx="1">
                  <c:v>0.11797253690133641</c:v>
                </c:pt>
                <c:pt idx="2">
                  <c:v>7.2247387681174086E-2</c:v>
                </c:pt>
                <c:pt idx="3">
                  <c:v>0.33883054541643148</c:v>
                </c:pt>
              </c:numCache>
            </c:numRef>
          </c:val>
        </c:ser>
        <c:dLbls>
          <c:showLegendKey val="0"/>
          <c:showVal val="0"/>
          <c:showCatName val="0"/>
          <c:showSerName val="0"/>
          <c:showPercent val="0"/>
          <c:showBubbleSize val="0"/>
        </c:dLbls>
        <c:gapWidth val="150"/>
        <c:overlap val="100"/>
        <c:axId val="106911616"/>
        <c:axId val="106913152"/>
      </c:barChart>
      <c:lineChart>
        <c:grouping val="standard"/>
        <c:varyColors val="0"/>
        <c:ser>
          <c:idx val="0"/>
          <c:order val="0"/>
          <c:tx>
            <c:strRef>
              <c:f>Sheet1!$A$3</c:f>
              <c:strCache>
                <c:ptCount val="1"/>
                <c:pt idx="0">
                  <c:v>Заетост, общо за икономиката (%)</c:v>
                </c:pt>
              </c:strCache>
            </c:strRef>
          </c:tx>
          <c:spPr>
            <a:ln>
              <a:noFill/>
            </a:ln>
          </c:spPr>
          <c:marker>
            <c:symbol val="circle"/>
            <c:size val="4"/>
            <c:spPr>
              <a:solidFill>
                <a:schemeClr val="tx2"/>
              </a:solidFill>
              <a:ln>
                <a:solidFill>
                  <a:schemeClr val="bg1"/>
                </a:solidFill>
              </a:ln>
            </c:spPr>
          </c:marker>
          <c:cat>
            <c:numRef>
              <c:f>Sheet1!$B$2:$E$2</c:f>
              <c:numCache>
                <c:formatCode>General</c:formatCode>
                <c:ptCount val="4"/>
                <c:pt idx="0">
                  <c:v>2012</c:v>
                </c:pt>
                <c:pt idx="1">
                  <c:v>2013</c:v>
                </c:pt>
                <c:pt idx="2">
                  <c:v>2014</c:v>
                </c:pt>
                <c:pt idx="3">
                  <c:v>2015</c:v>
                </c:pt>
              </c:numCache>
            </c:numRef>
          </c:cat>
          <c:val>
            <c:numRef>
              <c:f>Sheet1!$B$3:$E$3</c:f>
              <c:numCache>
                <c:formatCode>0.0</c:formatCode>
                <c:ptCount val="4"/>
                <c:pt idx="0">
                  <c:v>-2.5012824324907115</c:v>
                </c:pt>
                <c:pt idx="1">
                  <c:v>-0.43114975499017305</c:v>
                </c:pt>
                <c:pt idx="2">
                  <c:v>0.36790053241530529</c:v>
                </c:pt>
                <c:pt idx="3">
                  <c:v>0.35085675848425524</c:v>
                </c:pt>
              </c:numCache>
            </c:numRef>
          </c:val>
          <c:smooth val="0"/>
        </c:ser>
        <c:dLbls>
          <c:showLegendKey val="0"/>
          <c:showVal val="0"/>
          <c:showCatName val="0"/>
          <c:showSerName val="0"/>
          <c:showPercent val="0"/>
          <c:showBubbleSize val="0"/>
        </c:dLbls>
        <c:marker val="1"/>
        <c:smooth val="0"/>
        <c:axId val="106911616"/>
        <c:axId val="106913152"/>
      </c:lineChart>
      <c:lineChart>
        <c:grouping val="standard"/>
        <c:varyColors val="0"/>
        <c:ser>
          <c:idx val="4"/>
          <c:order val="4"/>
          <c:tx>
            <c:strRef>
              <c:f>Sheet1!$A$7</c:f>
              <c:strCache>
                <c:ptCount val="1"/>
                <c:pt idx="0">
                  <c:v>Ниво на безработица (%), дясна скала</c:v>
                </c:pt>
              </c:strCache>
            </c:strRef>
          </c:tx>
          <c:spPr>
            <a:ln>
              <a:solidFill>
                <a:schemeClr val="accent6">
                  <a:lumMod val="75000"/>
                </a:schemeClr>
              </a:solidFill>
            </a:ln>
          </c:spPr>
          <c:marker>
            <c:symbol val="circle"/>
            <c:size val="4"/>
            <c:spPr>
              <a:solidFill>
                <a:schemeClr val="accent6">
                  <a:lumMod val="75000"/>
                </a:schemeClr>
              </a:solidFill>
              <a:ln>
                <a:solidFill>
                  <a:schemeClr val="bg1"/>
                </a:solidFill>
              </a:ln>
            </c:spPr>
          </c:marker>
          <c:dLbls>
            <c:txPr>
              <a:bodyPr/>
              <a:lstStyle/>
              <a:p>
                <a:pPr>
                  <a:defRPr sz="480" b="0" i="0" u="none" strike="noStrike" baseline="0">
                    <a:solidFill>
                      <a:srgbClr val="000000"/>
                    </a:solidFill>
                    <a:latin typeface="Calibri"/>
                    <a:ea typeface="Calibri"/>
                    <a:cs typeface="Calibri"/>
                  </a:defRPr>
                </a:pPr>
                <a:endParaRPr lang="bg-BG"/>
              </a:p>
            </c:txPr>
            <c:dLblPos val="t"/>
            <c:showLegendKey val="0"/>
            <c:showVal val="1"/>
            <c:showCatName val="0"/>
            <c:showSerName val="0"/>
            <c:showPercent val="0"/>
            <c:showBubbleSize val="0"/>
            <c:showLeaderLines val="0"/>
          </c:dLbls>
          <c:cat>
            <c:numRef>
              <c:f>Sheet1!$B$2:$E$2</c:f>
              <c:numCache>
                <c:formatCode>General</c:formatCode>
                <c:ptCount val="4"/>
                <c:pt idx="0">
                  <c:v>2012</c:v>
                </c:pt>
                <c:pt idx="1">
                  <c:v>2013</c:v>
                </c:pt>
                <c:pt idx="2">
                  <c:v>2014</c:v>
                </c:pt>
                <c:pt idx="3">
                  <c:v>2015</c:v>
                </c:pt>
              </c:numCache>
            </c:numRef>
          </c:cat>
          <c:val>
            <c:numRef>
              <c:f>Sheet1!$B$7:$E$7</c:f>
              <c:numCache>
                <c:formatCode>0.0</c:formatCode>
                <c:ptCount val="4"/>
                <c:pt idx="0">
                  <c:v>12.268636186944951</c:v>
                </c:pt>
                <c:pt idx="1">
                  <c:v>12.941979117228286</c:v>
                </c:pt>
                <c:pt idx="2">
                  <c:v>11.423393446032264</c:v>
                </c:pt>
                <c:pt idx="3">
                  <c:v>9.1429427629607449</c:v>
                </c:pt>
              </c:numCache>
            </c:numRef>
          </c:val>
          <c:smooth val="0"/>
        </c:ser>
        <c:dLbls>
          <c:showLegendKey val="0"/>
          <c:showVal val="0"/>
          <c:showCatName val="0"/>
          <c:showSerName val="0"/>
          <c:showPercent val="0"/>
          <c:showBubbleSize val="0"/>
        </c:dLbls>
        <c:marker val="1"/>
        <c:smooth val="0"/>
        <c:axId val="107202048"/>
        <c:axId val="107203584"/>
      </c:lineChart>
      <c:catAx>
        <c:axId val="106911616"/>
        <c:scaling>
          <c:orientation val="minMax"/>
        </c:scaling>
        <c:delete val="0"/>
        <c:axPos val="b"/>
        <c:numFmt formatCode="General" sourceLinked="1"/>
        <c:majorTickMark val="out"/>
        <c:minorTickMark val="none"/>
        <c:tickLblPos val="low"/>
        <c:txPr>
          <a:bodyPr rot="0" vert="horz"/>
          <a:lstStyle/>
          <a:p>
            <a:pPr>
              <a:defRPr sz="480" b="0" i="0" u="none" strike="noStrike" baseline="0">
                <a:solidFill>
                  <a:srgbClr val="000000"/>
                </a:solidFill>
                <a:latin typeface="Calibri"/>
                <a:ea typeface="Calibri"/>
                <a:cs typeface="Calibri"/>
              </a:defRPr>
            </a:pPr>
            <a:endParaRPr lang="bg-BG"/>
          </a:p>
        </c:txPr>
        <c:crossAx val="106913152"/>
        <c:crosses val="autoZero"/>
        <c:auto val="1"/>
        <c:lblAlgn val="ctr"/>
        <c:lblOffset val="100"/>
        <c:noMultiLvlLbl val="0"/>
      </c:catAx>
      <c:valAx>
        <c:axId val="106913152"/>
        <c:scaling>
          <c:orientation val="minMax"/>
          <c:max val="4"/>
          <c:min val="-3"/>
        </c:scaling>
        <c:delete val="0"/>
        <c:axPos val="l"/>
        <c:numFmt formatCode="0" sourceLinked="0"/>
        <c:majorTickMark val="out"/>
        <c:minorTickMark val="none"/>
        <c:tickLblPos val="nextTo"/>
        <c:txPr>
          <a:bodyPr rot="0" vert="horz"/>
          <a:lstStyle/>
          <a:p>
            <a:pPr>
              <a:defRPr sz="480" b="0" i="0" u="none" strike="noStrike" baseline="0">
                <a:solidFill>
                  <a:srgbClr val="000000"/>
                </a:solidFill>
                <a:latin typeface="Calibri"/>
                <a:ea typeface="Calibri"/>
                <a:cs typeface="Calibri"/>
              </a:defRPr>
            </a:pPr>
            <a:endParaRPr lang="bg-BG"/>
          </a:p>
        </c:txPr>
        <c:crossAx val="106911616"/>
        <c:crosses val="autoZero"/>
        <c:crossBetween val="between"/>
      </c:valAx>
      <c:catAx>
        <c:axId val="107202048"/>
        <c:scaling>
          <c:orientation val="minMax"/>
        </c:scaling>
        <c:delete val="1"/>
        <c:axPos val="b"/>
        <c:numFmt formatCode="General" sourceLinked="1"/>
        <c:majorTickMark val="out"/>
        <c:minorTickMark val="none"/>
        <c:tickLblPos val="nextTo"/>
        <c:crossAx val="107203584"/>
        <c:crossesAt val="9"/>
        <c:auto val="1"/>
        <c:lblAlgn val="ctr"/>
        <c:lblOffset val="100"/>
        <c:noMultiLvlLbl val="0"/>
      </c:catAx>
      <c:valAx>
        <c:axId val="107203584"/>
        <c:scaling>
          <c:orientation val="minMax"/>
          <c:max val="14"/>
          <c:min val="0"/>
        </c:scaling>
        <c:delete val="0"/>
        <c:axPos val="r"/>
        <c:numFmt formatCode="0" sourceLinked="0"/>
        <c:majorTickMark val="out"/>
        <c:minorTickMark val="none"/>
        <c:tickLblPos val="nextTo"/>
        <c:txPr>
          <a:bodyPr rot="0" vert="horz"/>
          <a:lstStyle/>
          <a:p>
            <a:pPr>
              <a:defRPr sz="480" b="0" i="0" u="none" strike="noStrike" baseline="0">
                <a:solidFill>
                  <a:srgbClr val="000000"/>
                </a:solidFill>
                <a:latin typeface="Calibri"/>
                <a:ea typeface="Calibri"/>
                <a:cs typeface="Calibri"/>
              </a:defRPr>
            </a:pPr>
            <a:endParaRPr lang="bg-BG"/>
          </a:p>
        </c:txPr>
        <c:crossAx val="107202048"/>
        <c:crosses val="max"/>
        <c:crossBetween val="between"/>
        <c:majorUnit val="2"/>
      </c:valAx>
    </c:plotArea>
    <c:legend>
      <c:legendPos val="b"/>
      <c:layout>
        <c:manualLayout>
          <c:xMode val="edge"/>
          <c:yMode val="edge"/>
          <c:x val="3.5629453681710214E-2"/>
          <c:y val="0.80451127819548873"/>
          <c:w val="0.94774346793349173"/>
          <c:h val="0.15037593984962405"/>
        </c:manualLayout>
      </c:layout>
      <c:overlay val="0"/>
      <c:txPr>
        <a:bodyPr/>
        <a:lstStyle/>
        <a:p>
          <a:pPr>
            <a:defRPr sz="441" b="0" i="0" u="none" strike="noStrike" baseline="0">
              <a:solidFill>
                <a:srgbClr val="000000"/>
              </a:solidFill>
              <a:latin typeface="Calibri"/>
              <a:ea typeface="Calibri"/>
              <a:cs typeface="Calibri"/>
            </a:defRPr>
          </a:pPr>
          <a:endParaRPr lang="bg-BG"/>
        </a:p>
      </c:txPr>
    </c:legend>
    <c:plotVisOnly val="1"/>
    <c:dispBlanksAs val="gap"/>
    <c:showDLblsOverMax val="0"/>
  </c:chart>
  <c:spPr>
    <a:ln w="6350" cap="flat" cmpd="sng" algn="ctr">
      <a:solidFill>
        <a:srgbClr val="000000"/>
      </a:solidFill>
      <a:prstDash val="solid"/>
      <a:miter lim="800000"/>
      <a:headEnd type="none" w="med" len="med"/>
      <a:tailEnd type="none" w="med" len="med"/>
    </a:ln>
  </c:spPr>
  <c:txPr>
    <a:bodyPr/>
    <a:lstStyle/>
    <a:p>
      <a:pPr>
        <a:defRPr sz="480" b="0" i="0" u="none" strike="noStrike" baseline="0">
          <a:solidFill>
            <a:srgbClr val="000000"/>
          </a:solidFill>
          <a:latin typeface="Calibri"/>
          <a:ea typeface="Calibri"/>
          <a:cs typeface="Calibri"/>
        </a:defRPr>
      </a:pPr>
      <a:endParaRPr lang="bg-BG"/>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800" b="1" i="0" u="none" strike="noStrike" baseline="0">
                <a:solidFill>
                  <a:srgbClr val="000000"/>
                </a:solidFill>
                <a:latin typeface="Times New Roman"/>
                <a:ea typeface="Times New Roman"/>
                <a:cs typeface="Times New Roman"/>
              </a:defRPr>
            </a:pPr>
            <a:r>
              <a:rPr lang="bg-BG" sz="800" baseline="0"/>
              <a:t>Разходи по функции за 2014 г. и 2015 г., представени като относителен дял от БВП</a:t>
            </a:r>
          </a:p>
        </c:rich>
      </c:tx>
      <c:layout>
        <c:manualLayout>
          <c:xMode val="edge"/>
          <c:yMode val="edge"/>
          <c:x val="9.4006443286075908E-2"/>
          <c:y val="3.8855733811371564E-3"/>
        </c:manualLayout>
      </c:layout>
      <c:overlay val="0"/>
      <c:spPr>
        <a:ln w="15223">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4823812026768905"/>
          <c:y val="7.777036345033142E-2"/>
          <c:w val="0.51397758035481167"/>
          <c:h val="0.91373541231074928"/>
        </c:manualLayout>
      </c:layout>
      <c:bar3DChart>
        <c:barDir val="bar"/>
        <c:grouping val="clustered"/>
        <c:varyColors val="0"/>
        <c:ser>
          <c:idx val="0"/>
          <c:order val="0"/>
          <c:tx>
            <c:strRef>
              <c:f>Sheet1!$B$1</c:f>
              <c:strCache>
                <c:ptCount val="1"/>
                <c:pt idx="0">
                  <c:v>Отчет 2014 г.</c:v>
                </c:pt>
              </c:strCache>
            </c:strRef>
          </c:tx>
          <c:invertIfNegative val="0"/>
          <c:dLbls>
            <c:dLbl>
              <c:idx val="0"/>
              <c:layout>
                <c:manualLayout>
                  <c:x val="4.2418472200778821E-3"/>
                  <c:y val="1.4492575821789982E-2"/>
                </c:manualLayout>
              </c:layout>
              <c:showLegendKey val="0"/>
              <c:showVal val="1"/>
              <c:showCatName val="0"/>
              <c:showSerName val="0"/>
              <c:showPercent val="0"/>
              <c:showBubbleSize val="0"/>
            </c:dLbl>
            <c:dLbl>
              <c:idx val="1"/>
              <c:layout>
                <c:manualLayout>
                  <c:x val="7.9987441306931893E-17"/>
                  <c:y val="2.3255813953488372E-2"/>
                </c:manualLayout>
              </c:layout>
              <c:showLegendKey val="0"/>
              <c:showVal val="1"/>
              <c:showCatName val="0"/>
              <c:showSerName val="0"/>
              <c:showPercent val="0"/>
              <c:showBubbleSize val="0"/>
            </c:dLbl>
            <c:dLbl>
              <c:idx val="2"/>
              <c:layout>
                <c:manualLayout>
                  <c:x val="-2.916302128900554E-6"/>
                  <c:y val="6.0601667001256567E-3"/>
                </c:manualLayout>
              </c:layout>
              <c:showLegendKey val="0"/>
              <c:showVal val="1"/>
              <c:showCatName val="0"/>
              <c:showSerName val="0"/>
              <c:showPercent val="0"/>
              <c:showBubbleSize val="0"/>
            </c:dLbl>
            <c:dLbl>
              <c:idx val="3"/>
              <c:layout>
                <c:manualLayout>
                  <c:x val="-4.4043987302634291E-3"/>
                  <c:y val="2.2244399682597886E-2"/>
                </c:manualLayout>
              </c:layout>
              <c:showLegendKey val="0"/>
              <c:showVal val="1"/>
              <c:showCatName val="0"/>
              <c:showSerName val="0"/>
              <c:showPercent val="0"/>
              <c:showBubbleSize val="0"/>
            </c:dLbl>
            <c:dLbl>
              <c:idx val="4"/>
              <c:layout>
                <c:manualLayout>
                  <c:x val="0"/>
                  <c:y val="3.3393947969870441E-2"/>
                </c:manualLayout>
              </c:layout>
              <c:showLegendKey val="0"/>
              <c:showVal val="1"/>
              <c:showCatName val="0"/>
              <c:showSerName val="0"/>
              <c:showPercent val="0"/>
              <c:showBubbleSize val="0"/>
            </c:dLbl>
            <c:dLbl>
              <c:idx val="5"/>
              <c:layout>
                <c:manualLayout>
                  <c:x val="6.3818983411387305E-3"/>
                  <c:y val="4.2181094432681854E-3"/>
                </c:manualLayout>
              </c:layout>
              <c:showLegendKey val="0"/>
              <c:showVal val="1"/>
              <c:showCatName val="0"/>
              <c:showSerName val="0"/>
              <c:showPercent val="0"/>
              <c:showBubbleSize val="0"/>
            </c:dLbl>
            <c:dLbl>
              <c:idx val="6"/>
              <c:layout>
                <c:manualLayout>
                  <c:x val="2.1402226682449808E-3"/>
                  <c:y val="-8.1713728382139543E-4"/>
                </c:manualLayout>
              </c:layout>
              <c:showLegendKey val="0"/>
              <c:showVal val="1"/>
              <c:showCatName val="0"/>
              <c:showSerName val="0"/>
              <c:showPercent val="0"/>
              <c:showBubbleSize val="0"/>
            </c:dLbl>
            <c:dLbl>
              <c:idx val="7"/>
              <c:layout>
                <c:manualLayout>
                  <c:x val="2.1017960990171143E-3"/>
                  <c:y val="-5.8523840109110225E-3"/>
                </c:manualLayout>
              </c:layout>
              <c:showLegendKey val="0"/>
              <c:showVal val="1"/>
              <c:showCatName val="0"/>
              <c:showSerName val="0"/>
              <c:showPercent val="0"/>
              <c:showBubbleSize val="0"/>
            </c:dLbl>
            <c:spPr>
              <a:noFill/>
              <a:ln w="15223">
                <a:noFill/>
              </a:ln>
            </c:spPr>
            <c:txPr>
              <a:bodyPr/>
              <a:lstStyle/>
              <a:p>
                <a:pPr>
                  <a:defRPr sz="600" b="0" i="0" u="none" strike="noStrike" baseline="0">
                    <a:solidFill>
                      <a:srgbClr val="000000"/>
                    </a:solidFill>
                    <a:latin typeface="Times New Roman"/>
                    <a:ea typeface="Times New Roman"/>
                    <a:cs typeface="Times New Roman"/>
                  </a:defRPr>
                </a:pPr>
                <a:endParaRPr lang="bg-BG"/>
              </a:p>
            </c:txPr>
            <c:showLegendKey val="0"/>
            <c:showVal val="1"/>
            <c:showCatName val="0"/>
            <c:showSerName val="0"/>
            <c:showPercent val="0"/>
            <c:showBubbleSize val="0"/>
            <c:showLeaderLines val="0"/>
          </c:dLbls>
          <c:cat>
            <c:strRef>
              <c:f>Sheet1!$A$2:$A$10</c:f>
              <c:strCache>
                <c:ptCount val="9"/>
                <c:pt idx="0">
                  <c:v>IХ. РАЗХОДИ, НЕКЛАСИФИЦИРАНИ В ДРУГИТЕ ФУНКЦИИ</c:v>
                </c:pt>
                <c:pt idx="1">
                  <c:v>VIII. ИКОНОМИЧЕСКИ ДЕЙНОСТИ  И УСЛУГИ</c:v>
                </c:pt>
                <c:pt idx="2">
                  <c:v>VII. ПОЧИВНО ДЕЛО, КУЛТУРА И РЕЛИГИОЗНИ ДЕЙНОСТИ</c:v>
                </c:pt>
                <c:pt idx="3">
                  <c:v>VI. ЖИЛИЩНО СТРОИТЕЛСТВО, БЛАГОУСТРОЙСТВО, КОМУНАЛНО СТОПАНСТВО И ОПАЗВАНЕ НА ОКОЛНАТА СРЕДА</c:v>
                </c:pt>
                <c:pt idx="4">
                  <c:v>V.СОЦИАЛНО ОСИГУРЯВАНЕ, ПОДПОМАГАНЕ И ГРИЖИ</c:v>
                </c:pt>
                <c:pt idx="5">
                  <c:v>IV. ЗДРАВЕОПАЗВАНЕ</c:v>
                </c:pt>
                <c:pt idx="6">
                  <c:v>III. ОБРАЗОВАНИЕ</c:v>
                </c:pt>
                <c:pt idx="7">
                  <c:v>II. ОТБРАНА И СИГУРНОСТ</c:v>
                </c:pt>
                <c:pt idx="8">
                  <c:v>I. ОБЩИ ДЪРЖАВНИ СЛУЖБИ</c:v>
                </c:pt>
              </c:strCache>
            </c:strRef>
          </c:cat>
          <c:val>
            <c:numRef>
              <c:f>Sheet1!$B$2:$B$10</c:f>
              <c:numCache>
                <c:formatCode>0.0%</c:formatCode>
                <c:ptCount val="9"/>
                <c:pt idx="0">
                  <c:v>7.0000000000000001E-3</c:v>
                </c:pt>
                <c:pt idx="1">
                  <c:v>4.5999999999999999E-2</c:v>
                </c:pt>
                <c:pt idx="2">
                  <c:v>8.9999999999999993E-3</c:v>
                </c:pt>
                <c:pt idx="3">
                  <c:v>0.03</c:v>
                </c:pt>
                <c:pt idx="4">
                  <c:v>0.13600000000000001</c:v>
                </c:pt>
                <c:pt idx="5">
                  <c:v>4.8000000000000001E-2</c:v>
                </c:pt>
                <c:pt idx="6">
                  <c:v>3.9E-2</c:v>
                </c:pt>
                <c:pt idx="7">
                  <c:v>3.9E-2</c:v>
                </c:pt>
                <c:pt idx="8">
                  <c:v>2.1999999999999999E-2</c:v>
                </c:pt>
              </c:numCache>
            </c:numRef>
          </c:val>
        </c:ser>
        <c:ser>
          <c:idx val="1"/>
          <c:order val="1"/>
          <c:tx>
            <c:strRef>
              <c:f>Sheet1!$C$1</c:f>
              <c:strCache>
                <c:ptCount val="1"/>
                <c:pt idx="0">
                  <c:v>Отчет 2015 г.</c:v>
                </c:pt>
              </c:strCache>
            </c:strRef>
          </c:tx>
          <c:spPr>
            <a:pattFill prst="smGrid">
              <a:fgClr>
                <a:srgbClr val="C0504D">
                  <a:lumMod val="75000"/>
                </a:srgbClr>
              </a:fgClr>
              <a:bgClr>
                <a:sysClr val="window" lastClr="FFFFFF"/>
              </a:bgClr>
            </a:pattFill>
          </c:spPr>
          <c:invertIfNegative val="0"/>
          <c:dLbls>
            <c:dLbl>
              <c:idx val="0"/>
              <c:layout>
                <c:manualLayout>
                  <c:x val="0"/>
                  <c:y val="-3.2826987278148306E-4"/>
                </c:manualLayout>
              </c:layout>
              <c:showLegendKey val="0"/>
              <c:showVal val="1"/>
              <c:showCatName val="0"/>
              <c:showSerName val="0"/>
              <c:showPercent val="0"/>
              <c:showBubbleSize val="0"/>
            </c:dLbl>
            <c:dLbl>
              <c:idx val="1"/>
              <c:layout>
                <c:manualLayout>
                  <c:x val="0"/>
                  <c:y val="-2.8985507246376899E-2"/>
                </c:manualLayout>
              </c:layout>
              <c:showLegendKey val="0"/>
              <c:showVal val="1"/>
              <c:showCatName val="0"/>
              <c:showSerName val="0"/>
              <c:showPercent val="0"/>
              <c:showBubbleSize val="0"/>
            </c:dLbl>
            <c:dLbl>
              <c:idx val="2"/>
              <c:layout>
                <c:manualLayout>
                  <c:x val="0"/>
                  <c:y val="-1.4492753623188406E-2"/>
                </c:manualLayout>
              </c:layout>
              <c:showLegendKey val="0"/>
              <c:showVal val="1"/>
              <c:showCatName val="0"/>
              <c:showSerName val="0"/>
              <c:showPercent val="0"/>
              <c:showBubbleSize val="0"/>
            </c:dLbl>
            <c:dLbl>
              <c:idx val="4"/>
              <c:layout>
                <c:manualLayout>
                  <c:x val="0"/>
                  <c:y val="-3.6958074047829421E-2"/>
                </c:manualLayout>
              </c:layout>
              <c:showLegendKey val="0"/>
              <c:showVal val="1"/>
              <c:showCatName val="0"/>
              <c:showSerName val="0"/>
              <c:showPercent val="0"/>
              <c:showBubbleSize val="0"/>
            </c:dLbl>
            <c:dLbl>
              <c:idx val="5"/>
              <c:layout>
                <c:manualLayout>
                  <c:x val="-7.9882882560125439E-17"/>
                  <c:y val="-1.5105740181268836E-2"/>
                </c:manualLayout>
              </c:layout>
              <c:showLegendKey val="0"/>
              <c:showVal val="1"/>
              <c:showCatName val="0"/>
              <c:showSerName val="0"/>
              <c:showPercent val="0"/>
              <c:showBubbleSize val="0"/>
            </c:dLbl>
            <c:dLbl>
              <c:idx val="6"/>
              <c:layout>
                <c:manualLayout>
                  <c:x val="0"/>
                  <c:y val="-2.014098690835851E-2"/>
                </c:manualLayout>
              </c:layout>
              <c:showLegendKey val="0"/>
              <c:showVal val="1"/>
              <c:showCatName val="0"/>
              <c:showSerName val="0"/>
              <c:showPercent val="0"/>
              <c:showBubbleSize val="0"/>
            </c:dLbl>
            <c:dLbl>
              <c:idx val="7"/>
              <c:layout>
                <c:manualLayout>
                  <c:x val="-2.7447549448475801E-6"/>
                  <c:y val="-2.9232376406207013E-2"/>
                </c:manualLayout>
              </c:layout>
              <c:showLegendKey val="0"/>
              <c:showVal val="1"/>
              <c:showCatName val="0"/>
              <c:showSerName val="0"/>
              <c:showPercent val="0"/>
              <c:showBubbleSize val="0"/>
            </c:dLbl>
            <c:dLbl>
              <c:idx val="8"/>
              <c:layout>
                <c:manualLayout>
                  <c:x val="1.9748594907311977E-3"/>
                  <c:y val="-2.9996337667093941E-2"/>
                </c:manualLayout>
              </c:layout>
              <c:showLegendKey val="0"/>
              <c:showVal val="1"/>
              <c:showCatName val="0"/>
              <c:showSerName val="0"/>
              <c:showPercent val="0"/>
              <c:showBubbleSize val="0"/>
            </c:dLbl>
            <c:spPr>
              <a:noFill/>
              <a:ln w="15223">
                <a:noFill/>
              </a:ln>
            </c:spPr>
            <c:txPr>
              <a:bodyPr/>
              <a:lstStyle/>
              <a:p>
                <a:pPr>
                  <a:defRPr sz="600" b="0" i="0" u="none" strike="noStrike" baseline="0">
                    <a:solidFill>
                      <a:srgbClr val="000000"/>
                    </a:solidFill>
                    <a:latin typeface="Times New Roman"/>
                    <a:ea typeface="Times New Roman"/>
                    <a:cs typeface="Times New Roman"/>
                  </a:defRPr>
                </a:pPr>
                <a:endParaRPr lang="bg-BG"/>
              </a:p>
            </c:txPr>
            <c:showLegendKey val="0"/>
            <c:showVal val="1"/>
            <c:showCatName val="0"/>
            <c:showSerName val="0"/>
            <c:showPercent val="0"/>
            <c:showBubbleSize val="0"/>
            <c:showLeaderLines val="0"/>
          </c:dLbls>
          <c:cat>
            <c:strRef>
              <c:f>Sheet1!$A$2:$A$10</c:f>
              <c:strCache>
                <c:ptCount val="9"/>
                <c:pt idx="0">
                  <c:v>IХ. РАЗХОДИ, НЕКЛАСИФИЦИРАНИ В ДРУГИТЕ ФУНКЦИИ</c:v>
                </c:pt>
                <c:pt idx="1">
                  <c:v>VIII. ИКОНОМИЧЕСКИ ДЕЙНОСТИ  И УСЛУГИ</c:v>
                </c:pt>
                <c:pt idx="2">
                  <c:v>VII. ПОЧИВНО ДЕЛО, КУЛТУРА И РЕЛИГИОЗНИ ДЕЙНОСТИ</c:v>
                </c:pt>
                <c:pt idx="3">
                  <c:v>VI. ЖИЛИЩНО СТРОИТЕЛСТВО, БЛАГОУСТРОЙСТВО, КОМУНАЛНО СТОПАНСТВО И ОПАЗВАНЕ НА ОКОЛНАТА СРЕДА</c:v>
                </c:pt>
                <c:pt idx="4">
                  <c:v>V.СОЦИАЛНО ОСИГУРЯВАНЕ, ПОДПОМАГАНЕ И ГРИЖИ</c:v>
                </c:pt>
                <c:pt idx="5">
                  <c:v>IV. ЗДРАВЕОПАЗВАНЕ</c:v>
                </c:pt>
                <c:pt idx="6">
                  <c:v>III. ОБРАЗОВАНИЕ</c:v>
                </c:pt>
                <c:pt idx="7">
                  <c:v>II. ОТБРАНА И СИГУРНОСТ</c:v>
                </c:pt>
                <c:pt idx="8">
                  <c:v>I. ОБЩИ ДЪРЖАВНИ СЛУЖБИ</c:v>
                </c:pt>
              </c:strCache>
            </c:strRef>
          </c:cat>
          <c:val>
            <c:numRef>
              <c:f>Sheet1!$C$2:$C$10</c:f>
              <c:numCache>
                <c:formatCode>0.0%</c:formatCode>
                <c:ptCount val="9"/>
                <c:pt idx="0">
                  <c:v>8.0000000000000002E-3</c:v>
                </c:pt>
                <c:pt idx="1">
                  <c:v>0.06</c:v>
                </c:pt>
                <c:pt idx="2">
                  <c:v>0.01</c:v>
                </c:pt>
                <c:pt idx="3">
                  <c:v>3.5999999999999997E-2</c:v>
                </c:pt>
                <c:pt idx="4">
                  <c:v>0.13500000000000001</c:v>
                </c:pt>
                <c:pt idx="5">
                  <c:v>4.5999999999999999E-2</c:v>
                </c:pt>
                <c:pt idx="6">
                  <c:v>3.5999999999999997E-2</c:v>
                </c:pt>
                <c:pt idx="7">
                  <c:v>3.7999999999999999E-2</c:v>
                </c:pt>
                <c:pt idx="8">
                  <c:v>2.1000000000000001E-2</c:v>
                </c:pt>
              </c:numCache>
            </c:numRef>
          </c:val>
        </c:ser>
        <c:dLbls>
          <c:showLegendKey val="0"/>
          <c:showVal val="0"/>
          <c:showCatName val="0"/>
          <c:showSerName val="0"/>
          <c:showPercent val="0"/>
          <c:showBubbleSize val="0"/>
        </c:dLbls>
        <c:gapWidth val="150"/>
        <c:shape val="box"/>
        <c:axId val="199837952"/>
        <c:axId val="201036160"/>
        <c:axId val="0"/>
      </c:bar3DChart>
      <c:catAx>
        <c:axId val="199837952"/>
        <c:scaling>
          <c:orientation val="minMax"/>
        </c:scaling>
        <c:delete val="0"/>
        <c:axPos val="l"/>
        <c:numFmt formatCode="General" sourceLinked="1"/>
        <c:majorTickMark val="none"/>
        <c:minorTickMark val="none"/>
        <c:tickLblPos val="nextTo"/>
        <c:txPr>
          <a:bodyPr rot="0" vert="horz"/>
          <a:lstStyle/>
          <a:p>
            <a:pPr>
              <a:defRPr sz="600" b="1" i="0" u="none" strike="noStrike" baseline="0">
                <a:solidFill>
                  <a:srgbClr val="000000"/>
                </a:solidFill>
                <a:latin typeface="Times New Roman"/>
                <a:ea typeface="Times New Roman"/>
                <a:cs typeface="Times New Roman"/>
              </a:defRPr>
            </a:pPr>
            <a:endParaRPr lang="bg-BG"/>
          </a:p>
        </c:txPr>
        <c:crossAx val="201036160"/>
        <c:crosses val="autoZero"/>
        <c:auto val="1"/>
        <c:lblAlgn val="ctr"/>
        <c:lblOffset val="100"/>
        <c:noMultiLvlLbl val="0"/>
      </c:catAx>
      <c:valAx>
        <c:axId val="201036160"/>
        <c:scaling>
          <c:orientation val="minMax"/>
        </c:scaling>
        <c:delete val="1"/>
        <c:axPos val="b"/>
        <c:numFmt formatCode="0.0%" sourceLinked="1"/>
        <c:majorTickMark val="out"/>
        <c:minorTickMark val="none"/>
        <c:tickLblPos val="nextTo"/>
        <c:crossAx val="199837952"/>
        <c:crosses val="autoZero"/>
        <c:crossBetween val="between"/>
      </c:valAx>
      <c:spPr>
        <a:noFill/>
        <a:ln w="15223">
          <a:noFill/>
        </a:ln>
      </c:spPr>
    </c:plotArea>
    <c:legend>
      <c:legendPos val="r"/>
      <c:layout>
        <c:manualLayout>
          <c:xMode val="edge"/>
          <c:yMode val="edge"/>
          <c:x val="0.68938193343898568"/>
          <c:y val="0.88530465949820791"/>
          <c:w val="0.30586370839936611"/>
          <c:h val="7.1684587813620068E-2"/>
        </c:manualLayout>
      </c:layout>
      <c:overlay val="0"/>
      <c:txPr>
        <a:bodyPr/>
        <a:lstStyle/>
        <a:p>
          <a:pPr>
            <a:defRPr sz="800" b="0" i="0" u="none" strike="noStrike" baseline="0">
              <a:solidFill>
                <a:srgbClr val="000000"/>
              </a:solidFill>
              <a:latin typeface="Calibri"/>
              <a:ea typeface="Calibri"/>
              <a:cs typeface="Calibri"/>
            </a:defRPr>
          </a:pPr>
          <a:endParaRPr lang="bg-BG"/>
        </a:p>
      </c:txPr>
    </c:legend>
    <c:plotVisOnly val="1"/>
    <c:dispBlanksAs val="gap"/>
    <c:showDLblsOverMax val="0"/>
  </c:chart>
  <c:txPr>
    <a:bodyPr/>
    <a:lstStyle/>
    <a:p>
      <a:pPr>
        <a:defRPr sz="599" b="0" i="0" u="none" strike="noStrike" baseline="0">
          <a:solidFill>
            <a:srgbClr val="000000"/>
          </a:solidFill>
          <a:latin typeface="Calibri"/>
          <a:ea typeface="Calibri"/>
          <a:cs typeface="Calibri"/>
        </a:defRPr>
      </a:pPr>
      <a:endParaRPr lang="bg-BG"/>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350"/>
      <c:rAngAx val="0"/>
      <c:perspective val="0"/>
    </c:view3D>
    <c:floor>
      <c:thickness val="0"/>
    </c:floor>
    <c:sideWall>
      <c:thickness val="0"/>
    </c:sideWall>
    <c:backWall>
      <c:thickness val="0"/>
    </c:backWall>
    <c:plotArea>
      <c:layout>
        <c:manualLayout>
          <c:layoutTarget val="inner"/>
          <c:xMode val="edge"/>
          <c:yMode val="edge"/>
          <c:x val="0.21754385964912282"/>
          <c:y val="0.25882352941176473"/>
          <c:w val="0.60701754385964912"/>
          <c:h val="0.40588235294117647"/>
        </c:manualLayout>
      </c:layout>
      <c:pie3DChart>
        <c:varyColors val="1"/>
        <c:ser>
          <c:idx val="0"/>
          <c:order val="0"/>
          <c:tx>
            <c:strRef>
              <c:f>Sheet1!$A$2</c:f>
              <c:strCache>
                <c:ptCount val="1"/>
                <c:pt idx="0">
                  <c:v>2014</c:v>
                </c:pt>
              </c:strCache>
            </c:strRef>
          </c:tx>
          <c:spPr>
            <a:solidFill>
              <a:srgbClr val="9999FF"/>
            </a:solidFill>
            <a:ln w="10481">
              <a:solidFill>
                <a:srgbClr val="000000"/>
              </a:solidFill>
              <a:prstDash val="solid"/>
            </a:ln>
          </c:spPr>
          <c:dPt>
            <c:idx val="0"/>
            <c:bubble3D val="0"/>
          </c:dPt>
          <c:dPt>
            <c:idx val="1"/>
            <c:bubble3D val="0"/>
            <c:spPr>
              <a:solidFill>
                <a:srgbClr val="993366"/>
              </a:solidFill>
              <a:ln w="10481">
                <a:solidFill>
                  <a:srgbClr val="000000"/>
                </a:solidFill>
                <a:prstDash val="solid"/>
              </a:ln>
            </c:spPr>
          </c:dPt>
          <c:dPt>
            <c:idx val="2"/>
            <c:bubble3D val="0"/>
            <c:spPr>
              <a:solidFill>
                <a:srgbClr val="FFFFCC"/>
              </a:solidFill>
              <a:ln w="10481">
                <a:solidFill>
                  <a:srgbClr val="000000"/>
                </a:solidFill>
                <a:prstDash val="solid"/>
              </a:ln>
            </c:spPr>
          </c:dPt>
          <c:dPt>
            <c:idx val="3"/>
            <c:bubble3D val="0"/>
            <c:spPr>
              <a:solidFill>
                <a:srgbClr val="CCFFFF"/>
              </a:solidFill>
              <a:ln w="10481">
                <a:solidFill>
                  <a:srgbClr val="000000"/>
                </a:solidFill>
                <a:prstDash val="solid"/>
              </a:ln>
            </c:spPr>
          </c:dPt>
          <c:dPt>
            <c:idx val="4"/>
            <c:bubble3D val="0"/>
            <c:spPr>
              <a:solidFill>
                <a:srgbClr val="660066"/>
              </a:solidFill>
              <a:ln w="10481">
                <a:solidFill>
                  <a:srgbClr val="000000"/>
                </a:solidFill>
                <a:prstDash val="solid"/>
              </a:ln>
            </c:spPr>
          </c:dPt>
          <c:dPt>
            <c:idx val="5"/>
            <c:bubble3D val="0"/>
            <c:spPr>
              <a:solidFill>
                <a:srgbClr val="FF8080"/>
              </a:solidFill>
              <a:ln w="10481">
                <a:solidFill>
                  <a:srgbClr val="000000"/>
                </a:solidFill>
                <a:prstDash val="solid"/>
              </a:ln>
            </c:spPr>
          </c:dPt>
          <c:dPt>
            <c:idx val="6"/>
            <c:bubble3D val="0"/>
            <c:spPr>
              <a:solidFill>
                <a:srgbClr val="0066CC"/>
              </a:solidFill>
              <a:ln w="10481">
                <a:solidFill>
                  <a:srgbClr val="000000"/>
                </a:solidFill>
                <a:prstDash val="solid"/>
              </a:ln>
            </c:spPr>
          </c:dPt>
          <c:dPt>
            <c:idx val="7"/>
            <c:bubble3D val="0"/>
            <c:spPr>
              <a:solidFill>
                <a:srgbClr val="CCCCFF"/>
              </a:solidFill>
              <a:ln w="10481">
                <a:solidFill>
                  <a:srgbClr val="000000"/>
                </a:solidFill>
                <a:prstDash val="solid"/>
              </a:ln>
            </c:spPr>
          </c:dPt>
          <c:dLbls>
            <c:dLbl>
              <c:idx val="0"/>
              <c:layout>
                <c:manualLayout>
                  <c:x val="3.335761601228418E-2"/>
                  <c:y val="-0.13049719495963477"/>
                </c:manualLayout>
              </c:layout>
              <c:spPr>
                <a:solidFill>
                  <a:srgbClr val="FFFFFF"/>
                </a:solidFill>
                <a:ln w="20963">
                  <a:noFill/>
                </a:ln>
              </c:spPr>
              <c:txPr>
                <a:bodyPr/>
                <a:lstStyle/>
                <a:p>
                  <a:pPr>
                    <a:defRPr sz="748" b="0" i="0" u="none" strike="noStrike" baseline="0">
                      <a:solidFill>
                        <a:srgbClr val="000000"/>
                      </a:solidFill>
                      <a:latin typeface="Times New Roman"/>
                      <a:ea typeface="Times New Roman"/>
                      <a:cs typeface="Times New Roman"/>
                    </a:defRPr>
                  </a:pPr>
                  <a:endParaRPr lang="bg-BG"/>
                </a:p>
              </c:txPr>
              <c:dLblPos val="bestFit"/>
              <c:showLegendKey val="0"/>
              <c:showVal val="1"/>
              <c:showCatName val="1"/>
              <c:showSerName val="0"/>
              <c:showPercent val="0"/>
              <c:showBubbleSize val="0"/>
            </c:dLbl>
            <c:dLbl>
              <c:idx val="1"/>
              <c:layout>
                <c:manualLayout>
                  <c:x val="9.9450256687838898E-2"/>
                  <c:y val="-2.1064718199055286E-2"/>
                </c:manualLayout>
              </c:layout>
              <c:spPr>
                <a:solidFill>
                  <a:srgbClr val="FFFFFF"/>
                </a:solidFill>
                <a:ln w="20963">
                  <a:noFill/>
                </a:ln>
              </c:spPr>
              <c:txPr>
                <a:bodyPr/>
                <a:lstStyle/>
                <a:p>
                  <a:pPr>
                    <a:defRPr sz="748" b="0" i="0" u="none" strike="noStrike" baseline="0">
                      <a:solidFill>
                        <a:srgbClr val="000000"/>
                      </a:solidFill>
                      <a:latin typeface="Times New Roman"/>
                      <a:ea typeface="Times New Roman"/>
                      <a:cs typeface="Times New Roman"/>
                    </a:defRPr>
                  </a:pPr>
                  <a:endParaRPr lang="bg-BG"/>
                </a:p>
              </c:txPr>
              <c:dLblPos val="bestFit"/>
              <c:showLegendKey val="0"/>
              <c:showVal val="1"/>
              <c:showCatName val="1"/>
              <c:showSerName val="0"/>
              <c:showPercent val="0"/>
              <c:showBubbleSize val="0"/>
            </c:dLbl>
            <c:dLbl>
              <c:idx val="2"/>
              <c:layout>
                <c:manualLayout>
                  <c:x val="0.12411390305535112"/>
                  <c:y val="0.11645851439753102"/>
                </c:manualLayout>
              </c:layout>
              <c:spPr>
                <a:solidFill>
                  <a:srgbClr val="FFFFFF"/>
                </a:solidFill>
                <a:ln w="20963">
                  <a:noFill/>
                </a:ln>
              </c:spPr>
              <c:txPr>
                <a:bodyPr/>
                <a:lstStyle/>
                <a:p>
                  <a:pPr>
                    <a:defRPr sz="748" b="0" i="0" u="none" strike="noStrike" baseline="0">
                      <a:solidFill>
                        <a:srgbClr val="000000"/>
                      </a:solidFill>
                      <a:latin typeface="Times New Roman"/>
                      <a:ea typeface="Times New Roman"/>
                      <a:cs typeface="Times New Roman"/>
                    </a:defRPr>
                  </a:pPr>
                  <a:endParaRPr lang="bg-BG"/>
                </a:p>
              </c:txPr>
              <c:dLblPos val="bestFit"/>
              <c:showLegendKey val="0"/>
              <c:showVal val="1"/>
              <c:showCatName val="1"/>
              <c:showSerName val="0"/>
              <c:showPercent val="0"/>
              <c:showBubbleSize val="0"/>
            </c:dLbl>
            <c:dLbl>
              <c:idx val="3"/>
              <c:layout>
                <c:manualLayout>
                  <c:x val="-9.7895883315337454E-2"/>
                  <c:y val="0.14587027910341338"/>
                </c:manualLayout>
              </c:layout>
              <c:spPr>
                <a:solidFill>
                  <a:srgbClr val="FFFFFF"/>
                </a:solidFill>
                <a:ln w="20963">
                  <a:noFill/>
                </a:ln>
              </c:spPr>
              <c:txPr>
                <a:bodyPr/>
                <a:lstStyle/>
                <a:p>
                  <a:pPr>
                    <a:defRPr sz="748" b="0" i="0" u="none" strike="noStrike" baseline="0">
                      <a:solidFill>
                        <a:srgbClr val="000000"/>
                      </a:solidFill>
                      <a:latin typeface="Times New Roman"/>
                      <a:ea typeface="Times New Roman"/>
                      <a:cs typeface="Times New Roman"/>
                    </a:defRPr>
                  </a:pPr>
                  <a:endParaRPr lang="bg-BG"/>
                </a:p>
              </c:txPr>
              <c:dLblPos val="bestFit"/>
              <c:showLegendKey val="0"/>
              <c:showVal val="1"/>
              <c:showCatName val="1"/>
              <c:showSerName val="0"/>
              <c:showPercent val="0"/>
              <c:showBubbleSize val="0"/>
            </c:dLbl>
            <c:dLbl>
              <c:idx val="4"/>
              <c:layout>
                <c:manualLayout>
                  <c:x val="-0.15795536836090976"/>
                  <c:y val="0.14135747406987209"/>
                </c:manualLayout>
              </c:layout>
              <c:spPr>
                <a:solidFill>
                  <a:srgbClr val="FFFFFF"/>
                </a:solidFill>
                <a:ln w="20963">
                  <a:noFill/>
                </a:ln>
              </c:spPr>
              <c:txPr>
                <a:bodyPr/>
                <a:lstStyle/>
                <a:p>
                  <a:pPr>
                    <a:defRPr sz="748" b="0" i="0" u="none" strike="noStrike" baseline="0">
                      <a:solidFill>
                        <a:srgbClr val="000000"/>
                      </a:solidFill>
                      <a:latin typeface="Times New Roman"/>
                      <a:ea typeface="Times New Roman"/>
                      <a:cs typeface="Times New Roman"/>
                    </a:defRPr>
                  </a:pPr>
                  <a:endParaRPr lang="bg-BG"/>
                </a:p>
              </c:txPr>
              <c:dLblPos val="bestFit"/>
              <c:showLegendKey val="0"/>
              <c:showVal val="1"/>
              <c:showCatName val="1"/>
              <c:showSerName val="0"/>
              <c:showPercent val="0"/>
              <c:showBubbleSize val="0"/>
            </c:dLbl>
            <c:dLbl>
              <c:idx val="5"/>
              <c:layout>
                <c:manualLayout>
                  <c:x val="-2.5186607313183614E-2"/>
                  <c:y val="2.5994105330356534E-2"/>
                </c:manualLayout>
              </c:layout>
              <c:spPr>
                <a:solidFill>
                  <a:srgbClr val="FFFFFF"/>
                </a:solidFill>
                <a:ln w="20963">
                  <a:noFill/>
                </a:ln>
              </c:spPr>
              <c:txPr>
                <a:bodyPr/>
                <a:lstStyle/>
                <a:p>
                  <a:pPr>
                    <a:defRPr sz="748" b="0" i="0" u="none" strike="noStrike" baseline="0">
                      <a:solidFill>
                        <a:srgbClr val="000000"/>
                      </a:solidFill>
                      <a:latin typeface="Times New Roman"/>
                      <a:ea typeface="Times New Roman"/>
                      <a:cs typeface="Times New Roman"/>
                    </a:defRPr>
                  </a:pPr>
                  <a:endParaRPr lang="bg-BG"/>
                </a:p>
              </c:txPr>
              <c:dLblPos val="bestFit"/>
              <c:showLegendKey val="0"/>
              <c:showVal val="1"/>
              <c:showCatName val="1"/>
              <c:showSerName val="0"/>
              <c:showPercent val="0"/>
              <c:showBubbleSize val="0"/>
            </c:dLbl>
            <c:dLbl>
              <c:idx val="6"/>
              <c:layout>
                <c:manualLayout>
                  <c:x val="-7.7041516426987977E-2"/>
                  <c:y val="-0.16900416859657247"/>
                </c:manualLayout>
              </c:layout>
              <c:spPr>
                <a:solidFill>
                  <a:srgbClr val="FFFFFF"/>
                </a:solidFill>
                <a:ln w="20963">
                  <a:noFill/>
                </a:ln>
              </c:spPr>
              <c:txPr>
                <a:bodyPr/>
                <a:lstStyle/>
                <a:p>
                  <a:pPr>
                    <a:defRPr sz="748" b="0" i="0" u="none" strike="noStrike" baseline="0">
                      <a:solidFill>
                        <a:srgbClr val="000000"/>
                      </a:solidFill>
                      <a:latin typeface="Times New Roman"/>
                      <a:ea typeface="Times New Roman"/>
                      <a:cs typeface="Times New Roman"/>
                    </a:defRPr>
                  </a:pPr>
                  <a:endParaRPr lang="bg-BG"/>
                </a:p>
              </c:txPr>
              <c:dLblPos val="bestFit"/>
              <c:showLegendKey val="0"/>
              <c:showVal val="1"/>
              <c:showCatName val="1"/>
              <c:showSerName val="0"/>
              <c:showPercent val="0"/>
              <c:showBubbleSize val="0"/>
            </c:dLbl>
            <c:dLbl>
              <c:idx val="7"/>
              <c:layout>
                <c:manualLayout>
                  <c:x val="4.6773796132626277E-2"/>
                  <c:y val="-0.1635128310383003"/>
                </c:manualLayout>
              </c:layout>
              <c:spPr>
                <a:solidFill>
                  <a:srgbClr val="FFFFFF"/>
                </a:solidFill>
                <a:ln w="20963">
                  <a:noFill/>
                </a:ln>
              </c:spPr>
              <c:txPr>
                <a:bodyPr/>
                <a:lstStyle/>
                <a:p>
                  <a:pPr>
                    <a:defRPr sz="748" b="0" i="0" u="none" strike="noStrike" baseline="0">
                      <a:solidFill>
                        <a:srgbClr val="000000"/>
                      </a:solidFill>
                      <a:latin typeface="Times New Roman"/>
                      <a:ea typeface="Times New Roman"/>
                      <a:cs typeface="Times New Roman"/>
                    </a:defRPr>
                  </a:pPr>
                  <a:endParaRPr lang="bg-BG"/>
                </a:p>
              </c:txPr>
              <c:dLblPos val="bestFit"/>
              <c:showLegendKey val="0"/>
              <c:showVal val="1"/>
              <c:showCatName val="1"/>
              <c:showSerName val="0"/>
              <c:showPercent val="0"/>
              <c:showBubbleSize val="0"/>
            </c:dLbl>
            <c:numFmt formatCode="0%" sourceLinked="0"/>
            <c:spPr>
              <a:solidFill>
                <a:srgbClr val="FFFFFF"/>
              </a:solidFill>
              <a:ln w="20963">
                <a:noFill/>
              </a:ln>
            </c:spPr>
            <c:txPr>
              <a:bodyPr/>
              <a:lstStyle/>
              <a:p>
                <a:pPr>
                  <a:defRPr sz="748" b="0" i="0" u="none" strike="noStrike" baseline="0">
                    <a:solidFill>
                      <a:srgbClr val="000000"/>
                    </a:solidFill>
                    <a:latin typeface="Times New Roman"/>
                    <a:ea typeface="Times New Roman"/>
                    <a:cs typeface="Times New Roman"/>
                  </a:defRPr>
                </a:pPr>
                <a:endParaRPr lang="bg-BG"/>
              </a:p>
            </c:txPr>
            <c:showLegendKey val="0"/>
            <c:showVal val="1"/>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Sheet1!$B$2:$I$2</c:f>
              <c:numCache>
                <c:formatCode>0.0%</c:formatCode>
                <c:ptCount val="8"/>
                <c:pt idx="0">
                  <c:v>0.315</c:v>
                </c:pt>
                <c:pt idx="1">
                  <c:v>0.17499999999999999</c:v>
                </c:pt>
                <c:pt idx="2">
                  <c:v>7.0000000000000001E-3</c:v>
                </c:pt>
                <c:pt idx="3">
                  <c:v>1E-3</c:v>
                </c:pt>
                <c:pt idx="4">
                  <c:v>7.2999999999999995E-2</c:v>
                </c:pt>
                <c:pt idx="5">
                  <c:v>0.113</c:v>
                </c:pt>
                <c:pt idx="6">
                  <c:v>3.5999999999999997E-2</c:v>
                </c:pt>
                <c:pt idx="7">
                  <c:v>0.28000000000000003</c:v>
                </c:pt>
              </c:numCache>
            </c:numRef>
          </c:val>
        </c:ser>
        <c:ser>
          <c:idx val="1"/>
          <c:order val="1"/>
          <c:tx>
            <c:strRef>
              <c:f>Sheet1!$A$3</c:f>
              <c:strCache>
                <c:ptCount val="1"/>
              </c:strCache>
            </c:strRef>
          </c:tx>
          <c:spPr>
            <a:solidFill>
              <a:srgbClr val="993366"/>
            </a:solidFill>
            <a:ln w="10481">
              <a:solidFill>
                <a:srgbClr val="000000"/>
              </a:solidFill>
              <a:prstDash val="solid"/>
            </a:ln>
          </c:spPr>
          <c:dPt>
            <c:idx val="0"/>
            <c:bubble3D val="0"/>
            <c:spPr>
              <a:solidFill>
                <a:srgbClr val="9999FF"/>
              </a:solidFill>
              <a:ln w="10481">
                <a:solidFill>
                  <a:srgbClr val="000000"/>
                </a:solidFill>
                <a:prstDash val="solid"/>
              </a:ln>
            </c:spPr>
          </c:dPt>
          <c:dPt>
            <c:idx val="1"/>
            <c:bubble3D val="0"/>
          </c:dPt>
          <c:dPt>
            <c:idx val="2"/>
            <c:bubble3D val="0"/>
            <c:spPr>
              <a:solidFill>
                <a:srgbClr val="FFFFCC"/>
              </a:solidFill>
              <a:ln w="10481">
                <a:solidFill>
                  <a:srgbClr val="000000"/>
                </a:solidFill>
                <a:prstDash val="solid"/>
              </a:ln>
            </c:spPr>
          </c:dPt>
          <c:dPt>
            <c:idx val="3"/>
            <c:bubble3D val="0"/>
            <c:spPr>
              <a:solidFill>
                <a:srgbClr val="CCFFFF"/>
              </a:solidFill>
              <a:ln w="10481">
                <a:solidFill>
                  <a:srgbClr val="000000"/>
                </a:solidFill>
                <a:prstDash val="solid"/>
              </a:ln>
            </c:spPr>
          </c:dPt>
          <c:dPt>
            <c:idx val="4"/>
            <c:bubble3D val="0"/>
            <c:spPr>
              <a:solidFill>
                <a:srgbClr val="660066"/>
              </a:solidFill>
              <a:ln w="10481">
                <a:solidFill>
                  <a:srgbClr val="000000"/>
                </a:solidFill>
                <a:prstDash val="solid"/>
              </a:ln>
            </c:spPr>
          </c:dPt>
          <c:dPt>
            <c:idx val="5"/>
            <c:bubble3D val="0"/>
            <c:spPr>
              <a:solidFill>
                <a:srgbClr val="FF8080"/>
              </a:solidFill>
              <a:ln w="10481">
                <a:solidFill>
                  <a:srgbClr val="000000"/>
                </a:solidFill>
                <a:prstDash val="solid"/>
              </a:ln>
            </c:spPr>
          </c:dPt>
          <c:dPt>
            <c:idx val="6"/>
            <c:bubble3D val="0"/>
            <c:spPr>
              <a:solidFill>
                <a:srgbClr val="0066CC"/>
              </a:solidFill>
              <a:ln w="10481">
                <a:solidFill>
                  <a:srgbClr val="000000"/>
                </a:solidFill>
                <a:prstDash val="solid"/>
              </a:ln>
            </c:spPr>
          </c:dPt>
          <c:dPt>
            <c:idx val="7"/>
            <c:bubble3D val="0"/>
            <c:spPr>
              <a:solidFill>
                <a:srgbClr val="CCCCFF"/>
              </a:solidFill>
              <a:ln w="10481">
                <a:solidFill>
                  <a:srgbClr val="000000"/>
                </a:solidFill>
                <a:prstDash val="solid"/>
              </a:ln>
            </c:spPr>
          </c:dPt>
          <c:dLbls>
            <c:numFmt formatCode="0%" sourceLinked="0"/>
            <c:spPr>
              <a:noFill/>
              <a:ln w="25037">
                <a:noFill/>
              </a:ln>
            </c:spPr>
            <c:txPr>
              <a:bodyPr/>
              <a:lstStyle/>
              <a:p>
                <a:pPr>
                  <a:defRPr sz="369" b="0" i="0" u="none" strike="noStrike" baseline="0">
                    <a:solidFill>
                      <a:srgbClr val="000000"/>
                    </a:solidFill>
                    <a:latin typeface="Arial"/>
                    <a:ea typeface="Arial"/>
                    <a:cs typeface="Arial"/>
                  </a:defRPr>
                </a:pPr>
                <a:endParaRPr lang="bg-BG"/>
              </a:p>
            </c:txPr>
            <c:showLegendKey val="0"/>
            <c:showVal val="1"/>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Sheet1!$B$3:$I$3</c:f>
              <c:numCache>
                <c:formatCode>General</c:formatCode>
                <c:ptCount val="8"/>
              </c:numCache>
            </c:numRef>
          </c:val>
        </c:ser>
        <c:ser>
          <c:idx val="2"/>
          <c:order val="2"/>
          <c:tx>
            <c:strRef>
              <c:f>Sheet1!$A$4</c:f>
              <c:strCache>
                <c:ptCount val="1"/>
              </c:strCache>
            </c:strRef>
          </c:tx>
          <c:spPr>
            <a:solidFill>
              <a:srgbClr val="FFFFCC"/>
            </a:solidFill>
            <a:ln w="10481">
              <a:solidFill>
                <a:srgbClr val="000000"/>
              </a:solidFill>
              <a:prstDash val="solid"/>
            </a:ln>
          </c:spPr>
          <c:dPt>
            <c:idx val="0"/>
            <c:bubble3D val="0"/>
            <c:spPr>
              <a:solidFill>
                <a:srgbClr val="9999FF"/>
              </a:solidFill>
              <a:ln w="10481">
                <a:solidFill>
                  <a:srgbClr val="000000"/>
                </a:solidFill>
                <a:prstDash val="solid"/>
              </a:ln>
            </c:spPr>
          </c:dPt>
          <c:dPt>
            <c:idx val="1"/>
            <c:bubble3D val="0"/>
            <c:spPr>
              <a:solidFill>
                <a:srgbClr val="993366"/>
              </a:solidFill>
              <a:ln w="10481">
                <a:solidFill>
                  <a:srgbClr val="000000"/>
                </a:solidFill>
                <a:prstDash val="solid"/>
              </a:ln>
            </c:spPr>
          </c:dPt>
          <c:dPt>
            <c:idx val="2"/>
            <c:bubble3D val="0"/>
          </c:dPt>
          <c:dPt>
            <c:idx val="3"/>
            <c:bubble3D val="0"/>
            <c:spPr>
              <a:solidFill>
                <a:srgbClr val="CCFFFF"/>
              </a:solidFill>
              <a:ln w="10481">
                <a:solidFill>
                  <a:srgbClr val="000000"/>
                </a:solidFill>
                <a:prstDash val="solid"/>
              </a:ln>
            </c:spPr>
          </c:dPt>
          <c:dPt>
            <c:idx val="4"/>
            <c:bubble3D val="0"/>
            <c:spPr>
              <a:solidFill>
                <a:srgbClr val="660066"/>
              </a:solidFill>
              <a:ln w="10481">
                <a:solidFill>
                  <a:srgbClr val="000000"/>
                </a:solidFill>
                <a:prstDash val="solid"/>
              </a:ln>
            </c:spPr>
          </c:dPt>
          <c:dPt>
            <c:idx val="5"/>
            <c:bubble3D val="0"/>
            <c:spPr>
              <a:solidFill>
                <a:srgbClr val="FF8080"/>
              </a:solidFill>
              <a:ln w="10481">
                <a:solidFill>
                  <a:srgbClr val="000000"/>
                </a:solidFill>
                <a:prstDash val="solid"/>
              </a:ln>
            </c:spPr>
          </c:dPt>
          <c:dPt>
            <c:idx val="6"/>
            <c:bubble3D val="0"/>
            <c:spPr>
              <a:solidFill>
                <a:srgbClr val="0066CC"/>
              </a:solidFill>
              <a:ln w="10481">
                <a:solidFill>
                  <a:srgbClr val="000000"/>
                </a:solidFill>
                <a:prstDash val="solid"/>
              </a:ln>
            </c:spPr>
          </c:dPt>
          <c:dPt>
            <c:idx val="7"/>
            <c:bubble3D val="0"/>
            <c:spPr>
              <a:solidFill>
                <a:srgbClr val="CCCCFF"/>
              </a:solidFill>
              <a:ln w="10481">
                <a:solidFill>
                  <a:srgbClr val="000000"/>
                </a:solidFill>
                <a:prstDash val="solid"/>
              </a:ln>
            </c:spPr>
          </c:dPt>
          <c:dLbls>
            <c:numFmt formatCode="0%" sourceLinked="0"/>
            <c:spPr>
              <a:noFill/>
              <a:ln w="25037">
                <a:noFill/>
              </a:ln>
            </c:spPr>
            <c:txPr>
              <a:bodyPr/>
              <a:lstStyle/>
              <a:p>
                <a:pPr>
                  <a:defRPr sz="369" b="0" i="0" u="none" strike="noStrike" baseline="0">
                    <a:solidFill>
                      <a:srgbClr val="000000"/>
                    </a:solidFill>
                    <a:latin typeface="Arial"/>
                    <a:ea typeface="Arial"/>
                    <a:cs typeface="Arial"/>
                  </a:defRPr>
                </a:pPr>
                <a:endParaRPr lang="bg-BG"/>
              </a:p>
            </c:txPr>
            <c:showLegendKey val="0"/>
            <c:showVal val="1"/>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Sheet1!$B$4:$I$4</c:f>
              <c:numCache>
                <c:formatCode>General</c:formatCode>
                <c:ptCount val="8"/>
              </c:numCache>
            </c:numRef>
          </c:val>
        </c:ser>
        <c:ser>
          <c:idx val="3"/>
          <c:order val="3"/>
          <c:tx>
            <c:strRef>
              <c:f>Sheet1!$A$5</c:f>
              <c:strCache>
                <c:ptCount val="1"/>
              </c:strCache>
            </c:strRef>
          </c:tx>
          <c:spPr>
            <a:solidFill>
              <a:srgbClr val="CCFFFF"/>
            </a:solidFill>
            <a:ln w="10481">
              <a:solidFill>
                <a:srgbClr val="000000"/>
              </a:solidFill>
              <a:prstDash val="solid"/>
            </a:ln>
          </c:spPr>
          <c:dPt>
            <c:idx val="0"/>
            <c:bubble3D val="0"/>
            <c:spPr>
              <a:solidFill>
                <a:srgbClr val="9999FF"/>
              </a:solidFill>
              <a:ln w="10481">
                <a:solidFill>
                  <a:srgbClr val="000000"/>
                </a:solidFill>
                <a:prstDash val="solid"/>
              </a:ln>
            </c:spPr>
          </c:dPt>
          <c:dPt>
            <c:idx val="1"/>
            <c:bubble3D val="0"/>
            <c:spPr>
              <a:solidFill>
                <a:srgbClr val="993366"/>
              </a:solidFill>
              <a:ln w="10481">
                <a:solidFill>
                  <a:srgbClr val="000000"/>
                </a:solidFill>
                <a:prstDash val="solid"/>
              </a:ln>
            </c:spPr>
          </c:dPt>
          <c:dPt>
            <c:idx val="2"/>
            <c:bubble3D val="0"/>
            <c:spPr>
              <a:solidFill>
                <a:srgbClr val="FFFFCC"/>
              </a:solidFill>
              <a:ln w="10481">
                <a:solidFill>
                  <a:srgbClr val="000000"/>
                </a:solidFill>
                <a:prstDash val="solid"/>
              </a:ln>
            </c:spPr>
          </c:dPt>
          <c:dPt>
            <c:idx val="3"/>
            <c:bubble3D val="0"/>
          </c:dPt>
          <c:dPt>
            <c:idx val="4"/>
            <c:bubble3D val="0"/>
            <c:spPr>
              <a:solidFill>
                <a:srgbClr val="660066"/>
              </a:solidFill>
              <a:ln w="10481">
                <a:solidFill>
                  <a:srgbClr val="000000"/>
                </a:solidFill>
                <a:prstDash val="solid"/>
              </a:ln>
            </c:spPr>
          </c:dPt>
          <c:dPt>
            <c:idx val="5"/>
            <c:bubble3D val="0"/>
            <c:spPr>
              <a:solidFill>
                <a:srgbClr val="FF8080"/>
              </a:solidFill>
              <a:ln w="10481">
                <a:solidFill>
                  <a:srgbClr val="000000"/>
                </a:solidFill>
                <a:prstDash val="solid"/>
              </a:ln>
            </c:spPr>
          </c:dPt>
          <c:dPt>
            <c:idx val="6"/>
            <c:bubble3D val="0"/>
            <c:spPr>
              <a:solidFill>
                <a:srgbClr val="0066CC"/>
              </a:solidFill>
              <a:ln w="10481">
                <a:solidFill>
                  <a:srgbClr val="000000"/>
                </a:solidFill>
                <a:prstDash val="solid"/>
              </a:ln>
            </c:spPr>
          </c:dPt>
          <c:dPt>
            <c:idx val="7"/>
            <c:bubble3D val="0"/>
            <c:spPr>
              <a:solidFill>
                <a:srgbClr val="CCCCFF"/>
              </a:solidFill>
              <a:ln w="10481">
                <a:solidFill>
                  <a:srgbClr val="000000"/>
                </a:solidFill>
                <a:prstDash val="solid"/>
              </a:ln>
            </c:spPr>
          </c:dPt>
          <c:dLbls>
            <c:numFmt formatCode="0%" sourceLinked="0"/>
            <c:spPr>
              <a:noFill/>
              <a:ln w="25037">
                <a:noFill/>
              </a:ln>
            </c:spPr>
            <c:txPr>
              <a:bodyPr/>
              <a:lstStyle/>
              <a:p>
                <a:pPr>
                  <a:defRPr sz="369" b="0" i="0" u="none" strike="noStrike" baseline="0">
                    <a:solidFill>
                      <a:srgbClr val="000000"/>
                    </a:solidFill>
                    <a:latin typeface="Arial"/>
                    <a:ea typeface="Arial"/>
                    <a:cs typeface="Arial"/>
                  </a:defRPr>
                </a:pPr>
                <a:endParaRPr lang="bg-BG"/>
              </a:p>
            </c:txPr>
            <c:showLegendKey val="0"/>
            <c:showVal val="1"/>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Sheet1!$B$5:$I$5</c:f>
              <c:numCache>
                <c:formatCode>General</c:formatCode>
                <c:ptCount val="8"/>
              </c:numCache>
            </c:numRef>
          </c:val>
        </c:ser>
        <c:ser>
          <c:idx val="4"/>
          <c:order val="4"/>
          <c:tx>
            <c:strRef>
              <c:f>Sheet1!$A$6</c:f>
              <c:strCache>
                <c:ptCount val="1"/>
              </c:strCache>
            </c:strRef>
          </c:tx>
          <c:spPr>
            <a:solidFill>
              <a:srgbClr val="660066"/>
            </a:solidFill>
            <a:ln w="10481">
              <a:solidFill>
                <a:srgbClr val="000000"/>
              </a:solidFill>
              <a:prstDash val="solid"/>
            </a:ln>
          </c:spPr>
          <c:dPt>
            <c:idx val="0"/>
            <c:bubble3D val="0"/>
            <c:spPr>
              <a:solidFill>
                <a:srgbClr val="9999FF"/>
              </a:solidFill>
              <a:ln w="10481">
                <a:solidFill>
                  <a:srgbClr val="000000"/>
                </a:solidFill>
                <a:prstDash val="solid"/>
              </a:ln>
            </c:spPr>
          </c:dPt>
          <c:dPt>
            <c:idx val="1"/>
            <c:bubble3D val="0"/>
            <c:spPr>
              <a:solidFill>
                <a:srgbClr val="993366"/>
              </a:solidFill>
              <a:ln w="10481">
                <a:solidFill>
                  <a:srgbClr val="000000"/>
                </a:solidFill>
                <a:prstDash val="solid"/>
              </a:ln>
            </c:spPr>
          </c:dPt>
          <c:dPt>
            <c:idx val="2"/>
            <c:bubble3D val="0"/>
            <c:spPr>
              <a:solidFill>
                <a:srgbClr val="FFFFCC"/>
              </a:solidFill>
              <a:ln w="10481">
                <a:solidFill>
                  <a:srgbClr val="000000"/>
                </a:solidFill>
                <a:prstDash val="solid"/>
              </a:ln>
            </c:spPr>
          </c:dPt>
          <c:dPt>
            <c:idx val="3"/>
            <c:bubble3D val="0"/>
            <c:spPr>
              <a:solidFill>
                <a:srgbClr val="CCFFFF"/>
              </a:solidFill>
              <a:ln w="10481">
                <a:solidFill>
                  <a:srgbClr val="000000"/>
                </a:solidFill>
                <a:prstDash val="solid"/>
              </a:ln>
            </c:spPr>
          </c:dPt>
          <c:dPt>
            <c:idx val="4"/>
            <c:bubble3D val="0"/>
          </c:dPt>
          <c:dPt>
            <c:idx val="5"/>
            <c:bubble3D val="0"/>
            <c:spPr>
              <a:solidFill>
                <a:srgbClr val="FF8080"/>
              </a:solidFill>
              <a:ln w="10481">
                <a:solidFill>
                  <a:srgbClr val="000000"/>
                </a:solidFill>
                <a:prstDash val="solid"/>
              </a:ln>
            </c:spPr>
          </c:dPt>
          <c:dPt>
            <c:idx val="6"/>
            <c:bubble3D val="0"/>
            <c:spPr>
              <a:solidFill>
                <a:srgbClr val="0066CC"/>
              </a:solidFill>
              <a:ln w="10481">
                <a:solidFill>
                  <a:srgbClr val="000000"/>
                </a:solidFill>
                <a:prstDash val="solid"/>
              </a:ln>
            </c:spPr>
          </c:dPt>
          <c:dPt>
            <c:idx val="7"/>
            <c:bubble3D val="0"/>
            <c:spPr>
              <a:solidFill>
                <a:srgbClr val="CCCCFF"/>
              </a:solidFill>
              <a:ln w="10481">
                <a:solidFill>
                  <a:srgbClr val="000000"/>
                </a:solidFill>
                <a:prstDash val="solid"/>
              </a:ln>
            </c:spPr>
          </c:dPt>
          <c:dLbls>
            <c:numFmt formatCode="0%" sourceLinked="0"/>
            <c:spPr>
              <a:noFill/>
              <a:ln w="25037">
                <a:noFill/>
              </a:ln>
            </c:spPr>
            <c:txPr>
              <a:bodyPr/>
              <a:lstStyle/>
              <a:p>
                <a:pPr>
                  <a:defRPr sz="369" b="0" i="0" u="none" strike="noStrike" baseline="0">
                    <a:solidFill>
                      <a:srgbClr val="000000"/>
                    </a:solidFill>
                    <a:latin typeface="Arial"/>
                    <a:ea typeface="Arial"/>
                    <a:cs typeface="Arial"/>
                  </a:defRPr>
                </a:pPr>
                <a:endParaRPr lang="bg-BG"/>
              </a:p>
            </c:txPr>
            <c:showLegendKey val="0"/>
            <c:showVal val="1"/>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Sheet1!$B$6:$I$6</c:f>
              <c:numCache>
                <c:formatCode>General</c:formatCode>
                <c:ptCount val="8"/>
              </c:numCache>
            </c:numRef>
          </c:val>
        </c:ser>
        <c:ser>
          <c:idx val="5"/>
          <c:order val="5"/>
          <c:tx>
            <c:strRef>
              <c:f>Sheet1!$A$7</c:f>
              <c:strCache>
                <c:ptCount val="1"/>
              </c:strCache>
            </c:strRef>
          </c:tx>
          <c:spPr>
            <a:solidFill>
              <a:srgbClr val="FF8080"/>
            </a:solidFill>
            <a:ln w="10481">
              <a:solidFill>
                <a:srgbClr val="000000"/>
              </a:solidFill>
              <a:prstDash val="solid"/>
            </a:ln>
          </c:spPr>
          <c:dPt>
            <c:idx val="0"/>
            <c:bubble3D val="0"/>
            <c:spPr>
              <a:solidFill>
                <a:srgbClr val="9999FF"/>
              </a:solidFill>
              <a:ln w="10481">
                <a:solidFill>
                  <a:srgbClr val="000000"/>
                </a:solidFill>
                <a:prstDash val="solid"/>
              </a:ln>
            </c:spPr>
          </c:dPt>
          <c:dPt>
            <c:idx val="1"/>
            <c:bubble3D val="0"/>
            <c:spPr>
              <a:solidFill>
                <a:srgbClr val="993366"/>
              </a:solidFill>
              <a:ln w="10481">
                <a:solidFill>
                  <a:srgbClr val="000000"/>
                </a:solidFill>
                <a:prstDash val="solid"/>
              </a:ln>
            </c:spPr>
          </c:dPt>
          <c:dPt>
            <c:idx val="2"/>
            <c:bubble3D val="0"/>
            <c:spPr>
              <a:solidFill>
                <a:srgbClr val="FFFFCC"/>
              </a:solidFill>
              <a:ln w="10481">
                <a:solidFill>
                  <a:srgbClr val="000000"/>
                </a:solidFill>
                <a:prstDash val="solid"/>
              </a:ln>
            </c:spPr>
          </c:dPt>
          <c:dPt>
            <c:idx val="3"/>
            <c:bubble3D val="0"/>
            <c:spPr>
              <a:solidFill>
                <a:srgbClr val="CCFFFF"/>
              </a:solidFill>
              <a:ln w="10481">
                <a:solidFill>
                  <a:srgbClr val="000000"/>
                </a:solidFill>
                <a:prstDash val="solid"/>
              </a:ln>
            </c:spPr>
          </c:dPt>
          <c:dPt>
            <c:idx val="4"/>
            <c:bubble3D val="0"/>
            <c:spPr>
              <a:solidFill>
                <a:srgbClr val="660066"/>
              </a:solidFill>
              <a:ln w="10481">
                <a:solidFill>
                  <a:srgbClr val="000000"/>
                </a:solidFill>
                <a:prstDash val="solid"/>
              </a:ln>
            </c:spPr>
          </c:dPt>
          <c:dPt>
            <c:idx val="5"/>
            <c:bubble3D val="0"/>
          </c:dPt>
          <c:dPt>
            <c:idx val="6"/>
            <c:bubble3D val="0"/>
            <c:spPr>
              <a:solidFill>
                <a:srgbClr val="0066CC"/>
              </a:solidFill>
              <a:ln w="10481">
                <a:solidFill>
                  <a:srgbClr val="000000"/>
                </a:solidFill>
                <a:prstDash val="solid"/>
              </a:ln>
            </c:spPr>
          </c:dPt>
          <c:dPt>
            <c:idx val="7"/>
            <c:bubble3D val="0"/>
            <c:spPr>
              <a:solidFill>
                <a:srgbClr val="CCCCFF"/>
              </a:solidFill>
              <a:ln w="10481">
                <a:solidFill>
                  <a:srgbClr val="000000"/>
                </a:solidFill>
                <a:prstDash val="solid"/>
              </a:ln>
            </c:spPr>
          </c:dPt>
          <c:dLbls>
            <c:numFmt formatCode="0%" sourceLinked="0"/>
            <c:spPr>
              <a:noFill/>
              <a:ln w="25037">
                <a:noFill/>
              </a:ln>
            </c:spPr>
            <c:txPr>
              <a:bodyPr/>
              <a:lstStyle/>
              <a:p>
                <a:pPr>
                  <a:defRPr sz="369" b="0" i="0" u="none" strike="noStrike" baseline="0">
                    <a:solidFill>
                      <a:srgbClr val="000000"/>
                    </a:solidFill>
                    <a:latin typeface="Arial"/>
                    <a:ea typeface="Arial"/>
                    <a:cs typeface="Arial"/>
                  </a:defRPr>
                </a:pPr>
                <a:endParaRPr lang="bg-BG"/>
              </a:p>
            </c:txPr>
            <c:showLegendKey val="0"/>
            <c:showVal val="1"/>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Sheet1!$B$7:$I$7</c:f>
              <c:numCache>
                <c:formatCode>General</c:formatCode>
                <c:ptCount val="8"/>
              </c:numCache>
            </c:numRef>
          </c:val>
        </c:ser>
        <c:dLbls>
          <c:showLegendKey val="0"/>
          <c:showVal val="0"/>
          <c:showCatName val="0"/>
          <c:showSerName val="0"/>
          <c:showPercent val="0"/>
          <c:showBubbleSize val="0"/>
          <c:showLeaderLines val="1"/>
        </c:dLbls>
      </c:pie3DChart>
      <c:spPr>
        <a:solidFill>
          <a:srgbClr val="FFFFFF"/>
        </a:solidFill>
        <a:ln w="10481">
          <a:solidFill>
            <a:srgbClr val="FFFFFF"/>
          </a:solidFill>
          <a:prstDash val="solid"/>
        </a:ln>
      </c:spPr>
    </c:plotArea>
    <c:plotVisOnly val="1"/>
    <c:dispBlanksAs val="zero"/>
    <c:showDLblsOverMax val="0"/>
  </c:chart>
  <c:spPr>
    <a:ln>
      <a:noFill/>
    </a:ln>
  </c:spPr>
  <c:txPr>
    <a:bodyPr/>
    <a:lstStyle/>
    <a:p>
      <a:pPr>
        <a:defRPr sz="414" b="0" i="0" u="none" strike="noStrike" baseline="0">
          <a:solidFill>
            <a:srgbClr val="000000"/>
          </a:solidFill>
          <a:latin typeface="Arial"/>
          <a:ea typeface="Arial"/>
          <a:cs typeface="Arial"/>
        </a:defRPr>
      </a:pPr>
      <a:endParaRPr lang="bg-BG"/>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350"/>
      <c:rAngAx val="0"/>
      <c:perspective val="0"/>
    </c:view3D>
    <c:floor>
      <c:thickness val="0"/>
    </c:floor>
    <c:sideWall>
      <c:thickness val="0"/>
    </c:sideWall>
    <c:backWall>
      <c:thickness val="0"/>
    </c:backWall>
    <c:plotArea>
      <c:layout>
        <c:manualLayout>
          <c:layoutTarget val="inner"/>
          <c:xMode val="edge"/>
          <c:yMode val="edge"/>
          <c:x val="0.21754385964912282"/>
          <c:y val="0.25882352941176473"/>
          <c:w val="0.60701754385964912"/>
          <c:h val="0.40588235294117647"/>
        </c:manualLayout>
      </c:layout>
      <c:pie3DChart>
        <c:varyColors val="1"/>
        <c:ser>
          <c:idx val="0"/>
          <c:order val="0"/>
          <c:tx>
            <c:strRef>
              <c:f>Sheet1!$A$2</c:f>
              <c:strCache>
                <c:ptCount val="1"/>
                <c:pt idx="0">
                  <c:v>2015</c:v>
                </c:pt>
              </c:strCache>
            </c:strRef>
          </c:tx>
          <c:spPr>
            <a:solidFill>
              <a:srgbClr val="9999FF"/>
            </a:solidFill>
            <a:ln w="9064">
              <a:solidFill>
                <a:srgbClr val="000000"/>
              </a:solidFill>
              <a:prstDash val="solid"/>
            </a:ln>
          </c:spPr>
          <c:dPt>
            <c:idx val="0"/>
            <c:bubble3D val="0"/>
          </c:dPt>
          <c:dPt>
            <c:idx val="1"/>
            <c:bubble3D val="0"/>
            <c:spPr>
              <a:solidFill>
                <a:srgbClr val="993366"/>
              </a:solidFill>
              <a:ln w="9064">
                <a:solidFill>
                  <a:srgbClr val="000000"/>
                </a:solidFill>
                <a:prstDash val="solid"/>
              </a:ln>
            </c:spPr>
          </c:dPt>
          <c:dPt>
            <c:idx val="2"/>
            <c:bubble3D val="0"/>
            <c:spPr>
              <a:solidFill>
                <a:srgbClr val="FFFFCC"/>
              </a:solidFill>
              <a:ln w="9064">
                <a:solidFill>
                  <a:srgbClr val="000000"/>
                </a:solidFill>
                <a:prstDash val="solid"/>
              </a:ln>
            </c:spPr>
          </c:dPt>
          <c:dPt>
            <c:idx val="3"/>
            <c:bubble3D val="0"/>
            <c:spPr>
              <a:solidFill>
                <a:srgbClr val="CCFFFF"/>
              </a:solidFill>
              <a:ln w="9064">
                <a:solidFill>
                  <a:srgbClr val="000000"/>
                </a:solidFill>
                <a:prstDash val="solid"/>
              </a:ln>
            </c:spPr>
          </c:dPt>
          <c:dPt>
            <c:idx val="4"/>
            <c:bubble3D val="0"/>
            <c:spPr>
              <a:solidFill>
                <a:srgbClr val="660066"/>
              </a:solidFill>
              <a:ln w="9064">
                <a:solidFill>
                  <a:srgbClr val="000000"/>
                </a:solidFill>
                <a:prstDash val="solid"/>
              </a:ln>
            </c:spPr>
          </c:dPt>
          <c:dPt>
            <c:idx val="5"/>
            <c:bubble3D val="0"/>
            <c:spPr>
              <a:solidFill>
                <a:srgbClr val="FF8080"/>
              </a:solidFill>
              <a:ln w="9064">
                <a:solidFill>
                  <a:srgbClr val="000000"/>
                </a:solidFill>
                <a:prstDash val="solid"/>
              </a:ln>
            </c:spPr>
          </c:dPt>
          <c:dPt>
            <c:idx val="6"/>
            <c:bubble3D val="0"/>
            <c:spPr>
              <a:solidFill>
                <a:srgbClr val="0066CC"/>
              </a:solidFill>
              <a:ln w="9064">
                <a:solidFill>
                  <a:srgbClr val="000000"/>
                </a:solidFill>
                <a:prstDash val="solid"/>
              </a:ln>
            </c:spPr>
          </c:dPt>
          <c:dPt>
            <c:idx val="7"/>
            <c:bubble3D val="0"/>
            <c:spPr>
              <a:solidFill>
                <a:srgbClr val="CCCCFF"/>
              </a:solidFill>
              <a:ln w="9064">
                <a:solidFill>
                  <a:srgbClr val="000000"/>
                </a:solidFill>
                <a:prstDash val="solid"/>
              </a:ln>
            </c:spPr>
          </c:dPt>
          <c:dLbls>
            <c:dLbl>
              <c:idx val="0"/>
              <c:layout>
                <c:manualLayout>
                  <c:x val="1.5255928060538824E-2"/>
                  <c:y val="-0.1243328233259942"/>
                </c:manualLayout>
              </c:layout>
              <c:dLblPos val="bestFit"/>
              <c:showLegendKey val="0"/>
              <c:showVal val="0"/>
              <c:showCatName val="1"/>
              <c:showSerName val="0"/>
              <c:showPercent val="1"/>
              <c:showBubbleSize val="0"/>
            </c:dLbl>
            <c:dLbl>
              <c:idx val="1"/>
              <c:layout>
                <c:manualLayout>
                  <c:x val="0.10139717497718796"/>
                  <c:y val="-1.5911444645096712E-3"/>
                </c:manualLayout>
              </c:layout>
              <c:dLblPos val="bestFit"/>
              <c:showLegendKey val="0"/>
              <c:showVal val="0"/>
              <c:showCatName val="1"/>
              <c:showSerName val="0"/>
              <c:showPercent val="1"/>
              <c:showBubbleSize val="0"/>
            </c:dLbl>
            <c:dLbl>
              <c:idx val="2"/>
              <c:layout>
                <c:manualLayout>
                  <c:x val="0.12382241693472525"/>
                  <c:y val="0.1811643967504723"/>
                </c:manualLayout>
              </c:layout>
              <c:dLblPos val="bestFit"/>
              <c:showLegendKey val="0"/>
              <c:showVal val="0"/>
              <c:showCatName val="1"/>
              <c:showSerName val="0"/>
              <c:showPercent val="1"/>
              <c:showBubbleSize val="0"/>
            </c:dLbl>
            <c:dLbl>
              <c:idx val="3"/>
              <c:layout>
                <c:manualLayout>
                  <c:x val="-7.5983735115817297E-2"/>
                  <c:y val="0.12822322027988403"/>
                </c:manualLayout>
              </c:layout>
              <c:dLblPos val="bestFit"/>
              <c:showLegendKey val="0"/>
              <c:showVal val="0"/>
              <c:showCatName val="1"/>
              <c:showSerName val="0"/>
              <c:showPercent val="1"/>
              <c:showBubbleSize val="0"/>
            </c:dLbl>
            <c:dLbl>
              <c:idx val="4"/>
              <c:layout>
                <c:manualLayout>
                  <c:x val="-0.1815863054712146"/>
                  <c:y val="9.5566750454937358E-2"/>
                </c:manualLayout>
              </c:layout>
              <c:dLblPos val="bestFit"/>
              <c:showLegendKey val="0"/>
              <c:showVal val="0"/>
              <c:showCatName val="1"/>
              <c:showSerName val="0"/>
              <c:showPercent val="1"/>
              <c:showBubbleSize val="0"/>
            </c:dLbl>
            <c:dLbl>
              <c:idx val="5"/>
              <c:layout>
                <c:manualLayout>
                  <c:x val="-0.16690396783108877"/>
                  <c:y val="1.9092588641224862E-2"/>
                </c:manualLayout>
              </c:layout>
              <c:dLblPos val="bestFit"/>
              <c:showLegendKey val="0"/>
              <c:showVal val="0"/>
              <c:showCatName val="1"/>
              <c:showSerName val="0"/>
              <c:showPercent val="1"/>
              <c:showBubbleSize val="0"/>
            </c:dLbl>
            <c:dLbl>
              <c:idx val="6"/>
              <c:layout>
                <c:manualLayout>
                  <c:x val="-7.4544760852261888E-2"/>
                  <c:y val="-0.17300633356058517"/>
                </c:manualLayout>
              </c:layout>
              <c:dLblPos val="bestFit"/>
              <c:showLegendKey val="0"/>
              <c:showVal val="0"/>
              <c:showCatName val="1"/>
              <c:showSerName val="0"/>
              <c:showPercent val="1"/>
              <c:showBubbleSize val="0"/>
            </c:dLbl>
            <c:dLbl>
              <c:idx val="7"/>
              <c:layout>
                <c:manualLayout>
                  <c:x val="7.8393809021295013E-3"/>
                  <c:y val="-0.15418143822069635"/>
                </c:manualLayout>
              </c:layout>
              <c:dLblPos val="bestFit"/>
              <c:showLegendKey val="0"/>
              <c:showVal val="0"/>
              <c:showCatName val="1"/>
              <c:showSerName val="0"/>
              <c:showPercent val="1"/>
              <c:showBubbleSize val="0"/>
            </c:dLbl>
            <c:numFmt formatCode="0.0%" sourceLinked="0"/>
            <c:spPr>
              <a:solidFill>
                <a:srgbClr val="FFFFFF"/>
              </a:solidFill>
              <a:ln w="18128">
                <a:noFill/>
              </a:ln>
            </c:spPr>
            <c:txPr>
              <a:bodyPr/>
              <a:lstStyle/>
              <a:p>
                <a:pPr>
                  <a:defRPr sz="649" b="0" i="0" u="none" strike="noStrike" baseline="0">
                    <a:solidFill>
                      <a:srgbClr val="000000"/>
                    </a:solidFill>
                    <a:latin typeface="Times New Roman"/>
                    <a:ea typeface="Times New Roman"/>
                    <a:cs typeface="Times New Roman"/>
                  </a:defRPr>
                </a:pPr>
                <a:endParaRPr lang="bg-BG"/>
              </a:p>
            </c:txPr>
            <c:showLegendKey val="0"/>
            <c:showVal val="0"/>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Sheet1!$B$2:$I$2</c:f>
              <c:numCache>
                <c:formatCode>0.0%</c:formatCode>
                <c:ptCount val="8"/>
                <c:pt idx="0">
                  <c:v>0.311</c:v>
                </c:pt>
                <c:pt idx="1">
                  <c:v>0.182</c:v>
                </c:pt>
                <c:pt idx="2">
                  <c:v>6.0000000000000001E-3</c:v>
                </c:pt>
                <c:pt idx="3">
                  <c:v>1E-3</c:v>
                </c:pt>
                <c:pt idx="4">
                  <c:v>7.4999999999999997E-2</c:v>
                </c:pt>
                <c:pt idx="5">
                  <c:v>0.11</c:v>
                </c:pt>
                <c:pt idx="6">
                  <c:v>3.5000000000000003E-2</c:v>
                </c:pt>
                <c:pt idx="7">
                  <c:v>0.27900000000000003</c:v>
                </c:pt>
              </c:numCache>
            </c:numRef>
          </c:val>
        </c:ser>
        <c:ser>
          <c:idx val="1"/>
          <c:order val="1"/>
          <c:tx>
            <c:strRef>
              <c:f>Sheet1!$A$3</c:f>
              <c:strCache>
                <c:ptCount val="1"/>
              </c:strCache>
            </c:strRef>
          </c:tx>
          <c:spPr>
            <a:solidFill>
              <a:srgbClr val="993366"/>
            </a:solidFill>
            <a:ln w="9064">
              <a:solidFill>
                <a:srgbClr val="000000"/>
              </a:solidFill>
              <a:prstDash val="solid"/>
            </a:ln>
          </c:spPr>
          <c:dPt>
            <c:idx val="0"/>
            <c:bubble3D val="0"/>
            <c:spPr>
              <a:solidFill>
                <a:srgbClr val="9999FF"/>
              </a:solidFill>
              <a:ln w="9064">
                <a:solidFill>
                  <a:srgbClr val="000000"/>
                </a:solidFill>
                <a:prstDash val="solid"/>
              </a:ln>
            </c:spPr>
          </c:dPt>
          <c:dPt>
            <c:idx val="1"/>
            <c:bubble3D val="0"/>
          </c:dPt>
          <c:dPt>
            <c:idx val="2"/>
            <c:bubble3D val="0"/>
            <c:spPr>
              <a:solidFill>
                <a:srgbClr val="FFFFCC"/>
              </a:solidFill>
              <a:ln w="9064">
                <a:solidFill>
                  <a:srgbClr val="000000"/>
                </a:solidFill>
                <a:prstDash val="solid"/>
              </a:ln>
            </c:spPr>
          </c:dPt>
          <c:dPt>
            <c:idx val="3"/>
            <c:bubble3D val="0"/>
            <c:spPr>
              <a:solidFill>
                <a:srgbClr val="CCFFFF"/>
              </a:solidFill>
              <a:ln w="9064">
                <a:solidFill>
                  <a:srgbClr val="000000"/>
                </a:solidFill>
                <a:prstDash val="solid"/>
              </a:ln>
            </c:spPr>
          </c:dPt>
          <c:dPt>
            <c:idx val="4"/>
            <c:bubble3D val="0"/>
            <c:spPr>
              <a:solidFill>
                <a:srgbClr val="660066"/>
              </a:solidFill>
              <a:ln w="9064">
                <a:solidFill>
                  <a:srgbClr val="000000"/>
                </a:solidFill>
                <a:prstDash val="solid"/>
              </a:ln>
            </c:spPr>
          </c:dPt>
          <c:dPt>
            <c:idx val="5"/>
            <c:bubble3D val="0"/>
            <c:spPr>
              <a:solidFill>
                <a:srgbClr val="FF8080"/>
              </a:solidFill>
              <a:ln w="9064">
                <a:solidFill>
                  <a:srgbClr val="000000"/>
                </a:solidFill>
                <a:prstDash val="solid"/>
              </a:ln>
            </c:spPr>
          </c:dPt>
          <c:dPt>
            <c:idx val="6"/>
            <c:bubble3D val="0"/>
            <c:spPr>
              <a:solidFill>
                <a:srgbClr val="0066CC"/>
              </a:solidFill>
              <a:ln w="9064">
                <a:solidFill>
                  <a:srgbClr val="000000"/>
                </a:solidFill>
                <a:prstDash val="solid"/>
              </a:ln>
            </c:spPr>
          </c:dPt>
          <c:dPt>
            <c:idx val="7"/>
            <c:bubble3D val="0"/>
            <c:spPr>
              <a:solidFill>
                <a:srgbClr val="CCCCFF"/>
              </a:solidFill>
              <a:ln w="9064">
                <a:solidFill>
                  <a:srgbClr val="000000"/>
                </a:solidFill>
                <a:prstDash val="solid"/>
              </a:ln>
            </c:spPr>
          </c:dPt>
          <c:dLbls>
            <c:numFmt formatCode="0%" sourceLinked="0"/>
            <c:spPr>
              <a:noFill/>
              <a:ln w="21651">
                <a:noFill/>
              </a:ln>
            </c:spPr>
            <c:txPr>
              <a:bodyPr/>
              <a:lstStyle/>
              <a:p>
                <a:pPr>
                  <a:defRPr sz="320" b="0" i="0" u="none" strike="noStrike" baseline="0">
                    <a:solidFill>
                      <a:srgbClr val="000000"/>
                    </a:solidFill>
                    <a:latin typeface="Arial"/>
                    <a:ea typeface="Arial"/>
                    <a:cs typeface="Arial"/>
                  </a:defRPr>
                </a:pPr>
                <a:endParaRPr lang="bg-BG"/>
              </a:p>
            </c:txPr>
            <c:showLegendKey val="0"/>
            <c:showVal val="0"/>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Sheet1!$B$3:$I$3</c:f>
              <c:numCache>
                <c:formatCode>General</c:formatCode>
                <c:ptCount val="8"/>
              </c:numCache>
            </c:numRef>
          </c:val>
        </c:ser>
        <c:ser>
          <c:idx val="2"/>
          <c:order val="2"/>
          <c:tx>
            <c:strRef>
              <c:f>Sheet1!$A$4</c:f>
              <c:strCache>
                <c:ptCount val="1"/>
              </c:strCache>
            </c:strRef>
          </c:tx>
          <c:spPr>
            <a:solidFill>
              <a:srgbClr val="FFFFCC"/>
            </a:solidFill>
            <a:ln w="9064">
              <a:solidFill>
                <a:srgbClr val="000000"/>
              </a:solidFill>
              <a:prstDash val="solid"/>
            </a:ln>
          </c:spPr>
          <c:dPt>
            <c:idx val="0"/>
            <c:bubble3D val="0"/>
            <c:spPr>
              <a:solidFill>
                <a:srgbClr val="9999FF"/>
              </a:solidFill>
              <a:ln w="9064">
                <a:solidFill>
                  <a:srgbClr val="000000"/>
                </a:solidFill>
                <a:prstDash val="solid"/>
              </a:ln>
            </c:spPr>
          </c:dPt>
          <c:dPt>
            <c:idx val="1"/>
            <c:bubble3D val="0"/>
            <c:spPr>
              <a:solidFill>
                <a:srgbClr val="993366"/>
              </a:solidFill>
              <a:ln w="9064">
                <a:solidFill>
                  <a:srgbClr val="000000"/>
                </a:solidFill>
                <a:prstDash val="solid"/>
              </a:ln>
            </c:spPr>
          </c:dPt>
          <c:dPt>
            <c:idx val="2"/>
            <c:bubble3D val="0"/>
          </c:dPt>
          <c:dPt>
            <c:idx val="3"/>
            <c:bubble3D val="0"/>
            <c:spPr>
              <a:solidFill>
                <a:srgbClr val="CCFFFF"/>
              </a:solidFill>
              <a:ln w="9064">
                <a:solidFill>
                  <a:srgbClr val="000000"/>
                </a:solidFill>
                <a:prstDash val="solid"/>
              </a:ln>
            </c:spPr>
          </c:dPt>
          <c:dPt>
            <c:idx val="4"/>
            <c:bubble3D val="0"/>
            <c:spPr>
              <a:solidFill>
                <a:srgbClr val="660066"/>
              </a:solidFill>
              <a:ln w="9064">
                <a:solidFill>
                  <a:srgbClr val="000000"/>
                </a:solidFill>
                <a:prstDash val="solid"/>
              </a:ln>
            </c:spPr>
          </c:dPt>
          <c:dPt>
            <c:idx val="5"/>
            <c:bubble3D val="0"/>
            <c:spPr>
              <a:solidFill>
                <a:srgbClr val="FF8080"/>
              </a:solidFill>
              <a:ln w="9064">
                <a:solidFill>
                  <a:srgbClr val="000000"/>
                </a:solidFill>
                <a:prstDash val="solid"/>
              </a:ln>
            </c:spPr>
          </c:dPt>
          <c:dPt>
            <c:idx val="6"/>
            <c:bubble3D val="0"/>
            <c:spPr>
              <a:solidFill>
                <a:srgbClr val="0066CC"/>
              </a:solidFill>
              <a:ln w="9064">
                <a:solidFill>
                  <a:srgbClr val="000000"/>
                </a:solidFill>
                <a:prstDash val="solid"/>
              </a:ln>
            </c:spPr>
          </c:dPt>
          <c:dPt>
            <c:idx val="7"/>
            <c:bubble3D val="0"/>
            <c:spPr>
              <a:solidFill>
                <a:srgbClr val="CCCCFF"/>
              </a:solidFill>
              <a:ln w="9064">
                <a:solidFill>
                  <a:srgbClr val="000000"/>
                </a:solidFill>
                <a:prstDash val="solid"/>
              </a:ln>
            </c:spPr>
          </c:dPt>
          <c:dLbls>
            <c:numFmt formatCode="0%" sourceLinked="0"/>
            <c:spPr>
              <a:noFill/>
              <a:ln w="21651">
                <a:noFill/>
              </a:ln>
            </c:spPr>
            <c:txPr>
              <a:bodyPr/>
              <a:lstStyle/>
              <a:p>
                <a:pPr>
                  <a:defRPr sz="320" b="0" i="0" u="none" strike="noStrike" baseline="0">
                    <a:solidFill>
                      <a:srgbClr val="000000"/>
                    </a:solidFill>
                    <a:latin typeface="Arial"/>
                    <a:ea typeface="Arial"/>
                    <a:cs typeface="Arial"/>
                  </a:defRPr>
                </a:pPr>
                <a:endParaRPr lang="bg-BG"/>
              </a:p>
            </c:txPr>
            <c:showLegendKey val="0"/>
            <c:showVal val="0"/>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Sheet1!$B$4:$I$4</c:f>
              <c:numCache>
                <c:formatCode>General</c:formatCode>
                <c:ptCount val="8"/>
              </c:numCache>
            </c:numRef>
          </c:val>
        </c:ser>
        <c:ser>
          <c:idx val="3"/>
          <c:order val="3"/>
          <c:tx>
            <c:strRef>
              <c:f>Sheet1!$A$5</c:f>
              <c:strCache>
                <c:ptCount val="1"/>
              </c:strCache>
            </c:strRef>
          </c:tx>
          <c:spPr>
            <a:solidFill>
              <a:srgbClr val="CCFFFF"/>
            </a:solidFill>
            <a:ln w="9064">
              <a:solidFill>
                <a:srgbClr val="000000"/>
              </a:solidFill>
              <a:prstDash val="solid"/>
            </a:ln>
          </c:spPr>
          <c:dPt>
            <c:idx val="0"/>
            <c:bubble3D val="0"/>
            <c:spPr>
              <a:solidFill>
                <a:srgbClr val="9999FF"/>
              </a:solidFill>
              <a:ln w="9064">
                <a:solidFill>
                  <a:srgbClr val="000000"/>
                </a:solidFill>
                <a:prstDash val="solid"/>
              </a:ln>
            </c:spPr>
          </c:dPt>
          <c:dPt>
            <c:idx val="1"/>
            <c:bubble3D val="0"/>
            <c:spPr>
              <a:solidFill>
                <a:srgbClr val="993366"/>
              </a:solidFill>
              <a:ln w="9064">
                <a:solidFill>
                  <a:srgbClr val="000000"/>
                </a:solidFill>
                <a:prstDash val="solid"/>
              </a:ln>
            </c:spPr>
          </c:dPt>
          <c:dPt>
            <c:idx val="2"/>
            <c:bubble3D val="0"/>
            <c:spPr>
              <a:solidFill>
                <a:srgbClr val="FFFFCC"/>
              </a:solidFill>
              <a:ln w="9064">
                <a:solidFill>
                  <a:srgbClr val="000000"/>
                </a:solidFill>
                <a:prstDash val="solid"/>
              </a:ln>
            </c:spPr>
          </c:dPt>
          <c:dPt>
            <c:idx val="3"/>
            <c:bubble3D val="0"/>
          </c:dPt>
          <c:dPt>
            <c:idx val="4"/>
            <c:bubble3D val="0"/>
            <c:spPr>
              <a:solidFill>
                <a:srgbClr val="660066"/>
              </a:solidFill>
              <a:ln w="9064">
                <a:solidFill>
                  <a:srgbClr val="000000"/>
                </a:solidFill>
                <a:prstDash val="solid"/>
              </a:ln>
            </c:spPr>
          </c:dPt>
          <c:dPt>
            <c:idx val="5"/>
            <c:bubble3D val="0"/>
            <c:spPr>
              <a:solidFill>
                <a:srgbClr val="FF8080"/>
              </a:solidFill>
              <a:ln w="9064">
                <a:solidFill>
                  <a:srgbClr val="000000"/>
                </a:solidFill>
                <a:prstDash val="solid"/>
              </a:ln>
            </c:spPr>
          </c:dPt>
          <c:dPt>
            <c:idx val="6"/>
            <c:bubble3D val="0"/>
            <c:spPr>
              <a:solidFill>
                <a:srgbClr val="0066CC"/>
              </a:solidFill>
              <a:ln w="9064">
                <a:solidFill>
                  <a:srgbClr val="000000"/>
                </a:solidFill>
                <a:prstDash val="solid"/>
              </a:ln>
            </c:spPr>
          </c:dPt>
          <c:dPt>
            <c:idx val="7"/>
            <c:bubble3D val="0"/>
            <c:spPr>
              <a:solidFill>
                <a:srgbClr val="CCCCFF"/>
              </a:solidFill>
              <a:ln w="9064">
                <a:solidFill>
                  <a:srgbClr val="000000"/>
                </a:solidFill>
                <a:prstDash val="solid"/>
              </a:ln>
            </c:spPr>
          </c:dPt>
          <c:dLbls>
            <c:numFmt formatCode="0%" sourceLinked="0"/>
            <c:spPr>
              <a:noFill/>
              <a:ln w="21651">
                <a:noFill/>
              </a:ln>
            </c:spPr>
            <c:txPr>
              <a:bodyPr/>
              <a:lstStyle/>
              <a:p>
                <a:pPr>
                  <a:defRPr sz="320" b="0" i="0" u="none" strike="noStrike" baseline="0">
                    <a:solidFill>
                      <a:srgbClr val="000000"/>
                    </a:solidFill>
                    <a:latin typeface="Arial"/>
                    <a:ea typeface="Arial"/>
                    <a:cs typeface="Arial"/>
                  </a:defRPr>
                </a:pPr>
                <a:endParaRPr lang="bg-BG"/>
              </a:p>
            </c:txPr>
            <c:showLegendKey val="0"/>
            <c:showVal val="0"/>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Sheet1!$B$5:$I$5</c:f>
              <c:numCache>
                <c:formatCode>General</c:formatCode>
                <c:ptCount val="8"/>
              </c:numCache>
            </c:numRef>
          </c:val>
        </c:ser>
        <c:ser>
          <c:idx val="4"/>
          <c:order val="4"/>
          <c:tx>
            <c:strRef>
              <c:f>Sheet1!$A$6</c:f>
              <c:strCache>
                <c:ptCount val="1"/>
              </c:strCache>
            </c:strRef>
          </c:tx>
          <c:spPr>
            <a:solidFill>
              <a:srgbClr val="660066"/>
            </a:solidFill>
            <a:ln w="9064">
              <a:solidFill>
                <a:srgbClr val="000000"/>
              </a:solidFill>
              <a:prstDash val="solid"/>
            </a:ln>
          </c:spPr>
          <c:dPt>
            <c:idx val="0"/>
            <c:bubble3D val="0"/>
            <c:spPr>
              <a:solidFill>
                <a:srgbClr val="9999FF"/>
              </a:solidFill>
              <a:ln w="9064">
                <a:solidFill>
                  <a:srgbClr val="000000"/>
                </a:solidFill>
                <a:prstDash val="solid"/>
              </a:ln>
            </c:spPr>
          </c:dPt>
          <c:dPt>
            <c:idx val="1"/>
            <c:bubble3D val="0"/>
            <c:spPr>
              <a:solidFill>
                <a:srgbClr val="993366"/>
              </a:solidFill>
              <a:ln w="9064">
                <a:solidFill>
                  <a:srgbClr val="000000"/>
                </a:solidFill>
                <a:prstDash val="solid"/>
              </a:ln>
            </c:spPr>
          </c:dPt>
          <c:dPt>
            <c:idx val="2"/>
            <c:bubble3D val="0"/>
            <c:spPr>
              <a:solidFill>
                <a:srgbClr val="FFFFCC"/>
              </a:solidFill>
              <a:ln w="9064">
                <a:solidFill>
                  <a:srgbClr val="000000"/>
                </a:solidFill>
                <a:prstDash val="solid"/>
              </a:ln>
            </c:spPr>
          </c:dPt>
          <c:dPt>
            <c:idx val="3"/>
            <c:bubble3D val="0"/>
            <c:spPr>
              <a:solidFill>
                <a:srgbClr val="CCFFFF"/>
              </a:solidFill>
              <a:ln w="9064">
                <a:solidFill>
                  <a:srgbClr val="000000"/>
                </a:solidFill>
                <a:prstDash val="solid"/>
              </a:ln>
            </c:spPr>
          </c:dPt>
          <c:dPt>
            <c:idx val="4"/>
            <c:bubble3D val="0"/>
          </c:dPt>
          <c:dPt>
            <c:idx val="5"/>
            <c:bubble3D val="0"/>
            <c:spPr>
              <a:solidFill>
                <a:srgbClr val="FF8080"/>
              </a:solidFill>
              <a:ln w="9064">
                <a:solidFill>
                  <a:srgbClr val="000000"/>
                </a:solidFill>
                <a:prstDash val="solid"/>
              </a:ln>
            </c:spPr>
          </c:dPt>
          <c:dPt>
            <c:idx val="6"/>
            <c:bubble3D val="0"/>
            <c:spPr>
              <a:solidFill>
                <a:srgbClr val="0066CC"/>
              </a:solidFill>
              <a:ln w="9064">
                <a:solidFill>
                  <a:srgbClr val="000000"/>
                </a:solidFill>
                <a:prstDash val="solid"/>
              </a:ln>
            </c:spPr>
          </c:dPt>
          <c:dPt>
            <c:idx val="7"/>
            <c:bubble3D val="0"/>
            <c:spPr>
              <a:solidFill>
                <a:srgbClr val="CCCCFF"/>
              </a:solidFill>
              <a:ln w="9064">
                <a:solidFill>
                  <a:srgbClr val="000000"/>
                </a:solidFill>
                <a:prstDash val="solid"/>
              </a:ln>
            </c:spPr>
          </c:dPt>
          <c:dLbls>
            <c:numFmt formatCode="0%" sourceLinked="0"/>
            <c:spPr>
              <a:noFill/>
              <a:ln w="21651">
                <a:noFill/>
              </a:ln>
            </c:spPr>
            <c:txPr>
              <a:bodyPr/>
              <a:lstStyle/>
              <a:p>
                <a:pPr>
                  <a:defRPr sz="320" b="0" i="0" u="none" strike="noStrike" baseline="0">
                    <a:solidFill>
                      <a:srgbClr val="000000"/>
                    </a:solidFill>
                    <a:latin typeface="Arial"/>
                    <a:ea typeface="Arial"/>
                    <a:cs typeface="Arial"/>
                  </a:defRPr>
                </a:pPr>
                <a:endParaRPr lang="bg-BG"/>
              </a:p>
            </c:txPr>
            <c:showLegendKey val="0"/>
            <c:showVal val="0"/>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Sheet1!$B$6:$I$6</c:f>
              <c:numCache>
                <c:formatCode>General</c:formatCode>
                <c:ptCount val="8"/>
              </c:numCache>
            </c:numRef>
          </c:val>
        </c:ser>
        <c:ser>
          <c:idx val="5"/>
          <c:order val="5"/>
          <c:tx>
            <c:strRef>
              <c:f>Sheet1!$A$7</c:f>
              <c:strCache>
                <c:ptCount val="1"/>
              </c:strCache>
            </c:strRef>
          </c:tx>
          <c:spPr>
            <a:solidFill>
              <a:srgbClr val="FF8080"/>
            </a:solidFill>
            <a:ln w="9064">
              <a:solidFill>
                <a:srgbClr val="000000"/>
              </a:solidFill>
              <a:prstDash val="solid"/>
            </a:ln>
          </c:spPr>
          <c:dPt>
            <c:idx val="0"/>
            <c:bubble3D val="0"/>
            <c:spPr>
              <a:solidFill>
                <a:srgbClr val="9999FF"/>
              </a:solidFill>
              <a:ln w="9064">
                <a:solidFill>
                  <a:srgbClr val="000000"/>
                </a:solidFill>
                <a:prstDash val="solid"/>
              </a:ln>
            </c:spPr>
          </c:dPt>
          <c:dPt>
            <c:idx val="1"/>
            <c:bubble3D val="0"/>
            <c:spPr>
              <a:solidFill>
                <a:srgbClr val="993366"/>
              </a:solidFill>
              <a:ln w="9064">
                <a:solidFill>
                  <a:srgbClr val="000000"/>
                </a:solidFill>
                <a:prstDash val="solid"/>
              </a:ln>
            </c:spPr>
          </c:dPt>
          <c:dPt>
            <c:idx val="2"/>
            <c:bubble3D val="0"/>
            <c:spPr>
              <a:solidFill>
                <a:srgbClr val="FFFFCC"/>
              </a:solidFill>
              <a:ln w="9064">
                <a:solidFill>
                  <a:srgbClr val="000000"/>
                </a:solidFill>
                <a:prstDash val="solid"/>
              </a:ln>
            </c:spPr>
          </c:dPt>
          <c:dPt>
            <c:idx val="3"/>
            <c:bubble3D val="0"/>
            <c:spPr>
              <a:solidFill>
                <a:srgbClr val="CCFFFF"/>
              </a:solidFill>
              <a:ln w="9064">
                <a:solidFill>
                  <a:srgbClr val="000000"/>
                </a:solidFill>
                <a:prstDash val="solid"/>
              </a:ln>
            </c:spPr>
          </c:dPt>
          <c:dPt>
            <c:idx val="4"/>
            <c:bubble3D val="0"/>
            <c:spPr>
              <a:solidFill>
                <a:srgbClr val="660066"/>
              </a:solidFill>
              <a:ln w="9064">
                <a:solidFill>
                  <a:srgbClr val="000000"/>
                </a:solidFill>
                <a:prstDash val="solid"/>
              </a:ln>
            </c:spPr>
          </c:dPt>
          <c:dPt>
            <c:idx val="5"/>
            <c:bubble3D val="0"/>
          </c:dPt>
          <c:dPt>
            <c:idx val="6"/>
            <c:bubble3D val="0"/>
            <c:spPr>
              <a:solidFill>
                <a:srgbClr val="0066CC"/>
              </a:solidFill>
              <a:ln w="9064">
                <a:solidFill>
                  <a:srgbClr val="000000"/>
                </a:solidFill>
                <a:prstDash val="solid"/>
              </a:ln>
            </c:spPr>
          </c:dPt>
          <c:dPt>
            <c:idx val="7"/>
            <c:bubble3D val="0"/>
            <c:spPr>
              <a:solidFill>
                <a:srgbClr val="CCCCFF"/>
              </a:solidFill>
              <a:ln w="9064">
                <a:solidFill>
                  <a:srgbClr val="000000"/>
                </a:solidFill>
                <a:prstDash val="solid"/>
              </a:ln>
            </c:spPr>
          </c:dPt>
          <c:dLbls>
            <c:numFmt formatCode="0%" sourceLinked="0"/>
            <c:spPr>
              <a:noFill/>
              <a:ln w="21651">
                <a:noFill/>
              </a:ln>
            </c:spPr>
            <c:txPr>
              <a:bodyPr/>
              <a:lstStyle/>
              <a:p>
                <a:pPr>
                  <a:defRPr sz="320" b="0" i="0" u="none" strike="noStrike" baseline="0">
                    <a:solidFill>
                      <a:srgbClr val="000000"/>
                    </a:solidFill>
                    <a:latin typeface="Arial"/>
                    <a:ea typeface="Arial"/>
                    <a:cs typeface="Arial"/>
                  </a:defRPr>
                </a:pPr>
                <a:endParaRPr lang="bg-BG"/>
              </a:p>
            </c:txPr>
            <c:showLegendKey val="0"/>
            <c:showVal val="0"/>
            <c:showCatName val="1"/>
            <c:showSerName val="0"/>
            <c:showPercent val="1"/>
            <c:showBubbleSize val="0"/>
            <c:showLeaderLines val="1"/>
          </c:dLbls>
          <c:cat>
            <c:strRef>
              <c:f>Sheet1!$B$1:$I$1</c:f>
              <c:strCache>
                <c:ptCount val="8"/>
                <c:pt idx="0">
                  <c:v>ДДС</c:v>
                </c:pt>
                <c:pt idx="1">
                  <c:v>Акцизи</c:v>
                </c:pt>
                <c:pt idx="2">
                  <c:v>Мита</c:v>
                </c:pt>
                <c:pt idx="3">
                  <c:v>ДЗП</c:v>
                </c:pt>
                <c:pt idx="4">
                  <c:v>Корп.д-ци</c:v>
                </c:pt>
                <c:pt idx="5">
                  <c:v>ДДФЛ</c:v>
                </c:pt>
                <c:pt idx="6">
                  <c:v>Др. данъци</c:v>
                </c:pt>
                <c:pt idx="7">
                  <c:v>Соц. и здр. осиг. вноски</c:v>
                </c:pt>
              </c:strCache>
            </c:strRef>
          </c:cat>
          <c:val>
            <c:numRef>
              <c:f>Sheet1!$B$7:$I$7</c:f>
              <c:numCache>
                <c:formatCode>General</c:formatCode>
                <c:ptCount val="8"/>
              </c:numCache>
            </c:numRef>
          </c:val>
        </c:ser>
        <c:dLbls>
          <c:showLegendKey val="0"/>
          <c:showVal val="0"/>
          <c:showCatName val="0"/>
          <c:showSerName val="0"/>
          <c:showPercent val="0"/>
          <c:showBubbleSize val="0"/>
          <c:showLeaderLines val="1"/>
        </c:dLbls>
      </c:pie3DChart>
      <c:spPr>
        <a:solidFill>
          <a:srgbClr val="FFFFFF"/>
        </a:solidFill>
        <a:ln w="9064">
          <a:solidFill>
            <a:srgbClr val="FFFFFF"/>
          </a:solidFill>
          <a:prstDash val="solid"/>
        </a:ln>
      </c:spPr>
    </c:plotArea>
    <c:plotVisOnly val="1"/>
    <c:dispBlanksAs val="zero"/>
    <c:showDLblsOverMax val="0"/>
  </c:chart>
  <c:spPr>
    <a:noFill/>
    <a:ln>
      <a:noFill/>
    </a:ln>
  </c:spPr>
  <c:txPr>
    <a:bodyPr/>
    <a:lstStyle/>
    <a:p>
      <a:pPr>
        <a:defRPr sz="359" b="0" i="0" u="none" strike="noStrike" baseline="0">
          <a:solidFill>
            <a:srgbClr val="000000"/>
          </a:solidFill>
          <a:latin typeface="Arial"/>
          <a:ea typeface="Arial"/>
          <a:cs typeface="Arial"/>
        </a:defRPr>
      </a:pPr>
      <a:endParaRPr lang="bg-BG"/>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1" b="1" i="1" u="none" strike="noStrike" baseline="0">
                <a:solidFill>
                  <a:srgbClr val="000000"/>
                </a:solidFill>
                <a:latin typeface="Times New Roman"/>
                <a:ea typeface="Times New Roman"/>
                <a:cs typeface="Times New Roman"/>
              </a:defRPr>
            </a:pPr>
            <a:r>
              <a:rPr lang="bg-BG"/>
              <a:t>Сравнителна диаграма на постъпленията от корпоративен данък през 2014 г. и 2015 г. (в млн. лв.)</a:t>
            </a:r>
          </a:p>
        </c:rich>
      </c:tx>
      <c:layout>
        <c:manualLayout>
          <c:xMode val="edge"/>
          <c:yMode val="edge"/>
          <c:x val="0.1019735986816909"/>
          <c:y val="3.0716490694345028E-2"/>
        </c:manualLayout>
      </c:layout>
      <c:overlay val="0"/>
      <c:spPr>
        <a:noFill/>
        <a:ln w="25429">
          <a:noFill/>
        </a:ln>
      </c:spPr>
    </c:title>
    <c:autoTitleDeleted val="0"/>
    <c:view3D>
      <c:rotX val="10"/>
      <c:hPercent val="30"/>
      <c:rotY val="44"/>
      <c:depthPercent val="100"/>
      <c:rAngAx val="1"/>
    </c:view3D>
    <c:floor>
      <c:thickness val="0"/>
      <c:spPr>
        <a:blipFill dpi="0" rotWithShape="0">
          <a:blip xmlns:r="http://schemas.openxmlformats.org/officeDocument/2006/relationships" r:embed="rId2"/>
          <a:srcRect/>
          <a:tile tx="0" ty="0" sx="100000" sy="100000" flip="none" algn="tl"/>
        </a:blipFill>
        <a:ln w="3175">
          <a:solidFill>
            <a:srgbClr val="000000"/>
          </a:solidFill>
          <a:prstDash val="solid"/>
        </a:ln>
      </c:spPr>
    </c:floor>
    <c:sideWall>
      <c:thickness val="0"/>
      <c:spPr>
        <a:solidFill>
          <a:srgbClr val="FFFFFF"/>
        </a:solidFill>
        <a:ln w="25400">
          <a:noFill/>
        </a:ln>
      </c:spPr>
    </c:sideWall>
    <c:backWall>
      <c:thickness val="0"/>
      <c:spPr>
        <a:solidFill>
          <a:srgbClr val="FFFFFF"/>
        </a:solidFill>
        <a:ln w="25400">
          <a:noFill/>
        </a:ln>
      </c:spPr>
    </c:backWall>
    <c:plotArea>
      <c:layout>
        <c:manualLayout>
          <c:layoutTarget val="inner"/>
          <c:xMode val="edge"/>
          <c:yMode val="edge"/>
          <c:x val="3.9473684210526314E-2"/>
          <c:y val="0.21501706484641639"/>
          <c:w val="0.95230263157894735"/>
          <c:h val="0.38566552901023893"/>
        </c:manualLayout>
      </c:layout>
      <c:bar3DChart>
        <c:barDir val="col"/>
        <c:grouping val="clustered"/>
        <c:varyColors val="0"/>
        <c:ser>
          <c:idx val="0"/>
          <c:order val="0"/>
          <c:tx>
            <c:strRef>
              <c:f>'Работна приходи РБ'!$C$24</c:f>
              <c:strCache>
                <c:ptCount val="1"/>
                <c:pt idx="0">
                  <c:v>2014 г.</c:v>
                </c:pt>
              </c:strCache>
            </c:strRef>
          </c:tx>
          <c:spPr>
            <a:solidFill>
              <a:srgbClr val="FF9900"/>
            </a:solidFill>
            <a:ln w="12714">
              <a:solidFill>
                <a:srgbClr val="000000"/>
              </a:solidFill>
              <a:prstDash val="solid"/>
            </a:ln>
          </c:spPr>
          <c:invertIfNegative val="0"/>
          <c:dLbls>
            <c:dLbl>
              <c:idx val="0"/>
              <c:layout>
                <c:manualLayout>
                  <c:x val="9.9721991987843719E-3"/>
                  <c:y val="0.21613752205888942"/>
                </c:manualLayout>
              </c:layout>
              <c:showLegendKey val="0"/>
              <c:showVal val="1"/>
              <c:showCatName val="0"/>
              <c:showSerName val="0"/>
              <c:showPercent val="0"/>
              <c:showBubbleSize val="0"/>
            </c:dLbl>
            <c:dLbl>
              <c:idx val="1"/>
              <c:layout>
                <c:manualLayout>
                  <c:x val="1.9327600497306207E-2"/>
                  <c:y val="-1.0566767891214978E-2"/>
                </c:manualLayout>
              </c:layout>
              <c:showLegendKey val="0"/>
              <c:showVal val="1"/>
              <c:showCatName val="0"/>
              <c:showSerName val="0"/>
              <c:showPercent val="0"/>
              <c:showBubbleSize val="0"/>
            </c:dLbl>
            <c:dLbl>
              <c:idx val="2"/>
              <c:layout>
                <c:manualLayout>
                  <c:xMode val="edge"/>
                  <c:yMode val="edge"/>
                  <c:x val="0.55756578947368418"/>
                  <c:y val="0.33105802047781568"/>
                </c:manualLayout>
              </c:layout>
              <c:spPr>
                <a:noFill/>
                <a:ln w="25429">
                  <a:noFill/>
                </a:ln>
              </c:spPr>
              <c:txPr>
                <a:bodyPr rot="-5280000" vert="horz"/>
                <a:lstStyle/>
                <a:p>
                  <a:pPr algn="ctr">
                    <a:defRPr sz="501" b="1" i="0" u="none" strike="noStrike" baseline="0">
                      <a:solidFill>
                        <a:srgbClr val="000000"/>
                      </a:solidFill>
                      <a:latin typeface="Arial"/>
                      <a:ea typeface="Arial"/>
                      <a:cs typeface="Arial"/>
                    </a:defRPr>
                  </a:pPr>
                  <a:endParaRPr lang="bg-BG"/>
                </a:p>
              </c:txPr>
              <c:showLegendKey val="0"/>
              <c:showVal val="1"/>
              <c:showCatName val="0"/>
              <c:showSerName val="0"/>
              <c:showPercent val="0"/>
              <c:showBubbleSize val="0"/>
            </c:dLbl>
            <c:spPr>
              <a:noFill/>
              <a:ln w="25429">
                <a:noFill/>
              </a:ln>
            </c:spPr>
            <c:txPr>
              <a:bodyPr rot="-5280000" vert="horz"/>
              <a:lstStyle/>
              <a:p>
                <a:pPr algn="ctr">
                  <a:defRPr sz="901" b="1" i="0" u="none" strike="noStrike" baseline="0">
                    <a:solidFill>
                      <a:srgbClr val="000000"/>
                    </a:solidFill>
                    <a:latin typeface="Arial"/>
                    <a:ea typeface="Arial"/>
                    <a:cs typeface="Arial"/>
                  </a:defRPr>
                </a:pPr>
                <a:endParaRPr lang="bg-BG"/>
              </a:p>
            </c:txPr>
            <c:showLegendKey val="0"/>
            <c:showVal val="1"/>
            <c:showCatName val="0"/>
            <c:showSerName val="0"/>
            <c:showPercent val="0"/>
            <c:showBubbleSize val="0"/>
            <c:showLeaderLines val="0"/>
          </c:dLbls>
          <c:cat>
            <c:strRef>
              <c:f>'Работна приходи РБ'!$B$25:$B$26</c:f>
              <c:strCache>
                <c:ptCount val="2"/>
                <c:pt idx="0">
                  <c:v>корпоративен данък от 
нефинансови предприятия</c:v>
                </c:pt>
                <c:pt idx="1">
                  <c:v>корпоративен данък от 
финансови институции</c:v>
                </c:pt>
              </c:strCache>
            </c:strRef>
          </c:cat>
          <c:val>
            <c:numRef>
              <c:f>'Работна приходи РБ'!$C$25:$C$26</c:f>
              <c:numCache>
                <c:formatCode>#,##0.0</c:formatCode>
                <c:ptCount val="2"/>
                <c:pt idx="0">
                  <c:v>1466.693</c:v>
                </c:pt>
                <c:pt idx="1">
                  <c:v>146.11500000000001</c:v>
                </c:pt>
              </c:numCache>
            </c:numRef>
          </c:val>
        </c:ser>
        <c:ser>
          <c:idx val="1"/>
          <c:order val="1"/>
          <c:tx>
            <c:strRef>
              <c:f>'Работна приходи РБ'!$D$24</c:f>
              <c:strCache>
                <c:ptCount val="1"/>
                <c:pt idx="0">
                  <c:v>2015 г.</c:v>
                </c:pt>
              </c:strCache>
            </c:strRef>
          </c:tx>
          <c:spPr>
            <a:solidFill>
              <a:srgbClr val="FFCC99"/>
            </a:solidFill>
            <a:ln w="12714">
              <a:solidFill>
                <a:srgbClr val="000000"/>
              </a:solidFill>
              <a:prstDash val="solid"/>
            </a:ln>
          </c:spPr>
          <c:invertIfNegative val="0"/>
          <c:dLbls>
            <c:dLbl>
              <c:idx val="0"/>
              <c:layout>
                <c:manualLayout>
                  <c:x val="1.3669360408896289E-2"/>
                  <c:y val="0.28362437630449772"/>
                </c:manualLayout>
              </c:layout>
              <c:showLegendKey val="0"/>
              <c:showVal val="1"/>
              <c:showCatName val="0"/>
              <c:showSerName val="0"/>
              <c:showPercent val="0"/>
              <c:showBubbleSize val="0"/>
            </c:dLbl>
            <c:dLbl>
              <c:idx val="1"/>
              <c:layout>
                <c:manualLayout>
                  <c:x val="2.4956658378229021E-2"/>
                  <c:y val="-1.2775792104485253E-2"/>
                </c:manualLayout>
              </c:layout>
              <c:showLegendKey val="0"/>
              <c:showVal val="1"/>
              <c:showCatName val="0"/>
              <c:showSerName val="0"/>
              <c:showPercent val="0"/>
              <c:showBubbleSize val="0"/>
            </c:dLbl>
            <c:dLbl>
              <c:idx val="2"/>
              <c:layout>
                <c:manualLayout>
                  <c:xMode val="edge"/>
                  <c:yMode val="edge"/>
                  <c:x val="0.60197368421052633"/>
                  <c:y val="0.32764505119453924"/>
                </c:manualLayout>
              </c:layout>
              <c:spPr>
                <a:noFill/>
                <a:ln w="25429">
                  <a:noFill/>
                </a:ln>
              </c:spPr>
              <c:txPr>
                <a:bodyPr rot="-5400000" vert="horz"/>
                <a:lstStyle/>
                <a:p>
                  <a:pPr algn="ctr">
                    <a:defRPr sz="501" b="1" i="0" u="none" strike="noStrike" baseline="0">
                      <a:solidFill>
                        <a:srgbClr val="000000"/>
                      </a:solidFill>
                      <a:latin typeface="Arial"/>
                      <a:ea typeface="Arial"/>
                      <a:cs typeface="Arial"/>
                    </a:defRPr>
                  </a:pPr>
                  <a:endParaRPr lang="bg-BG"/>
                </a:p>
              </c:txPr>
              <c:showLegendKey val="0"/>
              <c:showVal val="1"/>
              <c:showCatName val="0"/>
              <c:showSerName val="0"/>
              <c:showPercent val="0"/>
              <c:showBubbleSize val="0"/>
            </c:dLbl>
            <c:spPr>
              <a:noFill/>
              <a:ln w="25429">
                <a:noFill/>
              </a:ln>
            </c:spPr>
            <c:txPr>
              <a:bodyPr rot="-5400000" vert="horz"/>
              <a:lstStyle/>
              <a:p>
                <a:pPr algn="ctr">
                  <a:defRPr sz="901" b="1" i="0" u="none" strike="noStrike" baseline="0">
                    <a:solidFill>
                      <a:srgbClr val="000000"/>
                    </a:solidFill>
                    <a:latin typeface="Arial"/>
                    <a:ea typeface="Arial"/>
                    <a:cs typeface="Arial"/>
                  </a:defRPr>
                </a:pPr>
                <a:endParaRPr lang="bg-BG"/>
              </a:p>
            </c:txPr>
            <c:showLegendKey val="0"/>
            <c:showVal val="1"/>
            <c:showCatName val="0"/>
            <c:showSerName val="0"/>
            <c:showPercent val="0"/>
            <c:showBubbleSize val="0"/>
            <c:showLeaderLines val="0"/>
          </c:dLbls>
          <c:cat>
            <c:strRef>
              <c:f>'Работна приходи РБ'!$B$25:$B$26</c:f>
              <c:strCache>
                <c:ptCount val="2"/>
                <c:pt idx="0">
                  <c:v>корпоративен данък от 
нефинансови предприятия</c:v>
                </c:pt>
                <c:pt idx="1">
                  <c:v>корпоративен данък от 
финансови институции</c:v>
                </c:pt>
              </c:strCache>
            </c:strRef>
          </c:cat>
          <c:val>
            <c:numRef>
              <c:f>'Работна приходи РБ'!$D$25:$D$26</c:f>
              <c:numCache>
                <c:formatCode>#,##0.0</c:formatCode>
                <c:ptCount val="2"/>
                <c:pt idx="0">
                  <c:v>1623.568</c:v>
                </c:pt>
                <c:pt idx="1">
                  <c:v>180.12299999999999</c:v>
                </c:pt>
              </c:numCache>
            </c:numRef>
          </c:val>
        </c:ser>
        <c:ser>
          <c:idx val="2"/>
          <c:order val="2"/>
          <c:tx>
            <c:strRef>
              <c:f>'Работна приходи РБ'!$E$24</c:f>
              <c:strCache>
                <c:ptCount val="1"/>
                <c:pt idx="0">
                  <c:v>ЗДБРБ 2015 г.</c:v>
                </c:pt>
              </c:strCache>
            </c:strRef>
          </c:tx>
          <c:spPr>
            <a:solidFill>
              <a:srgbClr val="FFFFCC"/>
            </a:solidFill>
            <a:ln w="12714">
              <a:solidFill>
                <a:srgbClr val="000000"/>
              </a:solidFill>
              <a:prstDash val="solid"/>
            </a:ln>
          </c:spPr>
          <c:invertIfNegative val="0"/>
          <c:dLbls>
            <c:dLbl>
              <c:idx val="0"/>
              <c:layout>
                <c:manualLayout>
                  <c:x val="2.2025659621494696E-2"/>
                  <c:y val="0.23457758906416562"/>
                </c:manualLayout>
              </c:layout>
              <c:showLegendKey val="0"/>
              <c:showVal val="1"/>
              <c:showCatName val="0"/>
              <c:showSerName val="0"/>
              <c:showPercent val="0"/>
              <c:showBubbleSize val="0"/>
            </c:dLbl>
            <c:dLbl>
              <c:idx val="1"/>
              <c:layout>
                <c:manualLayout>
                  <c:x val="2.6734010222406412E-2"/>
                  <c:y val="-1.5979504268451111E-2"/>
                </c:manualLayout>
              </c:layout>
              <c:showLegendKey val="0"/>
              <c:showVal val="1"/>
              <c:showCatName val="0"/>
              <c:showSerName val="0"/>
              <c:showPercent val="0"/>
              <c:showBubbleSize val="0"/>
            </c:dLbl>
            <c:dLbl>
              <c:idx val="2"/>
              <c:layout>
                <c:manualLayout>
                  <c:xMode val="edge"/>
                  <c:yMode val="edge"/>
                  <c:x val="0.64638157894736847"/>
                  <c:y val="0.34129692832764508"/>
                </c:manualLayout>
              </c:layout>
              <c:spPr>
                <a:noFill/>
                <a:ln w="25429">
                  <a:noFill/>
                </a:ln>
              </c:spPr>
              <c:txPr>
                <a:bodyPr rot="-5400000" vert="horz"/>
                <a:lstStyle/>
                <a:p>
                  <a:pPr algn="ctr">
                    <a:defRPr sz="501" b="1" i="0" u="none" strike="noStrike" baseline="0">
                      <a:solidFill>
                        <a:srgbClr val="000000"/>
                      </a:solidFill>
                      <a:latin typeface="Arial"/>
                      <a:ea typeface="Arial"/>
                      <a:cs typeface="Arial"/>
                    </a:defRPr>
                  </a:pPr>
                  <a:endParaRPr lang="bg-BG"/>
                </a:p>
              </c:txPr>
              <c:showLegendKey val="0"/>
              <c:showVal val="1"/>
              <c:showCatName val="0"/>
              <c:showSerName val="0"/>
              <c:showPercent val="0"/>
              <c:showBubbleSize val="0"/>
            </c:dLbl>
            <c:spPr>
              <a:noFill/>
              <a:ln w="25429">
                <a:noFill/>
              </a:ln>
            </c:spPr>
            <c:txPr>
              <a:bodyPr rot="-5400000" vert="horz"/>
              <a:lstStyle/>
              <a:p>
                <a:pPr algn="ctr">
                  <a:defRPr sz="901" b="1" i="0" u="none" strike="noStrike" baseline="0">
                    <a:solidFill>
                      <a:srgbClr val="000000"/>
                    </a:solidFill>
                    <a:latin typeface="Arial"/>
                    <a:ea typeface="Arial"/>
                    <a:cs typeface="Arial"/>
                  </a:defRPr>
                </a:pPr>
                <a:endParaRPr lang="bg-BG"/>
              </a:p>
            </c:txPr>
            <c:showLegendKey val="0"/>
            <c:showVal val="1"/>
            <c:showCatName val="0"/>
            <c:showSerName val="0"/>
            <c:showPercent val="0"/>
            <c:showBubbleSize val="0"/>
            <c:showLeaderLines val="0"/>
          </c:dLbls>
          <c:cat>
            <c:strRef>
              <c:f>'Работна приходи РБ'!$B$25:$B$26</c:f>
              <c:strCache>
                <c:ptCount val="2"/>
                <c:pt idx="0">
                  <c:v>корпоративен данък от 
нефинансови предприятия</c:v>
                </c:pt>
                <c:pt idx="1">
                  <c:v>корпоративен данък от 
финансови институции</c:v>
                </c:pt>
              </c:strCache>
            </c:strRef>
          </c:cat>
          <c:val>
            <c:numRef>
              <c:f>'Работна приходи РБ'!$E$25:$E$26</c:f>
              <c:numCache>
                <c:formatCode>#,##0.0</c:formatCode>
                <c:ptCount val="2"/>
                <c:pt idx="0">
                  <c:v>1502.9190000000001</c:v>
                </c:pt>
                <c:pt idx="1">
                  <c:v>121.009</c:v>
                </c:pt>
              </c:numCache>
            </c:numRef>
          </c:val>
        </c:ser>
        <c:dLbls>
          <c:showLegendKey val="0"/>
          <c:showVal val="0"/>
          <c:showCatName val="0"/>
          <c:showSerName val="0"/>
          <c:showPercent val="0"/>
          <c:showBubbleSize val="0"/>
        </c:dLbls>
        <c:gapWidth val="150"/>
        <c:shape val="cylinder"/>
        <c:axId val="147260544"/>
        <c:axId val="147262080"/>
        <c:axId val="0"/>
      </c:bar3DChart>
      <c:catAx>
        <c:axId val="147260544"/>
        <c:scaling>
          <c:orientation val="minMax"/>
        </c:scaling>
        <c:delete val="0"/>
        <c:axPos val="b"/>
        <c:numFmt formatCode="General" sourceLinked="1"/>
        <c:majorTickMark val="out"/>
        <c:minorTickMark val="none"/>
        <c:tickLblPos val="low"/>
        <c:spPr>
          <a:ln w="3178">
            <a:solidFill>
              <a:srgbClr val="000000"/>
            </a:solidFill>
            <a:prstDash val="solid"/>
          </a:ln>
        </c:spPr>
        <c:txPr>
          <a:bodyPr rot="0" vert="horz"/>
          <a:lstStyle/>
          <a:p>
            <a:pPr>
              <a:defRPr sz="1201" b="1" i="0" u="none" strike="noStrike" baseline="30000">
                <a:solidFill>
                  <a:srgbClr val="000000"/>
                </a:solidFill>
                <a:latin typeface="Times New Roman"/>
                <a:ea typeface="Times New Roman"/>
                <a:cs typeface="Times New Roman"/>
              </a:defRPr>
            </a:pPr>
            <a:endParaRPr lang="bg-BG"/>
          </a:p>
        </c:txPr>
        <c:crossAx val="147262080"/>
        <c:crossesAt val="0"/>
        <c:auto val="1"/>
        <c:lblAlgn val="ctr"/>
        <c:lblOffset val="100"/>
        <c:tickLblSkip val="1"/>
        <c:tickMarkSkip val="1"/>
        <c:noMultiLvlLbl val="0"/>
      </c:catAx>
      <c:valAx>
        <c:axId val="147262080"/>
        <c:scaling>
          <c:orientation val="minMax"/>
          <c:max val="1600"/>
          <c:min val="0"/>
        </c:scaling>
        <c:delete val="1"/>
        <c:axPos val="l"/>
        <c:majorGridlines>
          <c:spPr>
            <a:ln w="3178">
              <a:solidFill>
                <a:srgbClr val="FFFFFF"/>
              </a:solidFill>
              <a:prstDash val="solid"/>
            </a:ln>
          </c:spPr>
        </c:majorGridlines>
        <c:numFmt formatCode="#,##0.0" sourceLinked="1"/>
        <c:majorTickMark val="out"/>
        <c:minorTickMark val="none"/>
        <c:tickLblPos val="nextTo"/>
        <c:crossAx val="147260544"/>
        <c:crosses val="autoZero"/>
        <c:crossBetween val="between"/>
        <c:majorUnit val="200"/>
        <c:minorUnit val="40"/>
      </c:valAx>
      <c:spPr>
        <a:noFill/>
        <a:ln w="25428">
          <a:noFill/>
        </a:ln>
      </c:spPr>
    </c:plotArea>
    <c:legend>
      <c:legendPos val="r"/>
      <c:layout>
        <c:manualLayout>
          <c:xMode val="edge"/>
          <c:yMode val="edge"/>
          <c:x val="0.18030050083472454"/>
          <c:y val="0.8127208480565371"/>
          <c:w val="0.63439065108514192"/>
          <c:h val="0.14840989399293286"/>
        </c:manualLayout>
      </c:layout>
      <c:overlay val="0"/>
      <c:spPr>
        <a:solidFill>
          <a:srgbClr val="FFFFFF"/>
        </a:solidFill>
        <a:ln w="25429">
          <a:noFill/>
        </a:ln>
      </c:spPr>
      <c:txPr>
        <a:bodyPr/>
        <a:lstStyle/>
        <a:p>
          <a:pPr>
            <a:defRPr sz="781" b="1" i="0" u="none" strike="noStrike" baseline="0">
              <a:solidFill>
                <a:srgbClr val="000000"/>
              </a:solidFill>
              <a:latin typeface="Times New Roman"/>
              <a:ea typeface="Times New Roman"/>
              <a:cs typeface="Times New Roman"/>
            </a:defRPr>
          </a:pPr>
          <a:endParaRPr lang="bg-BG"/>
        </a:p>
      </c:txPr>
    </c:legend>
    <c:plotVisOnly val="1"/>
    <c:dispBlanksAs val="gap"/>
    <c:showDLblsOverMax val="0"/>
  </c:chart>
  <c:spPr>
    <a:solidFill>
      <a:srgbClr val="FFFFFF"/>
    </a:solidFill>
    <a:ln>
      <a:noFill/>
    </a:ln>
  </c:spPr>
  <c:txPr>
    <a:bodyPr/>
    <a:lstStyle/>
    <a:p>
      <a:pPr>
        <a:defRPr sz="876" b="0" i="0" u="none" strike="noStrike" baseline="0">
          <a:solidFill>
            <a:srgbClr val="000000"/>
          </a:solidFill>
          <a:latin typeface="Arial"/>
          <a:ea typeface="Arial"/>
          <a:cs typeface="Arial"/>
        </a:defRPr>
      </a:pPr>
      <a:endParaRPr lang="bg-BG"/>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8" b="1" i="0" u="none" strike="noStrike" baseline="0">
                <a:solidFill>
                  <a:srgbClr val="000000"/>
                </a:solidFill>
                <a:latin typeface="Times New Roman"/>
                <a:ea typeface="Times New Roman"/>
                <a:cs typeface="Times New Roman"/>
              </a:defRPr>
            </a:pPr>
            <a:r>
              <a:rPr lang="bg-BG"/>
              <a:t>Приходи от ДДС за периода 200</a:t>
            </a:r>
            <a:r>
              <a:rPr lang="en-US"/>
              <a:t>5</a:t>
            </a:r>
            <a:r>
              <a:rPr lang="bg-BG"/>
              <a:t> г. - 201</a:t>
            </a:r>
            <a:r>
              <a:rPr lang="en-US"/>
              <a:t>5</a:t>
            </a:r>
            <a:r>
              <a:rPr lang="bg-BG"/>
              <a:t> г. ( млн. лв.)</a:t>
            </a:r>
          </a:p>
        </c:rich>
      </c:tx>
      <c:layout>
        <c:manualLayout>
          <c:xMode val="edge"/>
          <c:yMode val="edge"/>
          <c:x val="0.15669027362958937"/>
          <c:y val="3.5608242982930902E-2"/>
        </c:manualLayout>
      </c:layout>
      <c:overlay val="0"/>
      <c:spPr>
        <a:noFill/>
        <a:ln w="25361">
          <a:noFill/>
        </a:ln>
      </c:spPr>
    </c:title>
    <c:autoTitleDeleted val="0"/>
    <c:plotArea>
      <c:layout>
        <c:manualLayout>
          <c:layoutTarget val="inner"/>
          <c:xMode val="edge"/>
          <c:yMode val="edge"/>
          <c:x val="0.13556349681886212"/>
          <c:y val="0.20178070779150215"/>
          <c:w val="0.77993024793189503"/>
          <c:h val="0.5845705799253812"/>
        </c:manualLayout>
      </c:layout>
      <c:barChart>
        <c:barDir val="col"/>
        <c:grouping val="clustered"/>
        <c:varyColors val="0"/>
        <c:ser>
          <c:idx val="1"/>
          <c:order val="0"/>
          <c:tx>
            <c:v>Приходи от ДДС - нето</c:v>
          </c:tx>
          <c:spPr>
            <a:solidFill>
              <a:srgbClr val="CCCCFF"/>
            </a:solidFill>
            <a:ln w="12681">
              <a:solidFill>
                <a:srgbClr val="000000"/>
              </a:solidFill>
              <a:prstDash val="solid"/>
            </a:ln>
          </c:spPr>
          <c:invertIfNegative val="0"/>
          <c:dLbls>
            <c:numFmt formatCode="#,##0.0" sourceLinked="0"/>
            <c:spPr>
              <a:noFill/>
              <a:ln w="25361">
                <a:noFill/>
              </a:ln>
            </c:spPr>
            <c:txPr>
              <a:bodyPr rot="-5400000" vert="horz"/>
              <a:lstStyle/>
              <a:p>
                <a:pPr algn="ctr">
                  <a:defRPr sz="899" b="1" i="0" u="none" strike="noStrike" baseline="0">
                    <a:solidFill>
                      <a:srgbClr val="000000"/>
                    </a:solidFill>
                    <a:latin typeface="Times New Roman"/>
                    <a:ea typeface="Times New Roman"/>
                    <a:cs typeface="Times New Roman"/>
                  </a:defRPr>
                </a:pPr>
                <a:endParaRPr lang="bg-BG"/>
              </a:p>
            </c:txPr>
            <c:dLblPos val="inBase"/>
            <c:showLegendKey val="0"/>
            <c:showVal val="1"/>
            <c:showCatName val="0"/>
            <c:showSerName val="0"/>
            <c:showPercent val="0"/>
            <c:showBubbleSize val="0"/>
            <c:showLeaderLines val="0"/>
          </c:dLbls>
          <c:cat>
            <c:strRef>
              <c:f>Sheet1!$B$7:$B$17</c:f>
              <c:strCache>
                <c:ptCount val="11"/>
                <c:pt idx="0">
                  <c:v>2005 г.</c:v>
                </c:pt>
                <c:pt idx="1">
                  <c:v>2006 г.</c:v>
                </c:pt>
                <c:pt idx="2">
                  <c:v>2007 г.</c:v>
                </c:pt>
                <c:pt idx="3">
                  <c:v>2008 г.</c:v>
                </c:pt>
                <c:pt idx="4">
                  <c:v>2009 г.</c:v>
                </c:pt>
                <c:pt idx="5">
                  <c:v>2010 г.</c:v>
                </c:pt>
                <c:pt idx="6">
                  <c:v>2011 г.</c:v>
                </c:pt>
                <c:pt idx="7">
                  <c:v>2012 г.</c:v>
                </c:pt>
                <c:pt idx="8">
                  <c:v>2013 г.</c:v>
                </c:pt>
                <c:pt idx="9">
                  <c:v>2014 г.</c:v>
                </c:pt>
                <c:pt idx="10">
                  <c:v>2015 г.</c:v>
                </c:pt>
              </c:strCache>
            </c:strRef>
          </c:cat>
          <c:val>
            <c:numRef>
              <c:f>Sheet1!$C$7:$C$17</c:f>
              <c:numCache>
                <c:formatCode>#,##0.0</c:formatCode>
                <c:ptCount val="11"/>
                <c:pt idx="0">
                  <c:v>4798.0028240000001</c:v>
                </c:pt>
                <c:pt idx="1">
                  <c:v>5823.7922209999997</c:v>
                </c:pt>
                <c:pt idx="2">
                  <c:v>6598.5049000000008</c:v>
                </c:pt>
                <c:pt idx="3">
                  <c:v>7485.3172999999997</c:v>
                </c:pt>
                <c:pt idx="4">
                  <c:v>6432.5232180000003</c:v>
                </c:pt>
                <c:pt idx="5">
                  <c:v>6267.0509930000007</c:v>
                </c:pt>
                <c:pt idx="6">
                  <c:v>6611.6602849999999</c:v>
                </c:pt>
                <c:pt idx="7">
                  <c:v>7151.8561209999989</c:v>
                </c:pt>
                <c:pt idx="8">
                  <c:v>7366.4829039999995</c:v>
                </c:pt>
                <c:pt idx="9">
                  <c:v>7264.4296009999998</c:v>
                </c:pt>
                <c:pt idx="10">
                  <c:v>7740.0152049999997</c:v>
                </c:pt>
              </c:numCache>
            </c:numRef>
          </c:val>
        </c:ser>
        <c:dLbls>
          <c:showLegendKey val="0"/>
          <c:showVal val="0"/>
          <c:showCatName val="0"/>
          <c:showSerName val="0"/>
          <c:showPercent val="0"/>
          <c:showBubbleSize val="0"/>
        </c:dLbls>
        <c:gapWidth val="150"/>
        <c:axId val="164177408"/>
        <c:axId val="164178944"/>
      </c:barChart>
      <c:lineChart>
        <c:grouping val="standard"/>
        <c:varyColors val="0"/>
        <c:ser>
          <c:idx val="0"/>
          <c:order val="1"/>
          <c:tx>
            <c:v>% от БВП</c:v>
          </c:tx>
          <c:spPr>
            <a:ln w="12681">
              <a:solidFill>
                <a:srgbClr val="000080"/>
              </a:solidFill>
              <a:prstDash val="solid"/>
            </a:ln>
          </c:spPr>
          <c:marker>
            <c:symbol val="circle"/>
            <c:size val="3"/>
            <c:spPr>
              <a:solidFill>
                <a:srgbClr val="000000"/>
              </a:solidFill>
              <a:ln>
                <a:solidFill>
                  <a:srgbClr val="000000"/>
                </a:solidFill>
                <a:prstDash val="solid"/>
              </a:ln>
            </c:spPr>
          </c:marker>
          <c:dLbls>
            <c:dLbl>
              <c:idx val="0"/>
              <c:layout>
                <c:manualLayout>
                  <c:x val="-4.6625696821941863E-2"/>
                  <c:y val="-5.9641107473465189E-2"/>
                </c:manualLayout>
              </c:layout>
              <c:dLblPos val="r"/>
              <c:showLegendKey val="0"/>
              <c:showVal val="1"/>
              <c:showCatName val="0"/>
              <c:showSerName val="0"/>
              <c:showPercent val="0"/>
              <c:showBubbleSize val="0"/>
            </c:dLbl>
            <c:spPr>
              <a:noFill/>
              <a:ln w="25361">
                <a:noFill/>
              </a:ln>
            </c:spPr>
            <c:txPr>
              <a:bodyPr/>
              <a:lstStyle/>
              <a:p>
                <a:pPr>
                  <a:defRPr sz="899" b="1" i="0" u="none" strike="noStrike" baseline="0">
                    <a:solidFill>
                      <a:srgbClr val="000000"/>
                    </a:solidFill>
                    <a:latin typeface="Times New Roman"/>
                    <a:ea typeface="Times New Roman"/>
                    <a:cs typeface="Times New Roman"/>
                  </a:defRPr>
                </a:pPr>
                <a:endParaRPr lang="bg-BG"/>
              </a:p>
            </c:txPr>
            <c:dLblPos val="t"/>
            <c:showLegendKey val="0"/>
            <c:showVal val="1"/>
            <c:showCatName val="0"/>
            <c:showSerName val="0"/>
            <c:showPercent val="0"/>
            <c:showBubbleSize val="0"/>
            <c:showLeaderLines val="0"/>
          </c:dLbls>
          <c:cat>
            <c:strRef>
              <c:f>Sheet1!$B$7:$B$17</c:f>
              <c:strCache>
                <c:ptCount val="11"/>
                <c:pt idx="0">
                  <c:v>2005 г.</c:v>
                </c:pt>
                <c:pt idx="1">
                  <c:v>2006 г.</c:v>
                </c:pt>
                <c:pt idx="2">
                  <c:v>2007 г.</c:v>
                </c:pt>
                <c:pt idx="3">
                  <c:v>2008 г.</c:v>
                </c:pt>
                <c:pt idx="4">
                  <c:v>2009 г.</c:v>
                </c:pt>
                <c:pt idx="5">
                  <c:v>2010 г.</c:v>
                </c:pt>
                <c:pt idx="6">
                  <c:v>2011 г.</c:v>
                </c:pt>
                <c:pt idx="7">
                  <c:v>2012 г.</c:v>
                </c:pt>
                <c:pt idx="8">
                  <c:v>2013 г.</c:v>
                </c:pt>
                <c:pt idx="9">
                  <c:v>2014 г.</c:v>
                </c:pt>
                <c:pt idx="10">
                  <c:v>2015 г.</c:v>
                </c:pt>
              </c:strCache>
            </c:strRef>
          </c:cat>
          <c:val>
            <c:numRef>
              <c:f>Sheet1!$D$7:$D$17</c:f>
              <c:numCache>
                <c:formatCode>0.0%</c:formatCode>
                <c:ptCount val="11"/>
                <c:pt idx="0">
                  <c:v>0.10221069207142669</c:v>
                </c:pt>
                <c:pt idx="1">
                  <c:v>0.10887439527593895</c:v>
                </c:pt>
                <c:pt idx="2">
                  <c:v>0.10314961491542482</c:v>
                </c:pt>
                <c:pt idx="3">
                  <c:v>0.10240565097627781</c:v>
                </c:pt>
                <c:pt idx="4">
                  <c:v>8.8305724613294057E-2</c:v>
                </c:pt>
                <c:pt idx="5">
                  <c:v>8.4942263558315662E-2</c:v>
                </c:pt>
                <c:pt idx="6">
                  <c:v>8.2542634081524874E-2</c:v>
                </c:pt>
                <c:pt idx="7">
                  <c:v>8.7705815837896856E-2</c:v>
                </c:pt>
                <c:pt idx="8">
                  <c:v>8.9866936287213664E-2</c:v>
                </c:pt>
                <c:pt idx="9">
                  <c:v>8.688232670171589E-2</c:v>
                </c:pt>
                <c:pt idx="10">
                  <c:v>8.9611925839631415E-2</c:v>
                </c:pt>
              </c:numCache>
            </c:numRef>
          </c:val>
          <c:smooth val="0"/>
        </c:ser>
        <c:dLbls>
          <c:showLegendKey val="0"/>
          <c:showVal val="0"/>
          <c:showCatName val="0"/>
          <c:showSerName val="0"/>
          <c:showPercent val="0"/>
          <c:showBubbleSize val="0"/>
        </c:dLbls>
        <c:marker val="1"/>
        <c:smooth val="0"/>
        <c:axId val="165155584"/>
        <c:axId val="165157120"/>
      </c:lineChart>
      <c:catAx>
        <c:axId val="164177408"/>
        <c:scaling>
          <c:orientation val="minMax"/>
        </c:scaling>
        <c:delete val="0"/>
        <c:axPos val="b"/>
        <c:numFmt formatCode="General" sourceLinked="1"/>
        <c:majorTickMark val="cross"/>
        <c:minorTickMark val="none"/>
        <c:tickLblPos val="nextTo"/>
        <c:spPr>
          <a:ln w="3170">
            <a:solidFill>
              <a:srgbClr val="000000"/>
            </a:solidFill>
            <a:prstDash val="solid"/>
          </a:ln>
        </c:spPr>
        <c:txPr>
          <a:bodyPr rot="0" vert="horz"/>
          <a:lstStyle/>
          <a:p>
            <a:pPr>
              <a:defRPr sz="999" b="1" i="0" u="none" strike="noStrike" baseline="0">
                <a:solidFill>
                  <a:srgbClr val="000000"/>
                </a:solidFill>
                <a:latin typeface="Times New Roman"/>
                <a:ea typeface="Times New Roman"/>
                <a:cs typeface="Times New Roman"/>
              </a:defRPr>
            </a:pPr>
            <a:endParaRPr lang="bg-BG"/>
          </a:p>
        </c:txPr>
        <c:crossAx val="164178944"/>
        <c:crosses val="autoZero"/>
        <c:auto val="0"/>
        <c:lblAlgn val="ctr"/>
        <c:lblOffset val="100"/>
        <c:tickLblSkip val="1"/>
        <c:tickMarkSkip val="1"/>
        <c:noMultiLvlLbl val="0"/>
      </c:catAx>
      <c:valAx>
        <c:axId val="164178944"/>
        <c:scaling>
          <c:orientation val="minMax"/>
        </c:scaling>
        <c:delete val="0"/>
        <c:axPos val="l"/>
        <c:numFmt formatCode="#,##0" sourceLinked="0"/>
        <c:majorTickMark val="cross"/>
        <c:minorTickMark val="none"/>
        <c:tickLblPos val="nextTo"/>
        <c:spPr>
          <a:ln w="3170">
            <a:solidFill>
              <a:srgbClr val="000000"/>
            </a:solidFill>
            <a:prstDash val="solid"/>
          </a:ln>
        </c:spPr>
        <c:txPr>
          <a:bodyPr rot="0" vert="horz"/>
          <a:lstStyle/>
          <a:p>
            <a:pPr>
              <a:defRPr sz="899" b="1" i="0" u="none" strike="noStrike" baseline="0">
                <a:solidFill>
                  <a:srgbClr val="000000"/>
                </a:solidFill>
                <a:latin typeface="Times New Roman"/>
                <a:ea typeface="Times New Roman"/>
                <a:cs typeface="Times New Roman"/>
              </a:defRPr>
            </a:pPr>
            <a:endParaRPr lang="bg-BG"/>
          </a:p>
        </c:txPr>
        <c:crossAx val="164177408"/>
        <c:crosses val="autoZero"/>
        <c:crossBetween val="between"/>
      </c:valAx>
      <c:catAx>
        <c:axId val="165155584"/>
        <c:scaling>
          <c:orientation val="minMax"/>
        </c:scaling>
        <c:delete val="1"/>
        <c:axPos val="b"/>
        <c:majorTickMark val="out"/>
        <c:minorTickMark val="none"/>
        <c:tickLblPos val="nextTo"/>
        <c:crossAx val="165157120"/>
        <c:crosses val="autoZero"/>
        <c:auto val="0"/>
        <c:lblAlgn val="ctr"/>
        <c:lblOffset val="100"/>
        <c:noMultiLvlLbl val="0"/>
      </c:catAx>
      <c:valAx>
        <c:axId val="165157120"/>
        <c:scaling>
          <c:orientation val="minMax"/>
        </c:scaling>
        <c:delete val="0"/>
        <c:axPos val="r"/>
        <c:numFmt formatCode="0%" sourceLinked="0"/>
        <c:majorTickMark val="cross"/>
        <c:minorTickMark val="none"/>
        <c:tickLblPos val="nextTo"/>
        <c:spPr>
          <a:ln w="3170">
            <a:solidFill>
              <a:srgbClr val="000000"/>
            </a:solidFill>
            <a:prstDash val="solid"/>
          </a:ln>
        </c:spPr>
        <c:txPr>
          <a:bodyPr rot="0" vert="horz"/>
          <a:lstStyle/>
          <a:p>
            <a:pPr>
              <a:defRPr sz="899" b="1" i="0" u="none" strike="noStrike" baseline="0">
                <a:solidFill>
                  <a:srgbClr val="000000"/>
                </a:solidFill>
                <a:latin typeface="Times New Roman"/>
                <a:ea typeface="Times New Roman"/>
                <a:cs typeface="Times New Roman"/>
              </a:defRPr>
            </a:pPr>
            <a:endParaRPr lang="bg-BG"/>
          </a:p>
        </c:txPr>
        <c:crossAx val="165155584"/>
        <c:crosses val="max"/>
        <c:crossBetween val="between"/>
      </c:valAx>
      <c:spPr>
        <a:solidFill>
          <a:srgbClr val="FFFFFF"/>
        </a:solidFill>
        <a:ln w="3170">
          <a:solidFill>
            <a:srgbClr val="000000"/>
          </a:solidFill>
          <a:prstDash val="solid"/>
        </a:ln>
      </c:spPr>
    </c:plotArea>
    <c:legend>
      <c:legendPos val="r"/>
      <c:layout>
        <c:manualLayout>
          <c:xMode val="edge"/>
          <c:yMode val="edge"/>
          <c:x val="6.9892473118279563E-2"/>
          <c:y val="0.90055248618784534"/>
          <c:w val="0.81899641577060933"/>
          <c:h val="7.18232044198895E-2"/>
        </c:manualLayout>
      </c:layout>
      <c:overlay val="0"/>
      <c:spPr>
        <a:solidFill>
          <a:srgbClr val="FFFFFF"/>
        </a:solidFill>
        <a:ln w="3170">
          <a:solidFill>
            <a:srgbClr val="000000"/>
          </a:solidFill>
          <a:prstDash val="solid"/>
        </a:ln>
      </c:spPr>
      <c:txPr>
        <a:bodyPr/>
        <a:lstStyle/>
        <a:p>
          <a:pPr>
            <a:defRPr sz="998" b="1" i="0" u="none" strike="noStrike" baseline="0">
              <a:solidFill>
                <a:srgbClr val="000000"/>
              </a:solidFill>
              <a:latin typeface="Times New Roman"/>
              <a:ea typeface="Times New Roman"/>
              <a:cs typeface="Times New Roman"/>
            </a:defRPr>
          </a:pPr>
          <a:endParaRPr lang="bg-BG"/>
        </a:p>
      </c:txPr>
    </c:legend>
    <c:plotVisOnly val="1"/>
    <c:dispBlanksAs val="gap"/>
    <c:showDLblsOverMax val="0"/>
  </c:chart>
  <c:spPr>
    <a:solidFill>
      <a:srgbClr val="FFFFFF"/>
    </a:solidFill>
    <a:ln w="3170">
      <a:solidFill>
        <a:srgbClr val="000000"/>
      </a:solidFill>
      <a:prstDash val="solid"/>
    </a:ln>
  </c:spPr>
  <c:txPr>
    <a:bodyPr/>
    <a:lstStyle/>
    <a:p>
      <a:pPr>
        <a:defRPr sz="999" b="1" i="0" u="none" strike="noStrike" baseline="0">
          <a:solidFill>
            <a:srgbClr val="000000"/>
          </a:solidFill>
          <a:latin typeface="Times New Roman"/>
          <a:ea typeface="Times New Roman"/>
          <a:cs typeface="Times New Roman"/>
        </a:defRPr>
      </a:pPr>
      <a:endParaRPr lang="bg-BG"/>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48" b="1" i="1" u="sng" strike="noStrike" baseline="0">
                <a:solidFill>
                  <a:srgbClr val="000000"/>
                </a:solidFill>
                <a:latin typeface="Times New Roman"/>
                <a:ea typeface="Times New Roman"/>
                <a:cs typeface="Times New Roman"/>
              </a:defRPr>
            </a:pPr>
            <a:r>
              <a:rPr lang="bg-BG"/>
              <a:t>Изпълнение на имуществените данъци на общините за 2015 г.</a:t>
            </a:r>
          </a:p>
        </c:rich>
      </c:tx>
      <c:layout>
        <c:manualLayout>
          <c:xMode val="edge"/>
          <c:yMode val="edge"/>
          <c:x val="0.14558075042599875"/>
          <c:y val="3.5714285714285712E-2"/>
        </c:manualLayout>
      </c:layout>
      <c:overlay val="0"/>
      <c:spPr>
        <a:noFill/>
        <a:ln w="25350">
          <a:noFill/>
        </a:ln>
      </c:spPr>
    </c:title>
    <c:autoTitleDeleted val="0"/>
    <c:view3D>
      <c:rotX val="15"/>
      <c:rotY val="10"/>
      <c:rAngAx val="0"/>
      <c:perspective val="0"/>
    </c:view3D>
    <c:floor>
      <c:thickness val="0"/>
    </c:floor>
    <c:sideWall>
      <c:thickness val="0"/>
    </c:sideWall>
    <c:backWall>
      <c:thickness val="0"/>
    </c:backWall>
    <c:plotArea>
      <c:layout>
        <c:manualLayout>
          <c:layoutTarget val="inner"/>
          <c:xMode val="edge"/>
          <c:yMode val="edge"/>
          <c:x val="0.32928970673481733"/>
          <c:y val="0.30654851001124794"/>
          <c:w val="0.34142143277241588"/>
          <c:h val="0.23214353185317804"/>
        </c:manualLayout>
      </c:layout>
      <c:pie3DChart>
        <c:varyColors val="1"/>
        <c:ser>
          <c:idx val="0"/>
          <c:order val="0"/>
          <c:spPr>
            <a:solidFill>
              <a:srgbClr val="9999FF"/>
            </a:solidFill>
            <a:ln w="12675">
              <a:solidFill>
                <a:srgbClr val="000000"/>
              </a:solidFill>
              <a:prstDash val="solid"/>
            </a:ln>
          </c:spPr>
          <c:dPt>
            <c:idx val="0"/>
            <c:bubble3D val="0"/>
          </c:dPt>
          <c:dPt>
            <c:idx val="1"/>
            <c:bubble3D val="0"/>
            <c:spPr>
              <a:solidFill>
                <a:srgbClr val="993366"/>
              </a:solidFill>
              <a:ln w="12675">
                <a:solidFill>
                  <a:srgbClr val="000000"/>
                </a:solidFill>
                <a:prstDash val="solid"/>
              </a:ln>
            </c:spPr>
          </c:dPt>
          <c:dPt>
            <c:idx val="2"/>
            <c:bubble3D val="0"/>
            <c:spPr>
              <a:solidFill>
                <a:srgbClr val="FFFFCC"/>
              </a:solidFill>
              <a:ln w="12675">
                <a:solidFill>
                  <a:srgbClr val="000000"/>
                </a:solidFill>
                <a:prstDash val="solid"/>
              </a:ln>
            </c:spPr>
          </c:dPt>
          <c:dPt>
            <c:idx val="3"/>
            <c:bubble3D val="0"/>
            <c:spPr>
              <a:solidFill>
                <a:srgbClr val="CCFFFF"/>
              </a:solidFill>
              <a:ln w="12675">
                <a:solidFill>
                  <a:srgbClr val="000000"/>
                </a:solidFill>
                <a:prstDash val="solid"/>
              </a:ln>
            </c:spPr>
          </c:dPt>
          <c:dPt>
            <c:idx val="4"/>
            <c:bubble3D val="0"/>
            <c:spPr>
              <a:solidFill>
                <a:srgbClr val="660066"/>
              </a:solidFill>
              <a:ln w="12675">
                <a:solidFill>
                  <a:srgbClr val="000000"/>
                </a:solidFill>
                <a:prstDash val="solid"/>
              </a:ln>
            </c:spPr>
          </c:dPt>
          <c:dLbls>
            <c:dLbl>
              <c:idx val="0"/>
              <c:layout>
                <c:manualLayout>
                  <c:x val="3.7821476821463258E-2"/>
                  <c:y val="-2.1700724909386328E-2"/>
                </c:manualLayout>
              </c:layout>
              <c:dLblPos val="bestFit"/>
              <c:showLegendKey val="0"/>
              <c:showVal val="0"/>
              <c:showCatName val="1"/>
              <c:showSerName val="0"/>
              <c:showPercent val="1"/>
              <c:showBubbleSize val="0"/>
            </c:dLbl>
            <c:dLbl>
              <c:idx val="1"/>
              <c:layout>
                <c:manualLayout>
                  <c:x val="7.3139274968398267E-3"/>
                  <c:y val="6.0890213244217124E-2"/>
                </c:manualLayout>
              </c:layout>
              <c:dLblPos val="bestFit"/>
              <c:showLegendKey val="0"/>
              <c:showVal val="0"/>
              <c:showCatName val="1"/>
              <c:showSerName val="0"/>
              <c:showPercent val="1"/>
              <c:showBubbleSize val="0"/>
            </c:dLbl>
            <c:dLbl>
              <c:idx val="2"/>
              <c:layout>
                <c:manualLayout>
                  <c:x val="3.6518998453354164E-2"/>
                  <c:y val="0.10667250193604301"/>
                </c:manualLayout>
              </c:layout>
              <c:dLblPos val="bestFit"/>
              <c:showLegendKey val="0"/>
              <c:showVal val="0"/>
              <c:showCatName val="1"/>
              <c:showSerName val="0"/>
              <c:showPercent val="1"/>
              <c:showBubbleSize val="0"/>
            </c:dLbl>
            <c:dLbl>
              <c:idx val="3"/>
              <c:layout>
                <c:manualLayout>
                  <c:x val="-7.2408375296242222E-2"/>
                  <c:y val="4.0592425946756654E-2"/>
                </c:manualLayout>
              </c:layout>
              <c:dLblPos val="bestFit"/>
              <c:showLegendKey val="0"/>
              <c:showVal val="0"/>
              <c:showCatName val="1"/>
              <c:showSerName val="0"/>
              <c:showPercent val="1"/>
              <c:showBubbleSize val="0"/>
            </c:dLbl>
            <c:dLbl>
              <c:idx val="4"/>
              <c:layout>
                <c:manualLayout>
                  <c:x val="9.7301182239568403E-3"/>
                  <c:y val="-2.0168103987001626E-2"/>
                </c:manualLayout>
              </c:layout>
              <c:dLblPos val="bestFit"/>
              <c:showLegendKey val="0"/>
              <c:showVal val="0"/>
              <c:showCatName val="1"/>
              <c:showSerName val="0"/>
              <c:showPercent val="1"/>
              <c:showBubbleSize val="0"/>
            </c:dLbl>
            <c:numFmt formatCode="0.0%" sourceLinked="0"/>
            <c:spPr>
              <a:noFill/>
              <a:ln w="25350">
                <a:noFill/>
              </a:ln>
            </c:spPr>
            <c:txPr>
              <a:bodyPr/>
              <a:lstStyle/>
              <a:p>
                <a:pPr>
                  <a:defRPr sz="873" b="1" i="0" u="none" strike="noStrike" baseline="0">
                    <a:solidFill>
                      <a:srgbClr val="000000"/>
                    </a:solidFill>
                    <a:latin typeface="Times New Roman"/>
                    <a:ea typeface="Times New Roman"/>
                    <a:cs typeface="Times New Roman"/>
                  </a:defRPr>
                </a:pPr>
                <a:endParaRPr lang="bg-BG"/>
              </a:p>
            </c:txPr>
            <c:showLegendKey val="0"/>
            <c:showVal val="0"/>
            <c:showCatName val="1"/>
            <c:showSerName val="0"/>
            <c:showPercent val="1"/>
            <c:showBubbleSize val="0"/>
            <c:showLeaderLines val="1"/>
          </c:dLbls>
          <c:cat>
            <c:strRef>
              <c:f>Sheet1!$B$106:$B$110</c:f>
              <c:strCache>
                <c:ptCount val="5"/>
                <c:pt idx="0">
                  <c:v>д-к върху недвижими имоти</c:v>
                </c:pt>
                <c:pt idx="1">
                  <c:v>д-к върху наследствата</c:v>
                </c:pt>
                <c:pt idx="2">
                  <c:v>д-к върху превозните средства</c:v>
                </c:pt>
                <c:pt idx="3">
                  <c:v>д-к при придоб.на имущество по дарения и възм.начин</c:v>
                </c:pt>
                <c:pt idx="4">
                  <c:v>туристически данък </c:v>
                </c:pt>
              </c:strCache>
            </c:strRef>
          </c:cat>
          <c:val>
            <c:numRef>
              <c:f>Sheet1!$C$106:$C$110</c:f>
              <c:numCache>
                <c:formatCode>#,##0.0</c:formatCode>
                <c:ptCount val="5"/>
                <c:pt idx="0">
                  <c:v>278.429552</c:v>
                </c:pt>
                <c:pt idx="1">
                  <c:v>0.18668700000000002</c:v>
                </c:pt>
                <c:pt idx="2">
                  <c:v>227.70708300000001</c:v>
                </c:pt>
                <c:pt idx="3">
                  <c:v>223.666078</c:v>
                </c:pt>
                <c:pt idx="4">
                  <c:v>14.737906000000001</c:v>
                </c:pt>
              </c:numCache>
            </c:numRef>
          </c:val>
        </c:ser>
        <c:dLbls>
          <c:showLegendKey val="0"/>
          <c:showVal val="0"/>
          <c:showCatName val="0"/>
          <c:showSerName val="0"/>
          <c:showPercent val="0"/>
          <c:showBubbleSize val="0"/>
          <c:showLeaderLines val="1"/>
        </c:dLbls>
      </c:pie3DChart>
      <c:spPr>
        <a:noFill/>
        <a:ln w="25350">
          <a:noFill/>
        </a:ln>
      </c:spPr>
    </c:plotArea>
    <c:plotVisOnly val="1"/>
    <c:dispBlanksAs val="zero"/>
    <c:showDLblsOverMax val="0"/>
  </c:chart>
  <c:spPr>
    <a:solidFill>
      <a:srgbClr val="FFFFFF"/>
    </a:solidFill>
    <a:ln w="3169">
      <a:solidFill>
        <a:srgbClr val="000000"/>
      </a:solidFill>
      <a:prstDash val="solid"/>
    </a:ln>
  </c:spPr>
  <c:txPr>
    <a:bodyPr/>
    <a:lstStyle/>
    <a:p>
      <a:pPr>
        <a:defRPr sz="1173" b="0" i="0" u="none" strike="noStrike" baseline="0">
          <a:solidFill>
            <a:srgbClr val="000000"/>
          </a:solidFill>
          <a:latin typeface="Arial"/>
          <a:ea typeface="Arial"/>
          <a:cs typeface="Arial"/>
        </a:defRPr>
      </a:pPr>
      <a:endParaRPr lang="bg-BG"/>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719" b="1" i="0" u="none" strike="noStrike" baseline="0">
                <a:solidFill>
                  <a:srgbClr val="000000"/>
                </a:solidFill>
                <a:latin typeface="Times New Roman"/>
                <a:ea typeface="Times New Roman"/>
                <a:cs typeface="Times New Roman"/>
              </a:defRPr>
            </a:pPr>
            <a:r>
              <a:rPr lang="bg-BG"/>
              <a:t>Структура на неданъчните приходи на министерствата и ведомствата за 2015 г.</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'Работна приходи РБ'!$C$67:$H$67</c:f>
              <c:strCache>
                <c:ptCount val="1"/>
                <c:pt idx="0">
                  <c:v>Неданъчни приходи по бюджетите на министерствата и ведомствата</c:v>
                </c:pt>
              </c:strCache>
            </c:strRef>
          </c:tx>
          <c:explosion val="25"/>
          <c:dPt>
            <c:idx val="0"/>
            <c:bubble3D val="0"/>
          </c:dPt>
          <c:dPt>
            <c:idx val="1"/>
            <c:bubble3D val="0"/>
          </c:dPt>
          <c:dPt>
            <c:idx val="2"/>
            <c:bubble3D val="0"/>
          </c:dPt>
          <c:dPt>
            <c:idx val="3"/>
            <c:bubble3D val="0"/>
          </c:dPt>
          <c:dPt>
            <c:idx val="4"/>
            <c:bubble3D val="0"/>
          </c:dPt>
          <c:dPt>
            <c:idx val="5"/>
            <c:bubble3D val="0"/>
          </c:dPt>
          <c:dPt>
            <c:idx val="6"/>
            <c:bubble3D val="0"/>
          </c:dPt>
          <c:dLbls>
            <c:dLbl>
              <c:idx val="0"/>
              <c:layout>
                <c:manualLayout>
                  <c:x val="-5.7436570428696411E-4"/>
                  <c:y val="-3.041302128900554E-2"/>
                </c:manualLayout>
              </c:layout>
              <c:dLblPos val="bestFit"/>
              <c:showLegendKey val="0"/>
              <c:showVal val="1"/>
              <c:showCatName val="1"/>
              <c:showSerName val="0"/>
              <c:showPercent val="0"/>
              <c:showBubbleSize val="0"/>
            </c:dLbl>
            <c:dLbl>
              <c:idx val="1"/>
              <c:layout>
                <c:manualLayout>
                  <c:x val="1.444663167104112E-2"/>
                  <c:y val="-0.13060987168270632"/>
                </c:manualLayout>
              </c:layout>
              <c:dLblPos val="bestFit"/>
              <c:showLegendKey val="0"/>
              <c:showVal val="1"/>
              <c:showCatName val="1"/>
              <c:showSerName val="0"/>
              <c:showPercent val="0"/>
              <c:showBubbleSize val="0"/>
            </c:dLbl>
            <c:dLbl>
              <c:idx val="2"/>
              <c:layout>
                <c:manualLayout>
                  <c:x val="1.5084208223972004E-2"/>
                  <c:y val="3.6765820939049287E-2"/>
                </c:manualLayout>
              </c:layout>
              <c:dLblPos val="bestFit"/>
              <c:showLegendKey val="0"/>
              <c:showVal val="1"/>
              <c:showCatName val="1"/>
              <c:showSerName val="0"/>
              <c:showPercent val="0"/>
              <c:showBubbleSize val="0"/>
            </c:dLbl>
            <c:dLbl>
              <c:idx val="3"/>
              <c:layout>
                <c:manualLayout>
                  <c:x val="-3.2345800524934382E-2"/>
                  <c:y val="1.3055555555555556E-2"/>
                </c:manualLayout>
              </c:layout>
              <c:dLblPos val="bestFit"/>
              <c:showLegendKey val="0"/>
              <c:showVal val="1"/>
              <c:showCatName val="1"/>
              <c:showSerName val="0"/>
              <c:showPercent val="0"/>
              <c:showBubbleSize val="0"/>
            </c:dLbl>
            <c:dLbl>
              <c:idx val="4"/>
              <c:layout>
                <c:manualLayout>
                  <c:x val="-4.3577209098862639E-2"/>
                  <c:y val="1.8941382327209099E-3"/>
                </c:manualLayout>
              </c:layout>
              <c:dLblPos val="bestFit"/>
              <c:showLegendKey val="0"/>
              <c:showVal val="1"/>
              <c:showCatName val="1"/>
              <c:showSerName val="0"/>
              <c:showPercent val="0"/>
              <c:showBubbleSize val="0"/>
            </c:dLbl>
            <c:dLbl>
              <c:idx val="5"/>
              <c:layout>
                <c:manualLayout>
                  <c:x val="-1.4258530183727034E-2"/>
                  <c:y val="-4.1822688830562844E-2"/>
                </c:manualLayout>
              </c:layout>
              <c:dLblPos val="bestFit"/>
              <c:showLegendKey val="0"/>
              <c:showVal val="1"/>
              <c:showCatName val="1"/>
              <c:showSerName val="0"/>
              <c:showPercent val="0"/>
              <c:showBubbleSize val="0"/>
            </c:dLbl>
            <c:dLbl>
              <c:idx val="6"/>
              <c:layout>
                <c:manualLayout>
                  <c:x val="-5.758508311461067E-2"/>
                  <c:y val="-5.2325386410032079E-2"/>
                </c:manualLayout>
              </c:layout>
              <c:dLblPos val="bestFit"/>
              <c:showLegendKey val="0"/>
              <c:showVal val="1"/>
              <c:showCatName val="1"/>
              <c:showSerName val="0"/>
              <c:showPercent val="0"/>
              <c:showBubbleSize val="0"/>
            </c:dLbl>
            <c:txPr>
              <a:bodyPr/>
              <a:lstStyle/>
              <a:p>
                <a:pPr>
                  <a:defRPr sz="599" b="0" i="0" u="none" strike="noStrike" baseline="0">
                    <a:solidFill>
                      <a:srgbClr val="000000"/>
                    </a:solidFill>
                    <a:latin typeface="Calibri"/>
                    <a:ea typeface="Calibri"/>
                    <a:cs typeface="Calibri"/>
                  </a:defRPr>
                </a:pPr>
                <a:endParaRPr lang="bg-BG"/>
              </a:p>
            </c:txPr>
            <c:showLegendKey val="0"/>
            <c:showVal val="1"/>
            <c:showCatName val="1"/>
            <c:showSerName val="0"/>
            <c:showPercent val="0"/>
            <c:showBubbleSize val="0"/>
            <c:showLeaderLines val="1"/>
          </c:dLbls>
          <c:cat>
            <c:strRef>
              <c:f>'Работна приходи РБ'!$B$71:$B$77</c:f>
              <c:strCache>
                <c:ptCount val="7"/>
                <c:pt idx="0">
                  <c:v>МРРБ</c:v>
                </c:pt>
                <c:pt idx="1">
                  <c:v>МЕ</c:v>
                </c:pt>
                <c:pt idx="2">
                  <c:v>МВР</c:v>
                </c:pt>
                <c:pt idx="3">
                  <c:v>МЗХ</c:v>
                </c:pt>
                <c:pt idx="4">
                  <c:v>МФ</c:v>
                </c:pt>
                <c:pt idx="5">
                  <c:v>КРС</c:v>
                </c:pt>
                <c:pt idx="6">
                  <c:v>Други</c:v>
                </c:pt>
              </c:strCache>
            </c:strRef>
          </c:cat>
          <c:val>
            <c:numRef>
              <c:f>'Работна приходи РБ'!$C$71:$C$77</c:f>
              <c:numCache>
                <c:formatCode>0.0%</c:formatCode>
                <c:ptCount val="7"/>
                <c:pt idx="0">
                  <c:v>0.20698435794834485</c:v>
                </c:pt>
                <c:pt idx="1">
                  <c:v>0.13313932339032375</c:v>
                </c:pt>
                <c:pt idx="2">
                  <c:v>0.12426336849763552</c:v>
                </c:pt>
                <c:pt idx="3">
                  <c:v>0.11036740632957438</c:v>
                </c:pt>
                <c:pt idx="4">
                  <c:v>8.3594034194252459E-2</c:v>
                </c:pt>
                <c:pt idx="5">
                  <c:v>4.6707893779556205E-2</c:v>
                </c:pt>
                <c:pt idx="6">
                  <c:v>0.29494361586031287</c:v>
                </c:pt>
              </c:numCache>
            </c:numRef>
          </c:val>
        </c:ser>
        <c:dLbls>
          <c:showLegendKey val="0"/>
          <c:showVal val="0"/>
          <c:showCatName val="0"/>
          <c:showSerName val="0"/>
          <c:showPercent val="0"/>
          <c:showBubbleSize val="0"/>
          <c:showLeaderLines val="1"/>
        </c:dLbls>
      </c:pie3DChart>
      <c:spPr>
        <a:noFill/>
        <a:ln w="15216">
          <a:noFill/>
        </a:ln>
      </c:spPr>
    </c:plotArea>
    <c:plotVisOnly val="1"/>
    <c:dispBlanksAs val="gap"/>
    <c:showDLblsOverMax val="0"/>
  </c:chart>
  <c:txPr>
    <a:bodyPr/>
    <a:lstStyle/>
    <a:p>
      <a:pPr>
        <a:defRPr sz="599" b="0" i="0" u="none" strike="noStrike" baseline="0">
          <a:solidFill>
            <a:srgbClr val="000000"/>
          </a:solidFill>
          <a:latin typeface="Calibri"/>
          <a:ea typeface="Calibri"/>
          <a:cs typeface="Calibri"/>
        </a:defRPr>
      </a:pPr>
      <a:endParaRPr lang="bg-BG"/>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90"/>
      <c:rAngAx val="0"/>
      <c:perspective val="30"/>
    </c:view3D>
    <c:floor>
      <c:thickness val="0"/>
    </c:floor>
    <c:sideWall>
      <c:thickness val="0"/>
    </c:sideWall>
    <c:backWall>
      <c:thickness val="0"/>
    </c:backWall>
    <c:plotArea>
      <c:layout/>
      <c:pie3DChart>
        <c:varyColors val="1"/>
        <c:ser>
          <c:idx val="0"/>
          <c:order val="0"/>
          <c:explosion val="25"/>
          <c:dPt>
            <c:idx val="0"/>
            <c:bubble3D val="0"/>
          </c:dPt>
          <c:dPt>
            <c:idx val="1"/>
            <c:bubble3D val="0"/>
          </c:dPt>
          <c:dPt>
            <c:idx val="2"/>
            <c:bubble3D val="0"/>
          </c:dPt>
          <c:dPt>
            <c:idx val="3"/>
            <c:bubble3D val="0"/>
          </c:dPt>
          <c:dPt>
            <c:idx val="4"/>
            <c:bubble3D val="0"/>
          </c:dPt>
          <c:dLbls>
            <c:txPr>
              <a:bodyPr/>
              <a:lstStyle/>
              <a:p>
                <a:pPr>
                  <a:defRPr sz="1000" b="0" i="0" u="none" strike="noStrike" baseline="0">
                    <a:solidFill>
                      <a:srgbClr val="000000"/>
                    </a:solidFill>
                    <a:latin typeface="Calibri"/>
                    <a:ea typeface="Calibri"/>
                    <a:cs typeface="Calibri"/>
                  </a:defRPr>
                </a:pPr>
                <a:endParaRPr lang="bg-BG"/>
              </a:p>
            </c:txPr>
            <c:showLegendKey val="1"/>
            <c:showVal val="1"/>
            <c:showCatName val="0"/>
            <c:showSerName val="0"/>
            <c:showPercent val="0"/>
            <c:showBubbleSize val="0"/>
            <c:showLeaderLines val="1"/>
          </c:dLbls>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дялове'!$B$106:$B$110</c:f>
            </c:numRef>
          </c:val>
        </c:ser>
        <c:ser>
          <c:idx val="1"/>
          <c:order val="1"/>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дялове'!$C$106:$C$110</c:f>
            </c:numRef>
          </c:val>
        </c:ser>
        <c:ser>
          <c:idx val="2"/>
          <c:order val="2"/>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дялове'!$D$106:$D$110</c:f>
            </c:numRef>
          </c:val>
        </c:ser>
        <c:ser>
          <c:idx val="3"/>
          <c:order val="3"/>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дялове'!$E$106:$E$110</c:f>
            </c:numRef>
          </c:val>
        </c:ser>
        <c:ser>
          <c:idx val="4"/>
          <c:order val="4"/>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дялове'!$F$106:$F$110</c:f>
            </c:numRef>
          </c:val>
        </c:ser>
        <c:ser>
          <c:idx val="5"/>
          <c:order val="5"/>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дялове'!$G$106:$G$110</c:f>
            </c:numRef>
          </c:val>
        </c:ser>
        <c:ser>
          <c:idx val="6"/>
          <c:order val="6"/>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дялове'!$H$106:$H$110</c:f>
            </c:numRef>
          </c:val>
        </c:ser>
        <c:ser>
          <c:idx val="7"/>
          <c:order val="7"/>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дялове'!$I$106:$I$110</c:f>
            </c:numRef>
          </c:val>
        </c:ser>
        <c:ser>
          <c:idx val="8"/>
          <c:order val="8"/>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дялове'!$J$106:$J$110</c:f>
            </c:numRef>
          </c:val>
        </c:ser>
        <c:ser>
          <c:idx val="9"/>
          <c:order val="9"/>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дялове'!$K$106:$K$110</c:f>
            </c:numRef>
          </c:val>
        </c:ser>
        <c:ser>
          <c:idx val="10"/>
          <c:order val="10"/>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дялове'!$L$106:$L$110</c:f>
            </c:numRef>
          </c:val>
        </c:ser>
        <c:ser>
          <c:idx val="11"/>
          <c:order val="11"/>
          <c:explosion val="25"/>
          <c:dPt>
            <c:idx val="0"/>
            <c:bubble3D val="0"/>
          </c:dPt>
          <c:dPt>
            <c:idx val="1"/>
            <c:bubble3D val="0"/>
          </c:dPt>
          <c:dPt>
            <c:idx val="2"/>
            <c:bubble3D val="0"/>
          </c:dPt>
          <c:dPt>
            <c:idx val="3"/>
            <c:bubble3D val="0"/>
          </c:dPt>
          <c:dPt>
            <c:idx val="4"/>
            <c:bubble3D val="0"/>
          </c:dPt>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дялове'!$M$106:$M$110</c:f>
            </c:numRef>
          </c:val>
        </c:ser>
        <c:ser>
          <c:idx val="12"/>
          <c:order val="12"/>
          <c:explosion val="16"/>
          <c:dPt>
            <c:idx val="0"/>
            <c:bubble3D val="0"/>
          </c:dPt>
          <c:dPt>
            <c:idx val="1"/>
            <c:bubble3D val="0"/>
          </c:dPt>
          <c:dPt>
            <c:idx val="2"/>
            <c:bubble3D val="0"/>
          </c:dPt>
          <c:dPt>
            <c:idx val="3"/>
            <c:bubble3D val="0"/>
          </c:dPt>
          <c:dPt>
            <c:idx val="4"/>
            <c:bubble3D val="0"/>
          </c:dPt>
          <c:dLbls>
            <c:dLbl>
              <c:idx val="1"/>
              <c:layout>
                <c:manualLayout>
                  <c:x val="0.23720833333333333"/>
                  <c:y val="-5.3051910177894429E-2"/>
                </c:manualLayout>
              </c:layout>
              <c:dLblPos val="bestFit"/>
              <c:showLegendKey val="0"/>
              <c:showVal val="1"/>
              <c:showCatName val="1"/>
              <c:showSerName val="0"/>
              <c:showPercent val="0"/>
              <c:showBubbleSize val="0"/>
            </c:dLbl>
            <c:dLbl>
              <c:idx val="4"/>
              <c:layout>
                <c:manualLayout>
                  <c:x val="0.13713538932633421"/>
                  <c:y val="-3.348716827063284E-2"/>
                </c:manualLayout>
              </c:layout>
              <c:dLblPos val="bestFit"/>
              <c:showLegendKey val="0"/>
              <c:showVal val="1"/>
              <c:showCatName val="1"/>
              <c:showSerName val="0"/>
              <c:showPercent val="0"/>
              <c:showBubbleSize val="0"/>
            </c:dLbl>
            <c:txPr>
              <a:bodyPr/>
              <a:lstStyle/>
              <a:p>
                <a:pPr>
                  <a:defRPr sz="1000" b="0" i="0" u="none" strike="noStrike" baseline="0">
                    <a:solidFill>
                      <a:srgbClr val="000000"/>
                    </a:solidFill>
                    <a:latin typeface="Calibri"/>
                    <a:ea typeface="Calibri"/>
                    <a:cs typeface="Calibri"/>
                  </a:defRPr>
                </a:pPr>
                <a:endParaRPr lang="bg-BG"/>
              </a:p>
            </c:txPr>
            <c:showLegendKey val="0"/>
            <c:showVal val="1"/>
            <c:showCatName val="1"/>
            <c:showSerName val="0"/>
            <c:showPercent val="0"/>
            <c:showBubbleSize val="0"/>
            <c:showLeaderLines val="1"/>
          </c:dLbls>
          <c:cat>
            <c:strRef>
              <c:f>'отн. дялове'!$A$106:$A$110</c:f>
              <c:strCache>
                <c:ptCount val="5"/>
                <c:pt idx="0">
                  <c:v>основен ремонт</c:v>
                </c:pt>
                <c:pt idx="1">
                  <c:v>придобиване на ДМА</c:v>
                </c:pt>
                <c:pt idx="2">
                  <c:v>придобиване на НДМА</c:v>
                </c:pt>
                <c:pt idx="3">
                  <c:v>придобиване на земя</c:v>
                </c:pt>
                <c:pt idx="4">
                  <c:v>капиталови трансфери</c:v>
                </c:pt>
              </c:strCache>
            </c:strRef>
          </c:cat>
          <c:val>
            <c:numRef>
              <c:f>'отн. дялове'!$N$106:$N$110</c:f>
              <c:numCache>
                <c:formatCode>0.0%</c:formatCode>
                <c:ptCount val="5"/>
                <c:pt idx="0">
                  <c:v>0.23598001290019771</c:v>
                </c:pt>
                <c:pt idx="1">
                  <c:v>0.53979439358349768</c:v>
                </c:pt>
                <c:pt idx="2">
                  <c:v>1.6370836704066381E-2</c:v>
                </c:pt>
                <c:pt idx="3">
                  <c:v>5.3615160267261996E-3</c:v>
                </c:pt>
                <c:pt idx="4">
                  <c:v>0.20249324078551209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bg-BG"/>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875" b="1" i="0" u="none" strike="noStrike" baseline="0">
                <a:solidFill>
                  <a:srgbClr val="000000"/>
                </a:solidFill>
                <a:latin typeface="Arial"/>
                <a:ea typeface="Arial"/>
                <a:cs typeface="Arial"/>
              </a:defRPr>
            </a:pPr>
            <a:r>
              <a:rPr lang="bg-BG"/>
              <a:t>Структура на разходите по функции по консолидирания държавен бюджет за 2015 г.</a:t>
            </a:r>
          </a:p>
        </c:rich>
      </c:tx>
      <c:layout>
        <c:manualLayout>
          <c:xMode val="edge"/>
          <c:yMode val="edge"/>
          <c:x val="0.11169531042522443"/>
          <c:y val="2.5782723229066204E-2"/>
        </c:manualLayout>
      </c:layout>
      <c:overlay val="0"/>
      <c:spPr>
        <a:noFill/>
        <a:ln w="25400">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1550622439186523"/>
          <c:y val="0.34806692432616165"/>
          <c:w val="0.58344368067065955"/>
          <c:h val="0.32412581312912409"/>
        </c:manualLayout>
      </c:layout>
      <c:pie3DChart>
        <c:varyColors val="1"/>
        <c:ser>
          <c:idx val="0"/>
          <c:order val="0"/>
          <c:spPr>
            <a:solidFill>
              <a:srgbClr val="9999FF"/>
            </a:solidFill>
            <a:ln w="12700">
              <a:solidFill>
                <a:srgbClr val="000000"/>
              </a:solidFill>
              <a:prstDash val="solid"/>
            </a:ln>
          </c:spPr>
          <c:explosion val="21"/>
          <c:dPt>
            <c:idx val="0"/>
            <c:bubble3D val="0"/>
            <c:spPr>
              <a:solidFill>
                <a:srgbClr val="FFCC00"/>
              </a:solidFill>
              <a:ln w="12700">
                <a:solidFill>
                  <a:srgbClr val="000000"/>
                </a:solidFill>
                <a:prstDash val="solid"/>
              </a:ln>
            </c:spPr>
          </c:dPt>
          <c:dPt>
            <c:idx val="1"/>
            <c:bubble3D val="0"/>
            <c:spPr>
              <a:solidFill>
                <a:srgbClr val="993366"/>
              </a:solidFill>
              <a:ln w="12700">
                <a:solidFill>
                  <a:srgbClr val="000000"/>
                </a:solidFill>
                <a:prstDash val="solid"/>
              </a:ln>
            </c:spPr>
          </c:dPt>
          <c:dPt>
            <c:idx val="2"/>
            <c:bubble3D val="0"/>
            <c:spPr>
              <a:solidFill>
                <a:srgbClr val="FF99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FFFFCC"/>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dPt>
            <c:idx val="7"/>
            <c:bubble3D val="0"/>
            <c:spPr>
              <a:solidFill>
                <a:srgbClr val="CCCCFF"/>
              </a:solidFill>
              <a:ln w="12700">
                <a:solidFill>
                  <a:srgbClr val="000000"/>
                </a:solidFill>
                <a:prstDash val="solid"/>
              </a:ln>
            </c:spPr>
          </c:dPt>
          <c:dPt>
            <c:idx val="8"/>
            <c:bubble3D val="0"/>
            <c:spPr>
              <a:solidFill>
                <a:srgbClr val="008080"/>
              </a:solidFill>
              <a:ln w="12700">
                <a:solidFill>
                  <a:srgbClr val="000000"/>
                </a:solidFill>
                <a:prstDash val="solid"/>
              </a:ln>
            </c:spPr>
          </c:dPt>
          <c:dLbls>
            <c:dLbl>
              <c:idx val="0"/>
              <c:layout>
                <c:manualLayout>
                  <c:x val="3.0108708901752514E-2"/>
                  <c:y val="-0.1736687382356111"/>
                </c:manualLayout>
              </c:layout>
              <c:dLblPos val="bestFit"/>
              <c:showLegendKey val="0"/>
              <c:showVal val="0"/>
              <c:showCatName val="1"/>
              <c:showSerName val="0"/>
              <c:showPercent val="1"/>
              <c:showBubbleSize val="0"/>
            </c:dLbl>
            <c:dLbl>
              <c:idx val="1"/>
              <c:layout>
                <c:manualLayout>
                  <c:x val="5.4012592811527947E-2"/>
                  <c:y val="-0.12149412871047632"/>
                </c:manualLayout>
              </c:layout>
              <c:dLblPos val="bestFit"/>
              <c:showLegendKey val="0"/>
              <c:showVal val="0"/>
              <c:showCatName val="1"/>
              <c:showSerName val="0"/>
              <c:showPercent val="1"/>
              <c:showBubbleSize val="0"/>
            </c:dLbl>
            <c:dLbl>
              <c:idx val="2"/>
              <c:layout>
                <c:manualLayout>
                  <c:x val="3.7064775849946587E-2"/>
                  <c:y val="-5.9736258577790961E-2"/>
                </c:manualLayout>
              </c:layout>
              <c:dLblPos val="bestFit"/>
              <c:showLegendKey val="0"/>
              <c:showVal val="0"/>
              <c:showCatName val="1"/>
              <c:showSerName val="0"/>
              <c:showPercent val="1"/>
              <c:showBubbleSize val="0"/>
            </c:dLbl>
            <c:dLbl>
              <c:idx val="3"/>
              <c:layout>
                <c:manualLayout>
                  <c:x val="1.4487177471233568E-2"/>
                  <c:y val="5.3119313682719264E-2"/>
                </c:manualLayout>
              </c:layout>
              <c:dLblPos val="bestFit"/>
              <c:showLegendKey val="0"/>
              <c:showVal val="0"/>
              <c:showCatName val="1"/>
              <c:showSerName val="0"/>
              <c:showPercent val="1"/>
              <c:showBubbleSize val="0"/>
            </c:dLbl>
            <c:dLbl>
              <c:idx val="4"/>
              <c:layout>
                <c:manualLayout>
                  <c:x val="0.16543295394734914"/>
                  <c:y val="0.15305866022066392"/>
                </c:manualLayout>
              </c:layout>
              <c:dLblPos val="bestFit"/>
              <c:showLegendKey val="0"/>
              <c:showVal val="0"/>
              <c:showCatName val="1"/>
              <c:showSerName val="0"/>
              <c:showPercent val="1"/>
              <c:showBubbleSize val="0"/>
            </c:dLbl>
            <c:dLbl>
              <c:idx val="5"/>
              <c:layout>
                <c:manualLayout>
                  <c:x val="-1.4840048317348213E-2"/>
                  <c:y val="0.24034388084776323"/>
                </c:manualLayout>
              </c:layout>
              <c:dLblPos val="bestFit"/>
              <c:showLegendKey val="0"/>
              <c:showVal val="0"/>
              <c:showCatName val="1"/>
              <c:showSerName val="0"/>
              <c:showPercent val="1"/>
              <c:showBubbleSize val="0"/>
            </c:dLbl>
            <c:dLbl>
              <c:idx val="6"/>
              <c:layout>
                <c:manualLayout>
                  <c:x val="-5.9068726394982833E-2"/>
                  <c:y val="-2.8058523213836801E-2"/>
                </c:manualLayout>
              </c:layout>
              <c:dLblPos val="bestFit"/>
              <c:showLegendKey val="0"/>
              <c:showVal val="0"/>
              <c:showCatName val="1"/>
              <c:showSerName val="0"/>
              <c:showPercent val="1"/>
              <c:showBubbleSize val="0"/>
            </c:dLbl>
            <c:dLbl>
              <c:idx val="7"/>
              <c:layout>
                <c:manualLayout>
                  <c:x val="-7.0492670396876525E-2"/>
                  <c:y val="-0.16719156120534062"/>
                </c:manualLayout>
              </c:layout>
              <c:dLblPos val="bestFit"/>
              <c:showLegendKey val="0"/>
              <c:showVal val="0"/>
              <c:showCatName val="1"/>
              <c:showSerName val="0"/>
              <c:showPercent val="1"/>
              <c:showBubbleSize val="0"/>
            </c:dLbl>
            <c:dLbl>
              <c:idx val="8"/>
              <c:layout>
                <c:manualLayout>
                  <c:x val="5.1582071218503368E-2"/>
                  <c:y val="-0.10849729162334489"/>
                </c:manualLayout>
              </c:layout>
              <c:dLblPos val="bestFit"/>
              <c:showLegendKey val="0"/>
              <c:showVal val="0"/>
              <c:showCatName val="1"/>
              <c:showSerName val="0"/>
              <c:showPercent val="1"/>
              <c:showBubbleSize val="0"/>
            </c:dLbl>
            <c:numFmt formatCode="0.0%" sourceLinked="0"/>
            <c:spPr>
              <a:noFill/>
              <a:ln w="25400">
                <a:noFill/>
              </a:ln>
            </c:spPr>
            <c:txPr>
              <a:bodyPr/>
              <a:lstStyle/>
              <a:p>
                <a:pPr>
                  <a:defRPr sz="725" b="0" i="0" u="none" strike="noStrike" baseline="0">
                    <a:solidFill>
                      <a:srgbClr val="000000"/>
                    </a:solidFill>
                    <a:latin typeface="Arial"/>
                    <a:ea typeface="Arial"/>
                    <a:cs typeface="Arial"/>
                  </a:defRPr>
                </a:pPr>
                <a:endParaRPr lang="bg-BG"/>
              </a:p>
            </c:txPr>
            <c:showLegendKey val="0"/>
            <c:showVal val="0"/>
            <c:showCatName val="1"/>
            <c:showSerName val="0"/>
            <c:showPercent val="1"/>
            <c:showBubbleSize val="0"/>
            <c:showLeaderLines val="1"/>
          </c:dLbls>
          <c:cat>
            <c:strRef>
              <c:f>Обобщен!$A$798:$A$806</c:f>
              <c:strCache>
                <c:ptCount val="9"/>
                <c:pt idx="0">
                  <c:v>I. ОБЩИ ДЪРЖАВНИ СЛУЖБИ</c:v>
                </c:pt>
                <c:pt idx="1">
                  <c:v>II. ОТБРАНА И СИГУРНОСТ</c:v>
                </c:pt>
                <c:pt idx="2">
                  <c:v>III. ОБРАЗОВАНИЕ</c:v>
                </c:pt>
                <c:pt idx="3">
                  <c:v>IV. ЗДРАВЕОПАЗВАНЕ</c:v>
                </c:pt>
                <c:pt idx="4">
                  <c:v>V. СОЦИАЛНО ОСИГУРЯВАНЕ, ПОДПОМАГАНЕ И ГРИЖИ </c:v>
                </c:pt>
                <c:pt idx="5">
                  <c:v>VІ. ЖИЛИЩНО СТРОИТЕЛСТВО, БЛАГОУСТРОЙСТВО, КОМУНАЛНО СТОПАНСТВО И ОПАЗВАНЕ НА ОКОЛНАТА СРЕДА</c:v>
                </c:pt>
                <c:pt idx="6">
                  <c:v>VII. ПОЧИВНО ДЕЛО, КУЛТУРА, РЕЛИГИОЗНИ ДЕЙНОСТИ</c:v>
                </c:pt>
                <c:pt idx="7">
                  <c:v>VIII. ИКОНОМИЧЕСКИ ДЕЙНОСТИ   И УСЛУГИ</c:v>
                </c:pt>
                <c:pt idx="8">
                  <c:v>IХ. РАЗХОДИ НЕКЛАСИФИЦИРАНИ В ДРУГИТЕ ФУНКЦИИ</c:v>
                </c:pt>
              </c:strCache>
            </c:strRef>
          </c:cat>
          <c:val>
            <c:numRef>
              <c:f>Обобщен!$F$798:$F$806</c:f>
              <c:numCache>
                <c:formatCode>#,##0.0</c:formatCode>
                <c:ptCount val="9"/>
                <c:pt idx="0">
                  <c:v>1793.4748259999999</c:v>
                </c:pt>
                <c:pt idx="1">
                  <c:v>3306.9385729999995</c:v>
                </c:pt>
                <c:pt idx="2">
                  <c:v>3117.9301369999998</c:v>
                </c:pt>
                <c:pt idx="3">
                  <c:v>3971.5163390000002</c:v>
                </c:pt>
                <c:pt idx="4">
                  <c:v>11654.222705999999</c:v>
                </c:pt>
                <c:pt idx="5">
                  <c:v>3102.5972930000007</c:v>
                </c:pt>
                <c:pt idx="6">
                  <c:v>875.42851300000007</c:v>
                </c:pt>
                <c:pt idx="7">
                  <c:v>5217.8362820000002</c:v>
                </c:pt>
                <c:pt idx="8">
                  <c:v>698.31673800000021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3175">
      <a:solidFill>
        <a:srgbClr val="000000"/>
      </a:solidFill>
      <a:prstDash val="solid"/>
    </a:ln>
  </c:spPr>
  <c:txPr>
    <a:bodyPr/>
    <a:lstStyle/>
    <a:p>
      <a:pPr>
        <a:defRPr sz="875" b="0" i="0" u="none" strike="noStrike" baseline="0">
          <a:solidFill>
            <a:srgbClr val="000000"/>
          </a:solidFill>
          <a:latin typeface="Arial"/>
          <a:ea typeface="Arial"/>
          <a:cs typeface="Arial"/>
        </a:defRPr>
      </a:pPr>
      <a:endParaRPr lang="bg-BG"/>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3086173796500892E-2"/>
          <c:y val="4.5658688655199106E-2"/>
          <c:w val="0.83805368444920114"/>
          <c:h val="0.60725264337765938"/>
        </c:manualLayout>
      </c:layout>
      <c:lineChart>
        <c:grouping val="standard"/>
        <c:varyColors val="0"/>
        <c:ser>
          <c:idx val="0"/>
          <c:order val="0"/>
          <c:tx>
            <c:strRef>
              <c:f>data!$B$233</c:f>
              <c:strCache>
                <c:ptCount val="1"/>
                <c:pt idx="0">
                  <c:v>Валутни резерви/Парична база (%)</c:v>
                </c:pt>
              </c:strCache>
            </c:strRef>
          </c:tx>
          <c:spPr>
            <a:ln>
              <a:solidFill>
                <a:srgbClr val="31B6FD"/>
              </a:solidFill>
            </a:ln>
          </c:spPr>
          <c:marker>
            <c:symbol val="none"/>
          </c:marker>
          <c:cat>
            <c:multiLvlStrRef>
              <c:f>data!$Q$229:$AN$230</c:f>
              <c:multiLvlStrCache>
                <c:ptCount val="24"/>
                <c:lvl>
                  <c:pt idx="1">
                    <c:v>  </c:v>
                  </c:pt>
                  <c:pt idx="2">
                    <c:v>3</c:v>
                  </c:pt>
                  <c:pt idx="3">
                    <c:v> </c:v>
                  </c:pt>
                  <c:pt idx="4">
                    <c:v> </c:v>
                  </c:pt>
                  <c:pt idx="5">
                    <c:v>6</c:v>
                  </c:pt>
                  <c:pt idx="6">
                    <c:v> </c:v>
                  </c:pt>
                  <c:pt idx="7">
                    <c:v> </c:v>
                  </c:pt>
                  <c:pt idx="8">
                    <c:v>9</c:v>
                  </c:pt>
                  <c:pt idx="9">
                    <c:v> </c:v>
                  </c:pt>
                  <c:pt idx="10">
                    <c:v> </c:v>
                  </c:pt>
                  <c:pt idx="11">
                    <c:v>12</c:v>
                  </c:pt>
                  <c:pt idx="14">
                    <c:v>3</c:v>
                  </c:pt>
                  <c:pt idx="15">
                    <c:v> </c:v>
                  </c:pt>
                  <c:pt idx="16">
                    <c:v> </c:v>
                  </c:pt>
                  <c:pt idx="17">
                    <c:v>6</c:v>
                  </c:pt>
                  <c:pt idx="18">
                    <c:v> </c:v>
                  </c:pt>
                  <c:pt idx="19">
                    <c:v> </c:v>
                  </c:pt>
                  <c:pt idx="20">
                    <c:v>9</c:v>
                  </c:pt>
                  <c:pt idx="21">
                    <c:v> </c:v>
                  </c:pt>
                  <c:pt idx="22">
                    <c:v> </c:v>
                  </c:pt>
                  <c:pt idx="23">
                    <c:v>12</c:v>
                  </c:pt>
                </c:lvl>
                <c:lvl>
                  <c:pt idx="0">
                    <c:v>2014</c:v>
                  </c:pt>
                  <c:pt idx="12">
                    <c:v>2015</c:v>
                  </c:pt>
                </c:lvl>
              </c:multiLvlStrCache>
            </c:multiLvlStrRef>
          </c:cat>
          <c:val>
            <c:numRef>
              <c:f>data!$Q$233:$AN$233</c:f>
              <c:numCache>
                <c:formatCode>General</c:formatCode>
                <c:ptCount val="24"/>
                <c:pt idx="0">
                  <c:v>162.67210335903926</c:v>
                </c:pt>
                <c:pt idx="1">
                  <c:v>162.80375165701656</c:v>
                </c:pt>
                <c:pt idx="2">
                  <c:v>170.36479736273861</c:v>
                </c:pt>
                <c:pt idx="3">
                  <c:v>168.18997688199642</c:v>
                </c:pt>
                <c:pt idx="4">
                  <c:v>169.31936008389715</c:v>
                </c:pt>
                <c:pt idx="5">
                  <c:v>164.51117372160323</c:v>
                </c:pt>
                <c:pt idx="6">
                  <c:v>183.33930616247318</c:v>
                </c:pt>
                <c:pt idx="7">
                  <c:v>181.4369120740709</c:v>
                </c:pt>
                <c:pt idx="8">
                  <c:v>180.35748967210847</c:v>
                </c:pt>
                <c:pt idx="9">
                  <c:v>175.48147314210985</c:v>
                </c:pt>
                <c:pt idx="10">
                  <c:v>186.8225898731196</c:v>
                </c:pt>
                <c:pt idx="11">
                  <c:v>165.10487421833199</c:v>
                </c:pt>
                <c:pt idx="12">
                  <c:v>156.72851037713156</c:v>
                </c:pt>
                <c:pt idx="13">
                  <c:v>147.81045947429453</c:v>
                </c:pt>
                <c:pt idx="14">
                  <c:v>171.33317805647951</c:v>
                </c:pt>
                <c:pt idx="15">
                  <c:v>172.05009298444716</c:v>
                </c:pt>
                <c:pt idx="16">
                  <c:v>176.05995012764427</c:v>
                </c:pt>
                <c:pt idx="17">
                  <c:v>174.60855244093273</c:v>
                </c:pt>
                <c:pt idx="18">
                  <c:v>170.83863600741154</c:v>
                </c:pt>
                <c:pt idx="19">
                  <c:v>169.64035254447376</c:v>
                </c:pt>
                <c:pt idx="20">
                  <c:v>163.74663432569872</c:v>
                </c:pt>
                <c:pt idx="21">
                  <c:v>162.33412183753717</c:v>
                </c:pt>
                <c:pt idx="22">
                  <c:v>160.59039491458489</c:v>
                </c:pt>
                <c:pt idx="23">
                  <c:v>144.26372176705613</c:v>
                </c:pt>
              </c:numCache>
            </c:numRef>
          </c:val>
          <c:smooth val="0"/>
        </c:ser>
        <c:ser>
          <c:idx val="1"/>
          <c:order val="1"/>
          <c:tx>
            <c:strRef>
              <c:f>data!$B$234</c:f>
              <c:strCache>
                <c:ptCount val="1"/>
                <c:pt idx="0">
                  <c:v>Валутни резерви/Краткосрочен външен дълг (%)</c:v>
                </c:pt>
              </c:strCache>
            </c:strRef>
          </c:tx>
          <c:spPr>
            <a:ln>
              <a:solidFill>
                <a:srgbClr val="A5D028"/>
              </a:solidFill>
              <a:prstDash val="sysDash"/>
            </a:ln>
          </c:spPr>
          <c:marker>
            <c:symbol val="none"/>
          </c:marker>
          <c:cat>
            <c:multiLvlStrRef>
              <c:f>data!$Q$229:$AN$230</c:f>
              <c:multiLvlStrCache>
                <c:ptCount val="24"/>
                <c:lvl>
                  <c:pt idx="1">
                    <c:v>  </c:v>
                  </c:pt>
                  <c:pt idx="2">
                    <c:v>3</c:v>
                  </c:pt>
                  <c:pt idx="3">
                    <c:v> </c:v>
                  </c:pt>
                  <c:pt idx="4">
                    <c:v> </c:v>
                  </c:pt>
                  <c:pt idx="5">
                    <c:v>6</c:v>
                  </c:pt>
                  <c:pt idx="6">
                    <c:v> </c:v>
                  </c:pt>
                  <c:pt idx="7">
                    <c:v> </c:v>
                  </c:pt>
                  <c:pt idx="8">
                    <c:v>9</c:v>
                  </c:pt>
                  <c:pt idx="9">
                    <c:v> </c:v>
                  </c:pt>
                  <c:pt idx="10">
                    <c:v> </c:v>
                  </c:pt>
                  <c:pt idx="11">
                    <c:v>12</c:v>
                  </c:pt>
                  <c:pt idx="14">
                    <c:v>3</c:v>
                  </c:pt>
                  <c:pt idx="15">
                    <c:v> </c:v>
                  </c:pt>
                  <c:pt idx="16">
                    <c:v> </c:v>
                  </c:pt>
                  <c:pt idx="17">
                    <c:v>6</c:v>
                  </c:pt>
                  <c:pt idx="18">
                    <c:v> </c:v>
                  </c:pt>
                  <c:pt idx="19">
                    <c:v> </c:v>
                  </c:pt>
                  <c:pt idx="20">
                    <c:v>9</c:v>
                  </c:pt>
                  <c:pt idx="21">
                    <c:v> </c:v>
                  </c:pt>
                  <c:pt idx="22">
                    <c:v> </c:v>
                  </c:pt>
                  <c:pt idx="23">
                    <c:v>12</c:v>
                  </c:pt>
                </c:lvl>
                <c:lvl>
                  <c:pt idx="0">
                    <c:v>2014</c:v>
                  </c:pt>
                  <c:pt idx="12">
                    <c:v>2015</c:v>
                  </c:pt>
                </c:lvl>
              </c:multiLvlStrCache>
            </c:multiLvlStrRef>
          </c:cat>
          <c:val>
            <c:numRef>
              <c:f>data!$Q$234:$AN$234</c:f>
              <c:numCache>
                <c:formatCode>General</c:formatCode>
                <c:ptCount val="24"/>
                <c:pt idx="0">
                  <c:v>146.33483125796502</c:v>
                </c:pt>
                <c:pt idx="1">
                  <c:v>144.19546553455459</c:v>
                </c:pt>
                <c:pt idx="2">
                  <c:v>149.77895815187134</c:v>
                </c:pt>
                <c:pt idx="3">
                  <c:v>152.16345658550446</c:v>
                </c:pt>
                <c:pt idx="4">
                  <c:v>150.08583345445825</c:v>
                </c:pt>
                <c:pt idx="5">
                  <c:v>153.91838815259013</c:v>
                </c:pt>
                <c:pt idx="6">
                  <c:v>166.11059494013631</c:v>
                </c:pt>
                <c:pt idx="7">
                  <c:v>168.79281821064615</c:v>
                </c:pt>
                <c:pt idx="8">
                  <c:v>169.22625393920089</c:v>
                </c:pt>
                <c:pt idx="9">
                  <c:v>169.2320451608519</c:v>
                </c:pt>
                <c:pt idx="10">
                  <c:v>180.44582124827994</c:v>
                </c:pt>
                <c:pt idx="11">
                  <c:v>165.85531702238671</c:v>
                </c:pt>
                <c:pt idx="12">
                  <c:v>159.14141263895357</c:v>
                </c:pt>
                <c:pt idx="13">
                  <c:v>174.19192883901721</c:v>
                </c:pt>
                <c:pt idx="14">
                  <c:v>219.17269812099812</c:v>
                </c:pt>
                <c:pt idx="15">
                  <c:v>225.34124046938291</c:v>
                </c:pt>
                <c:pt idx="16">
                  <c:v>249.15822643048142</c:v>
                </c:pt>
                <c:pt idx="17">
                  <c:v>244.03023216502046</c:v>
                </c:pt>
                <c:pt idx="18">
                  <c:v>246.68442469758025</c:v>
                </c:pt>
                <c:pt idx="19">
                  <c:v>254.07748870274855</c:v>
                </c:pt>
                <c:pt idx="20">
                  <c:v>254.51345758432228</c:v>
                </c:pt>
                <c:pt idx="21">
                  <c:v>260.68544154272809</c:v>
                </c:pt>
                <c:pt idx="22">
                  <c:v>258.46406766730337</c:v>
                </c:pt>
                <c:pt idx="23">
                  <c:v>256.63389403935946</c:v>
                </c:pt>
              </c:numCache>
            </c:numRef>
          </c:val>
          <c:smooth val="0"/>
        </c:ser>
        <c:dLbls>
          <c:showLegendKey val="0"/>
          <c:showVal val="0"/>
          <c:showCatName val="0"/>
          <c:showSerName val="0"/>
          <c:showPercent val="0"/>
          <c:showBubbleSize val="0"/>
        </c:dLbls>
        <c:marker val="1"/>
        <c:smooth val="0"/>
        <c:axId val="117494144"/>
        <c:axId val="117496448"/>
      </c:lineChart>
      <c:lineChart>
        <c:grouping val="standard"/>
        <c:varyColors val="0"/>
        <c:ser>
          <c:idx val="2"/>
          <c:order val="2"/>
          <c:tx>
            <c:strRef>
              <c:f>data!$B$235</c:f>
              <c:strCache>
                <c:ptCount val="1"/>
                <c:pt idx="0">
                  <c:v>Валутни резерви, месеци внос (дясна скала)</c:v>
                </c:pt>
              </c:strCache>
            </c:strRef>
          </c:tx>
          <c:spPr>
            <a:ln>
              <a:solidFill>
                <a:srgbClr val="002060"/>
              </a:solidFill>
            </a:ln>
          </c:spPr>
          <c:marker>
            <c:symbol val="none"/>
          </c:marker>
          <c:cat>
            <c:multiLvlStrRef>
              <c:f>data!$Q$229:$AN$230</c:f>
              <c:multiLvlStrCache>
                <c:ptCount val="24"/>
                <c:lvl>
                  <c:pt idx="1">
                    <c:v>  </c:v>
                  </c:pt>
                  <c:pt idx="2">
                    <c:v>3</c:v>
                  </c:pt>
                  <c:pt idx="3">
                    <c:v> </c:v>
                  </c:pt>
                  <c:pt idx="4">
                    <c:v> </c:v>
                  </c:pt>
                  <c:pt idx="5">
                    <c:v>6</c:v>
                  </c:pt>
                  <c:pt idx="6">
                    <c:v> </c:v>
                  </c:pt>
                  <c:pt idx="7">
                    <c:v> </c:v>
                  </c:pt>
                  <c:pt idx="8">
                    <c:v>9</c:v>
                  </c:pt>
                  <c:pt idx="9">
                    <c:v> </c:v>
                  </c:pt>
                  <c:pt idx="10">
                    <c:v> </c:v>
                  </c:pt>
                  <c:pt idx="11">
                    <c:v>12</c:v>
                  </c:pt>
                  <c:pt idx="14">
                    <c:v>3</c:v>
                  </c:pt>
                  <c:pt idx="15">
                    <c:v> </c:v>
                  </c:pt>
                  <c:pt idx="16">
                    <c:v> </c:v>
                  </c:pt>
                  <c:pt idx="17">
                    <c:v>6</c:v>
                  </c:pt>
                  <c:pt idx="18">
                    <c:v> </c:v>
                  </c:pt>
                  <c:pt idx="19">
                    <c:v> </c:v>
                  </c:pt>
                  <c:pt idx="20">
                    <c:v>9</c:v>
                  </c:pt>
                  <c:pt idx="21">
                    <c:v> </c:v>
                  </c:pt>
                  <c:pt idx="22">
                    <c:v> </c:v>
                  </c:pt>
                  <c:pt idx="23">
                    <c:v>12</c:v>
                  </c:pt>
                </c:lvl>
                <c:lvl>
                  <c:pt idx="0">
                    <c:v>2014</c:v>
                  </c:pt>
                  <c:pt idx="12">
                    <c:v>2015</c:v>
                  </c:pt>
                </c:lvl>
              </c:multiLvlStrCache>
            </c:multiLvlStrRef>
          </c:cat>
          <c:val>
            <c:numRef>
              <c:f>data!$Q$235:$AN$235</c:f>
              <c:numCache>
                <c:formatCode>General</c:formatCode>
                <c:ptCount val="24"/>
                <c:pt idx="0">
                  <c:v>5.8798621199706371</c:v>
                </c:pt>
                <c:pt idx="1">
                  <c:v>5.7967302023645368</c:v>
                </c:pt>
                <c:pt idx="2">
                  <c:v>5.9586943169691189</c:v>
                </c:pt>
                <c:pt idx="3">
                  <c:v>6.0182024699815759</c:v>
                </c:pt>
                <c:pt idx="4">
                  <c:v>5.930007048783021</c:v>
                </c:pt>
                <c:pt idx="5">
                  <c:v>6.1714442503561564</c:v>
                </c:pt>
                <c:pt idx="6">
                  <c:v>6.5617698505863684</c:v>
                </c:pt>
                <c:pt idx="7">
                  <c:v>6.6003179990873555</c:v>
                </c:pt>
                <c:pt idx="8">
                  <c:v>6.7011639460579993</c:v>
                </c:pt>
                <c:pt idx="9">
                  <c:v>6.702375668510431</c:v>
                </c:pt>
                <c:pt idx="10">
                  <c:v>6.9435292465443794</c:v>
                </c:pt>
                <c:pt idx="11">
                  <c:v>7.0937198215720976</c:v>
                </c:pt>
                <c:pt idx="12">
                  <c:v>6.7353344584384542</c:v>
                </c:pt>
                <c:pt idx="13">
                  <c:v>7.346906638646808</c:v>
                </c:pt>
                <c:pt idx="14">
                  <c:v>8.0267399984282299</c:v>
                </c:pt>
                <c:pt idx="15">
                  <c:v>8.1957270037413181</c:v>
                </c:pt>
                <c:pt idx="16">
                  <c:v>8.1344792864138142</c:v>
                </c:pt>
                <c:pt idx="17">
                  <c:v>8.0269941687809805</c:v>
                </c:pt>
                <c:pt idx="18">
                  <c:v>8.1335752872970524</c:v>
                </c:pt>
                <c:pt idx="19">
                  <c:v>8.3391021886579448</c:v>
                </c:pt>
                <c:pt idx="20">
                  <c:v>8.4865143848204294</c:v>
                </c:pt>
                <c:pt idx="21">
                  <c:v>8.5781739493038476</c:v>
                </c:pt>
                <c:pt idx="22">
                  <c:v>8.7217297414643244</c:v>
                </c:pt>
                <c:pt idx="23">
                  <c:v>8.5882502564987053</c:v>
                </c:pt>
              </c:numCache>
            </c:numRef>
          </c:val>
          <c:smooth val="0"/>
        </c:ser>
        <c:dLbls>
          <c:showLegendKey val="0"/>
          <c:showVal val="0"/>
          <c:showCatName val="0"/>
          <c:showSerName val="0"/>
          <c:showPercent val="0"/>
          <c:showBubbleSize val="0"/>
        </c:dLbls>
        <c:marker val="1"/>
        <c:smooth val="0"/>
        <c:axId val="117693056"/>
        <c:axId val="117691520"/>
      </c:lineChart>
      <c:catAx>
        <c:axId val="117494144"/>
        <c:scaling>
          <c:orientation val="minMax"/>
        </c:scaling>
        <c:delete val="0"/>
        <c:axPos val="b"/>
        <c:numFmt formatCode="General" sourceLinked="1"/>
        <c:majorTickMark val="out"/>
        <c:minorTickMark val="none"/>
        <c:tickLblPos val="nextTo"/>
        <c:txPr>
          <a:bodyPr rot="0" vert="horz"/>
          <a:lstStyle/>
          <a:p>
            <a:pPr>
              <a:defRPr/>
            </a:pPr>
            <a:endParaRPr lang="bg-BG"/>
          </a:p>
        </c:txPr>
        <c:crossAx val="117496448"/>
        <c:crosses val="autoZero"/>
        <c:auto val="1"/>
        <c:lblAlgn val="ctr"/>
        <c:lblOffset val="30"/>
        <c:noMultiLvlLbl val="0"/>
      </c:catAx>
      <c:valAx>
        <c:axId val="117496448"/>
        <c:scaling>
          <c:orientation val="minMax"/>
          <c:max val="280"/>
          <c:min val="120"/>
        </c:scaling>
        <c:delete val="0"/>
        <c:axPos val="l"/>
        <c:majorGridlines/>
        <c:numFmt formatCode="0" sourceLinked="0"/>
        <c:majorTickMark val="out"/>
        <c:minorTickMark val="none"/>
        <c:tickLblPos val="nextTo"/>
        <c:txPr>
          <a:bodyPr rot="0" vert="horz"/>
          <a:lstStyle/>
          <a:p>
            <a:pPr>
              <a:defRPr/>
            </a:pPr>
            <a:endParaRPr lang="bg-BG"/>
          </a:p>
        </c:txPr>
        <c:crossAx val="117494144"/>
        <c:crosses val="autoZero"/>
        <c:crossBetween val="between"/>
        <c:majorUnit val="20"/>
      </c:valAx>
      <c:valAx>
        <c:axId val="117691520"/>
        <c:scaling>
          <c:orientation val="minMax"/>
          <c:max val="9"/>
          <c:min val="5"/>
        </c:scaling>
        <c:delete val="0"/>
        <c:axPos val="r"/>
        <c:numFmt formatCode="General" sourceLinked="1"/>
        <c:majorTickMark val="out"/>
        <c:minorTickMark val="none"/>
        <c:tickLblPos val="nextTo"/>
        <c:crossAx val="117693056"/>
        <c:crosses val="max"/>
        <c:crossBetween val="between"/>
        <c:majorUnit val="1"/>
      </c:valAx>
      <c:catAx>
        <c:axId val="117693056"/>
        <c:scaling>
          <c:orientation val="minMax"/>
        </c:scaling>
        <c:delete val="1"/>
        <c:axPos val="b"/>
        <c:majorTickMark val="out"/>
        <c:minorTickMark val="none"/>
        <c:tickLblPos val="nextTo"/>
        <c:crossAx val="117691520"/>
        <c:crosses val="autoZero"/>
        <c:auto val="1"/>
        <c:lblAlgn val="ctr"/>
        <c:lblOffset val="100"/>
        <c:noMultiLvlLbl val="0"/>
      </c:catAx>
    </c:plotArea>
    <c:legend>
      <c:legendPos val="r"/>
      <c:layout>
        <c:manualLayout>
          <c:xMode val="edge"/>
          <c:yMode val="edge"/>
          <c:x val="7.4242613237701718E-2"/>
          <c:y val="0.81766306173684111"/>
          <c:w val="0.86374349039703369"/>
          <c:h val="0.18233693826315886"/>
        </c:manualLayout>
      </c:layout>
      <c:overlay val="0"/>
    </c:legend>
    <c:plotVisOnly val="1"/>
    <c:dispBlanksAs val="gap"/>
    <c:showDLblsOverMax val="0"/>
  </c:chart>
  <c:spPr>
    <a:ln>
      <a:solidFill>
        <a:srgbClr val="31B6FD"/>
      </a:solidFill>
    </a:ln>
  </c:spPr>
  <c:txPr>
    <a:bodyPr/>
    <a:lstStyle/>
    <a:p>
      <a:pPr>
        <a:defRPr sz="900"/>
      </a:pPr>
      <a:endParaRPr lang="bg-BG"/>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0878609980515719E-2"/>
          <c:y val="4.9054228390942659E-2"/>
          <c:w val="0.90636895025802933"/>
          <c:h val="0.62956973497990021"/>
        </c:manualLayout>
      </c:layout>
      <c:lineChart>
        <c:grouping val="standard"/>
        <c:varyColors val="0"/>
        <c:ser>
          <c:idx val="0"/>
          <c:order val="0"/>
          <c:tx>
            <c:strRef>
              <c:f>data!$B$261</c:f>
              <c:strCache>
                <c:ptCount val="1"/>
                <c:pt idx="0">
                  <c:v>Кредити за нефинансови предприятия*</c:v>
                </c:pt>
              </c:strCache>
            </c:strRef>
          </c:tx>
          <c:spPr>
            <a:ln>
              <a:solidFill>
                <a:srgbClr val="31B6FD"/>
              </a:solidFill>
            </a:ln>
          </c:spPr>
          <c:marker>
            <c:symbol val="none"/>
          </c:marker>
          <c:cat>
            <c:multiLvlStrRef>
              <c:f>data!$Q$257:$AN$258</c:f>
              <c:multiLvlStrCache>
                <c:ptCount val="24"/>
                <c:lvl>
                  <c:pt idx="1">
                    <c:v>  </c:v>
                  </c:pt>
                  <c:pt idx="2">
                    <c:v>3</c:v>
                  </c:pt>
                  <c:pt idx="3">
                    <c:v> </c:v>
                  </c:pt>
                  <c:pt idx="4">
                    <c:v> </c:v>
                  </c:pt>
                  <c:pt idx="5">
                    <c:v>6</c:v>
                  </c:pt>
                  <c:pt idx="6">
                    <c:v> </c:v>
                  </c:pt>
                  <c:pt idx="7">
                    <c:v> </c:v>
                  </c:pt>
                  <c:pt idx="8">
                    <c:v>9</c:v>
                  </c:pt>
                  <c:pt idx="9">
                    <c:v> </c:v>
                  </c:pt>
                  <c:pt idx="10">
                    <c:v> </c:v>
                  </c:pt>
                  <c:pt idx="11">
                    <c:v>12</c:v>
                  </c:pt>
                  <c:pt idx="13">
                    <c:v>   </c:v>
                  </c:pt>
                  <c:pt idx="14">
                    <c:v>3</c:v>
                  </c:pt>
                  <c:pt idx="15">
                    <c:v> </c:v>
                  </c:pt>
                  <c:pt idx="16">
                    <c:v> </c:v>
                  </c:pt>
                  <c:pt idx="17">
                    <c:v>6</c:v>
                  </c:pt>
                  <c:pt idx="18">
                    <c:v> </c:v>
                  </c:pt>
                  <c:pt idx="19">
                    <c:v> </c:v>
                  </c:pt>
                  <c:pt idx="20">
                    <c:v>9</c:v>
                  </c:pt>
                  <c:pt idx="21">
                    <c:v> </c:v>
                  </c:pt>
                  <c:pt idx="22">
                    <c:v> </c:v>
                  </c:pt>
                  <c:pt idx="23">
                    <c:v>12</c:v>
                  </c:pt>
                </c:lvl>
                <c:lvl>
                  <c:pt idx="0">
                    <c:v>2014</c:v>
                  </c:pt>
                  <c:pt idx="12">
                    <c:v>2015</c:v>
                  </c:pt>
                </c:lvl>
              </c:multiLvlStrCache>
            </c:multiLvlStrRef>
          </c:cat>
          <c:val>
            <c:numRef>
              <c:f>data!$Q$261:$AN$261</c:f>
              <c:numCache>
                <c:formatCode>General</c:formatCode>
                <c:ptCount val="24"/>
                <c:pt idx="0">
                  <c:v>-0.60576794365346132</c:v>
                </c:pt>
                <c:pt idx="1">
                  <c:v>1.0051059752934179</c:v>
                </c:pt>
                <c:pt idx="2">
                  <c:v>1.6961077079202767</c:v>
                </c:pt>
                <c:pt idx="3">
                  <c:v>2.2908124510034185</c:v>
                </c:pt>
                <c:pt idx="4">
                  <c:v>2.6360586907595405</c:v>
                </c:pt>
                <c:pt idx="5">
                  <c:v>3.0698740068916521</c:v>
                </c:pt>
                <c:pt idx="6">
                  <c:v>2.6689305750604149</c:v>
                </c:pt>
                <c:pt idx="7">
                  <c:v>2.9059462678039836</c:v>
                </c:pt>
                <c:pt idx="8">
                  <c:v>2.970907847151949</c:v>
                </c:pt>
                <c:pt idx="9">
                  <c:v>2.9533126059845216</c:v>
                </c:pt>
                <c:pt idx="10">
                  <c:v>-11.5031144203598</c:v>
                </c:pt>
                <c:pt idx="11">
                  <c:v>-11.622855308852708</c:v>
                </c:pt>
                <c:pt idx="12">
                  <c:v>-11.913111603566293</c:v>
                </c:pt>
                <c:pt idx="13">
                  <c:v>-13.064063717965396</c:v>
                </c:pt>
                <c:pt idx="14">
                  <c:v>-13.067943192348466</c:v>
                </c:pt>
                <c:pt idx="15">
                  <c:v>-14.072705245100593</c:v>
                </c:pt>
                <c:pt idx="16">
                  <c:v>-15.312435299954302</c:v>
                </c:pt>
                <c:pt idx="17">
                  <c:v>-14.506140801283991</c:v>
                </c:pt>
                <c:pt idx="18">
                  <c:v>-14.582093339054367</c:v>
                </c:pt>
                <c:pt idx="19">
                  <c:v>-14.474582418158988</c:v>
                </c:pt>
                <c:pt idx="20">
                  <c:v>-14.560071995918449</c:v>
                </c:pt>
                <c:pt idx="21">
                  <c:v>-14.742550749136967</c:v>
                </c:pt>
                <c:pt idx="22">
                  <c:v>0.31054697475379101</c:v>
                </c:pt>
                <c:pt idx="23">
                  <c:v>-1.7327445289575678</c:v>
                </c:pt>
              </c:numCache>
            </c:numRef>
          </c:val>
          <c:smooth val="0"/>
        </c:ser>
        <c:ser>
          <c:idx val="1"/>
          <c:order val="1"/>
          <c:tx>
            <c:strRef>
              <c:f>data!$B$262</c:f>
              <c:strCache>
                <c:ptCount val="1"/>
                <c:pt idx="0">
                  <c:v>Потребителски кредити</c:v>
                </c:pt>
              </c:strCache>
            </c:strRef>
          </c:tx>
          <c:spPr>
            <a:ln>
              <a:solidFill>
                <a:srgbClr val="A5D028"/>
              </a:solidFill>
              <a:prstDash val="sysDash"/>
            </a:ln>
          </c:spPr>
          <c:marker>
            <c:symbol val="none"/>
          </c:marker>
          <c:cat>
            <c:multiLvlStrRef>
              <c:f>data!$Q$257:$AN$258</c:f>
              <c:multiLvlStrCache>
                <c:ptCount val="24"/>
                <c:lvl>
                  <c:pt idx="1">
                    <c:v>  </c:v>
                  </c:pt>
                  <c:pt idx="2">
                    <c:v>3</c:v>
                  </c:pt>
                  <c:pt idx="3">
                    <c:v> </c:v>
                  </c:pt>
                  <c:pt idx="4">
                    <c:v> </c:v>
                  </c:pt>
                  <c:pt idx="5">
                    <c:v>6</c:v>
                  </c:pt>
                  <c:pt idx="6">
                    <c:v> </c:v>
                  </c:pt>
                  <c:pt idx="7">
                    <c:v> </c:v>
                  </c:pt>
                  <c:pt idx="8">
                    <c:v>9</c:v>
                  </c:pt>
                  <c:pt idx="9">
                    <c:v> </c:v>
                  </c:pt>
                  <c:pt idx="10">
                    <c:v> </c:v>
                  </c:pt>
                  <c:pt idx="11">
                    <c:v>12</c:v>
                  </c:pt>
                  <c:pt idx="13">
                    <c:v>   </c:v>
                  </c:pt>
                  <c:pt idx="14">
                    <c:v>3</c:v>
                  </c:pt>
                  <c:pt idx="15">
                    <c:v> </c:v>
                  </c:pt>
                  <c:pt idx="16">
                    <c:v> </c:v>
                  </c:pt>
                  <c:pt idx="17">
                    <c:v>6</c:v>
                  </c:pt>
                  <c:pt idx="18">
                    <c:v> </c:v>
                  </c:pt>
                  <c:pt idx="19">
                    <c:v> </c:v>
                  </c:pt>
                  <c:pt idx="20">
                    <c:v>9</c:v>
                  </c:pt>
                  <c:pt idx="21">
                    <c:v> </c:v>
                  </c:pt>
                  <c:pt idx="22">
                    <c:v> </c:v>
                  </c:pt>
                  <c:pt idx="23">
                    <c:v>12</c:v>
                  </c:pt>
                </c:lvl>
                <c:lvl>
                  <c:pt idx="0">
                    <c:v>2014</c:v>
                  </c:pt>
                  <c:pt idx="12">
                    <c:v>2015</c:v>
                  </c:pt>
                </c:lvl>
              </c:multiLvlStrCache>
            </c:multiLvlStrRef>
          </c:cat>
          <c:val>
            <c:numRef>
              <c:f>data!$Q$262:$AN$262</c:f>
              <c:numCache>
                <c:formatCode>General</c:formatCode>
                <c:ptCount val="24"/>
                <c:pt idx="0">
                  <c:v>2.2371326931324376</c:v>
                </c:pt>
                <c:pt idx="1">
                  <c:v>2.1372693645234051</c:v>
                </c:pt>
                <c:pt idx="2">
                  <c:v>0.88127122612023356</c:v>
                </c:pt>
                <c:pt idx="3">
                  <c:v>0.83106384415967227</c:v>
                </c:pt>
                <c:pt idx="4">
                  <c:v>0.89429500937801265</c:v>
                </c:pt>
                <c:pt idx="5">
                  <c:v>0.86466527986210906</c:v>
                </c:pt>
                <c:pt idx="6">
                  <c:v>0.63401423153202074</c:v>
                </c:pt>
                <c:pt idx="7">
                  <c:v>0.89584916634886724</c:v>
                </c:pt>
                <c:pt idx="8">
                  <c:v>0.83347231619077533</c:v>
                </c:pt>
                <c:pt idx="9">
                  <c:v>0.74650492484744291</c:v>
                </c:pt>
                <c:pt idx="10">
                  <c:v>0.68867167591248901</c:v>
                </c:pt>
                <c:pt idx="11">
                  <c:v>-2.0335537581716912</c:v>
                </c:pt>
                <c:pt idx="12">
                  <c:v>-1.1304417065004486</c:v>
                </c:pt>
                <c:pt idx="13">
                  <c:v>-0.96060332701321727</c:v>
                </c:pt>
                <c:pt idx="14">
                  <c:v>0.6139602905020638</c:v>
                </c:pt>
                <c:pt idx="15">
                  <c:v>0.35985195209428866</c:v>
                </c:pt>
                <c:pt idx="16">
                  <c:v>0.1429951659208939</c:v>
                </c:pt>
                <c:pt idx="17">
                  <c:v>-0.10587298560459146</c:v>
                </c:pt>
                <c:pt idx="18">
                  <c:v>4.6679210515094383E-2</c:v>
                </c:pt>
                <c:pt idx="19">
                  <c:v>9.0170884158709441E-2</c:v>
                </c:pt>
                <c:pt idx="20">
                  <c:v>0.1507363124333807</c:v>
                </c:pt>
                <c:pt idx="21">
                  <c:v>0.50482054879424254</c:v>
                </c:pt>
                <c:pt idx="22">
                  <c:v>0.41846697218407769</c:v>
                </c:pt>
                <c:pt idx="23">
                  <c:v>-0.11163901297041434</c:v>
                </c:pt>
              </c:numCache>
            </c:numRef>
          </c:val>
          <c:smooth val="0"/>
        </c:ser>
        <c:ser>
          <c:idx val="2"/>
          <c:order val="2"/>
          <c:tx>
            <c:strRef>
              <c:f>data!$B$263</c:f>
              <c:strCache>
                <c:ptCount val="1"/>
                <c:pt idx="0">
                  <c:v>Жилищни кредити</c:v>
                </c:pt>
              </c:strCache>
            </c:strRef>
          </c:tx>
          <c:spPr>
            <a:ln>
              <a:solidFill>
                <a:srgbClr val="073E87"/>
              </a:solidFill>
            </a:ln>
          </c:spPr>
          <c:marker>
            <c:symbol val="none"/>
          </c:marker>
          <c:cat>
            <c:multiLvlStrRef>
              <c:f>data!$Q$257:$AN$258</c:f>
              <c:multiLvlStrCache>
                <c:ptCount val="24"/>
                <c:lvl>
                  <c:pt idx="1">
                    <c:v>  </c:v>
                  </c:pt>
                  <c:pt idx="2">
                    <c:v>3</c:v>
                  </c:pt>
                  <c:pt idx="3">
                    <c:v> </c:v>
                  </c:pt>
                  <c:pt idx="4">
                    <c:v> </c:v>
                  </c:pt>
                  <c:pt idx="5">
                    <c:v>6</c:v>
                  </c:pt>
                  <c:pt idx="6">
                    <c:v> </c:v>
                  </c:pt>
                  <c:pt idx="7">
                    <c:v> </c:v>
                  </c:pt>
                  <c:pt idx="8">
                    <c:v>9</c:v>
                  </c:pt>
                  <c:pt idx="9">
                    <c:v> </c:v>
                  </c:pt>
                  <c:pt idx="10">
                    <c:v> </c:v>
                  </c:pt>
                  <c:pt idx="11">
                    <c:v>12</c:v>
                  </c:pt>
                  <c:pt idx="13">
                    <c:v>   </c:v>
                  </c:pt>
                  <c:pt idx="14">
                    <c:v>3</c:v>
                  </c:pt>
                  <c:pt idx="15">
                    <c:v> </c:v>
                  </c:pt>
                  <c:pt idx="16">
                    <c:v> </c:v>
                  </c:pt>
                  <c:pt idx="17">
                    <c:v>6</c:v>
                  </c:pt>
                  <c:pt idx="18">
                    <c:v> </c:v>
                  </c:pt>
                  <c:pt idx="19">
                    <c:v> </c:v>
                  </c:pt>
                  <c:pt idx="20">
                    <c:v>9</c:v>
                  </c:pt>
                  <c:pt idx="21">
                    <c:v> </c:v>
                  </c:pt>
                  <c:pt idx="22">
                    <c:v> </c:v>
                  </c:pt>
                  <c:pt idx="23">
                    <c:v>12</c:v>
                  </c:pt>
                </c:lvl>
                <c:lvl>
                  <c:pt idx="0">
                    <c:v>2014</c:v>
                  </c:pt>
                  <c:pt idx="12">
                    <c:v>2015</c:v>
                  </c:pt>
                </c:lvl>
              </c:multiLvlStrCache>
            </c:multiLvlStrRef>
          </c:cat>
          <c:val>
            <c:numRef>
              <c:f>data!$Q$263:$AN$263</c:f>
              <c:numCache>
                <c:formatCode>General</c:formatCode>
                <c:ptCount val="24"/>
                <c:pt idx="0">
                  <c:v>-0.83341991857430742</c:v>
                </c:pt>
                <c:pt idx="1">
                  <c:v>-0.88212254082711183</c:v>
                </c:pt>
                <c:pt idx="2">
                  <c:v>-3.651868975175887E-2</c:v>
                </c:pt>
                <c:pt idx="3">
                  <c:v>0.29394309400652219</c:v>
                </c:pt>
                <c:pt idx="4">
                  <c:v>0.34771988506297191</c:v>
                </c:pt>
                <c:pt idx="5">
                  <c:v>0.36996896003998359</c:v>
                </c:pt>
                <c:pt idx="6">
                  <c:v>0.46964746791302048</c:v>
                </c:pt>
                <c:pt idx="7">
                  <c:v>0.2077005882998435</c:v>
                </c:pt>
                <c:pt idx="8">
                  <c:v>0.23931617333439181</c:v>
                </c:pt>
                <c:pt idx="9">
                  <c:v>0.19436322763704084</c:v>
                </c:pt>
                <c:pt idx="10">
                  <c:v>0.14844628499364201</c:v>
                </c:pt>
                <c:pt idx="11">
                  <c:v>-0.92009324934279046</c:v>
                </c:pt>
                <c:pt idx="12">
                  <c:v>-1.2706494121980683</c:v>
                </c:pt>
                <c:pt idx="13">
                  <c:v>-1.365569438766002</c:v>
                </c:pt>
                <c:pt idx="14">
                  <c:v>-2.1279513531274858</c:v>
                </c:pt>
                <c:pt idx="15">
                  <c:v>-2.3148858283991558</c:v>
                </c:pt>
                <c:pt idx="16">
                  <c:v>-2.3747315251554113</c:v>
                </c:pt>
                <c:pt idx="17">
                  <c:v>-2.2037810884842628</c:v>
                </c:pt>
                <c:pt idx="18">
                  <c:v>-2.1672850440673415</c:v>
                </c:pt>
                <c:pt idx="19">
                  <c:v>-1.7789909446886867</c:v>
                </c:pt>
                <c:pt idx="20">
                  <c:v>-1.604834061591859</c:v>
                </c:pt>
                <c:pt idx="21">
                  <c:v>-1.5086213499645851</c:v>
                </c:pt>
                <c:pt idx="22">
                  <c:v>-1.4281004900051641</c:v>
                </c:pt>
                <c:pt idx="23">
                  <c:v>-1.1644172787463702</c:v>
                </c:pt>
              </c:numCache>
            </c:numRef>
          </c:val>
          <c:smooth val="0"/>
        </c:ser>
        <c:dLbls>
          <c:showLegendKey val="0"/>
          <c:showVal val="0"/>
          <c:showCatName val="0"/>
          <c:showSerName val="0"/>
          <c:showPercent val="0"/>
          <c:showBubbleSize val="0"/>
        </c:dLbls>
        <c:marker val="1"/>
        <c:smooth val="0"/>
        <c:axId val="127649280"/>
        <c:axId val="129175552"/>
      </c:lineChart>
      <c:catAx>
        <c:axId val="127649280"/>
        <c:scaling>
          <c:orientation val="minMax"/>
        </c:scaling>
        <c:delete val="0"/>
        <c:axPos val="b"/>
        <c:numFmt formatCode="General" sourceLinked="1"/>
        <c:majorTickMark val="out"/>
        <c:minorTickMark val="none"/>
        <c:tickLblPos val="nextTo"/>
        <c:txPr>
          <a:bodyPr rot="0" vert="horz"/>
          <a:lstStyle/>
          <a:p>
            <a:pPr>
              <a:defRPr/>
            </a:pPr>
            <a:endParaRPr lang="bg-BG"/>
          </a:p>
        </c:txPr>
        <c:crossAx val="129175552"/>
        <c:crossesAt val="-16"/>
        <c:auto val="1"/>
        <c:lblAlgn val="ctr"/>
        <c:lblOffset val="100"/>
        <c:noMultiLvlLbl val="0"/>
      </c:catAx>
      <c:valAx>
        <c:axId val="129175552"/>
        <c:scaling>
          <c:orientation val="minMax"/>
          <c:max val="4"/>
          <c:min val="-16"/>
        </c:scaling>
        <c:delete val="0"/>
        <c:axPos val="l"/>
        <c:majorGridlines/>
        <c:numFmt formatCode="0" sourceLinked="0"/>
        <c:majorTickMark val="out"/>
        <c:minorTickMark val="none"/>
        <c:tickLblPos val="nextTo"/>
        <c:txPr>
          <a:bodyPr rot="0" vert="horz"/>
          <a:lstStyle/>
          <a:p>
            <a:pPr>
              <a:defRPr/>
            </a:pPr>
            <a:endParaRPr lang="bg-BG"/>
          </a:p>
        </c:txPr>
        <c:crossAx val="127649280"/>
        <c:crosses val="autoZero"/>
        <c:crossBetween val="between"/>
        <c:majorUnit val="4"/>
      </c:valAx>
    </c:plotArea>
    <c:legend>
      <c:legendPos val="r"/>
      <c:layout>
        <c:manualLayout>
          <c:xMode val="edge"/>
          <c:yMode val="edge"/>
          <c:x val="4.9756340843867951E-2"/>
          <c:y val="0.83598788721557726"/>
          <c:w val="0.90847862012417535"/>
          <c:h val="0.16401211278442279"/>
        </c:manualLayout>
      </c:layout>
      <c:overlay val="0"/>
    </c:legend>
    <c:plotVisOnly val="1"/>
    <c:dispBlanksAs val="gap"/>
    <c:showDLblsOverMax val="0"/>
  </c:chart>
  <c:spPr>
    <a:ln>
      <a:solidFill>
        <a:srgbClr val="31B6FD"/>
      </a:solidFill>
    </a:ln>
  </c:spPr>
  <c:txPr>
    <a:bodyPr/>
    <a:lstStyle/>
    <a:p>
      <a:pPr>
        <a:defRPr sz="900"/>
      </a:pPr>
      <a:endParaRPr lang="bg-BG"/>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126836766887514E-2"/>
          <c:y val="4.7942018611309943E-2"/>
          <c:w val="0.88736250679662487"/>
          <c:h val="0.60253700053873727"/>
        </c:manualLayout>
      </c:layout>
      <c:lineChart>
        <c:grouping val="standard"/>
        <c:varyColors val="0"/>
        <c:ser>
          <c:idx val="0"/>
          <c:order val="0"/>
          <c:tx>
            <c:strRef>
              <c:f>'Лихвени проценти 1'!$C$1</c:f>
              <c:strCache>
                <c:ptCount val="1"/>
                <c:pt idx="0">
                  <c:v>Депозити на фирми</c:v>
                </c:pt>
              </c:strCache>
            </c:strRef>
          </c:tx>
          <c:spPr>
            <a:ln>
              <a:solidFill>
                <a:srgbClr val="31B6FD"/>
              </a:solidFill>
              <a:prstDash val="sysDash"/>
            </a:ln>
          </c:spPr>
          <c:marker>
            <c:symbol val="none"/>
          </c:marker>
          <c:cat>
            <c:multiLvlStrRef>
              <c:f>'Лихвени проценти 1'!$A$86:$B$109</c:f>
              <c:multiLvlStrCache>
                <c:ptCount val="24"/>
                <c:lvl>
                  <c:pt idx="2">
                    <c:v>3</c:v>
                  </c:pt>
                  <c:pt idx="5">
                    <c:v>6</c:v>
                  </c:pt>
                  <c:pt idx="8">
                    <c:v>9</c:v>
                  </c:pt>
                  <c:pt idx="11">
                    <c:v>12</c:v>
                  </c:pt>
                  <c:pt idx="14">
                    <c:v>3</c:v>
                  </c:pt>
                  <c:pt idx="17">
                    <c:v>6</c:v>
                  </c:pt>
                  <c:pt idx="20">
                    <c:v>9</c:v>
                  </c:pt>
                  <c:pt idx="23">
                    <c:v>12</c:v>
                  </c:pt>
                </c:lvl>
                <c:lvl>
                  <c:pt idx="0">
                    <c:v>2014</c:v>
                  </c:pt>
                  <c:pt idx="12">
                    <c:v>2015</c:v>
                  </c:pt>
                </c:lvl>
              </c:multiLvlStrCache>
            </c:multiLvlStrRef>
          </c:cat>
          <c:val>
            <c:numRef>
              <c:f>'Лихвени проценти 1'!$C$86:$C$109</c:f>
              <c:numCache>
                <c:formatCode>General</c:formatCode>
                <c:ptCount val="24"/>
                <c:pt idx="0">
                  <c:v>2.2042999680649431</c:v>
                </c:pt>
                <c:pt idx="1">
                  <c:v>2.3323944794426845</c:v>
                </c:pt>
                <c:pt idx="2">
                  <c:v>2.2030182146477513</c:v>
                </c:pt>
                <c:pt idx="3">
                  <c:v>2.0492289141891402</c:v>
                </c:pt>
                <c:pt idx="4">
                  <c:v>2.061378166349086</c:v>
                </c:pt>
                <c:pt idx="5">
                  <c:v>1.96379734795653</c:v>
                </c:pt>
                <c:pt idx="6">
                  <c:v>1.6193895508188092</c:v>
                </c:pt>
                <c:pt idx="7">
                  <c:v>1.4583474175214002</c:v>
                </c:pt>
                <c:pt idx="8">
                  <c:v>1.8142554395530348</c:v>
                </c:pt>
                <c:pt idx="9">
                  <c:v>1.4610086920693928</c:v>
                </c:pt>
                <c:pt idx="10">
                  <c:v>1.3849727863274179</c:v>
                </c:pt>
                <c:pt idx="11">
                  <c:v>1.3452748647278305</c:v>
                </c:pt>
                <c:pt idx="12">
                  <c:v>1.0960338858340861</c:v>
                </c:pt>
                <c:pt idx="13">
                  <c:v>1.0807620860540048</c:v>
                </c:pt>
                <c:pt idx="14">
                  <c:v>0.90892051982918787</c:v>
                </c:pt>
                <c:pt idx="15">
                  <c:v>1.0104668432351542</c:v>
                </c:pt>
                <c:pt idx="16">
                  <c:v>0.88485505558155986</c:v>
                </c:pt>
                <c:pt idx="17">
                  <c:v>0.81673428838998208</c:v>
                </c:pt>
                <c:pt idx="18">
                  <c:v>0.69657710416072405</c:v>
                </c:pt>
                <c:pt idx="19">
                  <c:v>0.75829234697517101</c:v>
                </c:pt>
                <c:pt idx="20">
                  <c:v>0.74087668673197771</c:v>
                </c:pt>
                <c:pt idx="21">
                  <c:v>0.69554368200205419</c:v>
                </c:pt>
                <c:pt idx="22">
                  <c:v>0.76363630835585772</c:v>
                </c:pt>
                <c:pt idx="23">
                  <c:v>0.71898725303580857</c:v>
                </c:pt>
              </c:numCache>
            </c:numRef>
          </c:val>
          <c:smooth val="0"/>
        </c:ser>
        <c:ser>
          <c:idx val="4"/>
          <c:order val="1"/>
          <c:tx>
            <c:strRef>
              <c:f>'Лихвени проценти 1'!$D$1</c:f>
              <c:strCache>
                <c:ptCount val="1"/>
                <c:pt idx="0">
                  <c:v>Депозити на домакинства</c:v>
                </c:pt>
              </c:strCache>
            </c:strRef>
          </c:tx>
          <c:spPr>
            <a:ln>
              <a:solidFill>
                <a:srgbClr val="F5C040"/>
              </a:solidFill>
            </a:ln>
          </c:spPr>
          <c:marker>
            <c:symbol val="none"/>
          </c:marker>
          <c:cat>
            <c:multiLvlStrRef>
              <c:f>'Лихвени проценти 1'!$A$86:$B$109</c:f>
              <c:multiLvlStrCache>
                <c:ptCount val="24"/>
                <c:lvl>
                  <c:pt idx="2">
                    <c:v>3</c:v>
                  </c:pt>
                  <c:pt idx="5">
                    <c:v>6</c:v>
                  </c:pt>
                  <c:pt idx="8">
                    <c:v>9</c:v>
                  </c:pt>
                  <c:pt idx="11">
                    <c:v>12</c:v>
                  </c:pt>
                  <c:pt idx="14">
                    <c:v>3</c:v>
                  </c:pt>
                  <c:pt idx="17">
                    <c:v>6</c:v>
                  </c:pt>
                  <c:pt idx="20">
                    <c:v>9</c:v>
                  </c:pt>
                  <c:pt idx="23">
                    <c:v>12</c:v>
                  </c:pt>
                </c:lvl>
                <c:lvl>
                  <c:pt idx="0">
                    <c:v>2014</c:v>
                  </c:pt>
                  <c:pt idx="12">
                    <c:v>2015</c:v>
                  </c:pt>
                </c:lvl>
              </c:multiLvlStrCache>
            </c:multiLvlStrRef>
          </c:cat>
          <c:val>
            <c:numRef>
              <c:f>'Лихвени проценти 1'!$D$86:$D$109</c:f>
              <c:numCache>
                <c:formatCode>General</c:formatCode>
                <c:ptCount val="24"/>
                <c:pt idx="0">
                  <c:v>3.6611388745929436</c:v>
                </c:pt>
                <c:pt idx="1">
                  <c:v>3.5068826724464679</c:v>
                </c:pt>
                <c:pt idx="2">
                  <c:v>3.3881564270516704</c:v>
                </c:pt>
                <c:pt idx="3">
                  <c:v>3.3723362031448172</c:v>
                </c:pt>
                <c:pt idx="4">
                  <c:v>3.4865480498088455</c:v>
                </c:pt>
                <c:pt idx="5">
                  <c:v>3.0959384811910837</c:v>
                </c:pt>
                <c:pt idx="6">
                  <c:v>2.8837649550133304</c:v>
                </c:pt>
                <c:pt idx="7">
                  <c:v>2.5922453981194336</c:v>
                </c:pt>
                <c:pt idx="8">
                  <c:v>2.6290933504950065</c:v>
                </c:pt>
                <c:pt idx="9">
                  <c:v>2.550034588168876</c:v>
                </c:pt>
                <c:pt idx="10">
                  <c:v>2.3616530176366819</c:v>
                </c:pt>
                <c:pt idx="11">
                  <c:v>2.4097439502283393</c:v>
                </c:pt>
                <c:pt idx="12">
                  <c:v>2.0995486816733222</c:v>
                </c:pt>
                <c:pt idx="13">
                  <c:v>1.903958914722806</c:v>
                </c:pt>
                <c:pt idx="14">
                  <c:v>1.6978094899342446</c:v>
                </c:pt>
                <c:pt idx="15">
                  <c:v>1.6135553946688603</c:v>
                </c:pt>
                <c:pt idx="16">
                  <c:v>1.4435706157097712</c:v>
                </c:pt>
                <c:pt idx="17">
                  <c:v>1.4246864271821562</c:v>
                </c:pt>
                <c:pt idx="18">
                  <c:v>1.391274017846664</c:v>
                </c:pt>
                <c:pt idx="19">
                  <c:v>1.3375379345278682</c:v>
                </c:pt>
                <c:pt idx="20">
                  <c:v>1.3767047044242742</c:v>
                </c:pt>
                <c:pt idx="21">
                  <c:v>1.3067900490261153</c:v>
                </c:pt>
                <c:pt idx="22">
                  <c:v>1.3054346177400058</c:v>
                </c:pt>
                <c:pt idx="23">
                  <c:v>1.3331345993815082</c:v>
                </c:pt>
              </c:numCache>
            </c:numRef>
          </c:val>
          <c:smooth val="0"/>
        </c:ser>
        <c:ser>
          <c:idx val="1"/>
          <c:order val="2"/>
          <c:tx>
            <c:strRef>
              <c:f>'Лихвени проценти 1'!$E$1</c:f>
              <c:strCache>
                <c:ptCount val="1"/>
                <c:pt idx="0">
                  <c:v>Потребителски кредити</c:v>
                </c:pt>
              </c:strCache>
            </c:strRef>
          </c:tx>
          <c:spPr>
            <a:ln>
              <a:solidFill>
                <a:srgbClr val="FF0000"/>
              </a:solidFill>
            </a:ln>
          </c:spPr>
          <c:marker>
            <c:symbol val="triangle"/>
            <c:size val="4"/>
            <c:spPr>
              <a:pattFill prst="pct5">
                <a:fgClr>
                  <a:sysClr val="windowText" lastClr="000000"/>
                </a:fgClr>
                <a:bgClr>
                  <a:sysClr val="window" lastClr="FFFFFF"/>
                </a:bgClr>
              </a:pattFill>
              <a:ln cap="rnd">
                <a:prstDash val="sysDot"/>
                <a:headEnd type="diamond"/>
                <a:tailEnd type="diamond"/>
              </a:ln>
            </c:spPr>
          </c:marker>
          <c:cat>
            <c:multiLvlStrRef>
              <c:f>'Лихвени проценти 1'!$A$86:$B$109</c:f>
              <c:multiLvlStrCache>
                <c:ptCount val="24"/>
                <c:lvl>
                  <c:pt idx="2">
                    <c:v>3</c:v>
                  </c:pt>
                  <c:pt idx="5">
                    <c:v>6</c:v>
                  </c:pt>
                  <c:pt idx="8">
                    <c:v>9</c:v>
                  </c:pt>
                  <c:pt idx="11">
                    <c:v>12</c:v>
                  </c:pt>
                  <c:pt idx="14">
                    <c:v>3</c:v>
                  </c:pt>
                  <c:pt idx="17">
                    <c:v>6</c:v>
                  </c:pt>
                  <c:pt idx="20">
                    <c:v>9</c:v>
                  </c:pt>
                  <c:pt idx="23">
                    <c:v>12</c:v>
                  </c:pt>
                </c:lvl>
                <c:lvl>
                  <c:pt idx="0">
                    <c:v>2014</c:v>
                  </c:pt>
                  <c:pt idx="12">
                    <c:v>2015</c:v>
                  </c:pt>
                </c:lvl>
              </c:multiLvlStrCache>
            </c:multiLvlStrRef>
          </c:cat>
          <c:val>
            <c:numRef>
              <c:f>'Лихвени проценти 1'!$E$86:$E$109</c:f>
              <c:numCache>
                <c:formatCode>General</c:formatCode>
                <c:ptCount val="24"/>
                <c:pt idx="0">
                  <c:v>11.746005081689198</c:v>
                </c:pt>
                <c:pt idx="1">
                  <c:v>11.673118508082784</c:v>
                </c:pt>
                <c:pt idx="2">
                  <c:v>11.362661926465698</c:v>
                </c:pt>
                <c:pt idx="3">
                  <c:v>11.177240315982083</c:v>
                </c:pt>
                <c:pt idx="4">
                  <c:v>10.892981939126939</c:v>
                </c:pt>
                <c:pt idx="5">
                  <c:v>11.025701375649637</c:v>
                </c:pt>
                <c:pt idx="6">
                  <c:v>11.062402451712593</c:v>
                </c:pt>
                <c:pt idx="7">
                  <c:v>11.145154991199963</c:v>
                </c:pt>
                <c:pt idx="8">
                  <c:v>11.208863130700857</c:v>
                </c:pt>
                <c:pt idx="9">
                  <c:v>10.982204923963405</c:v>
                </c:pt>
                <c:pt idx="10">
                  <c:v>11.281647378557118</c:v>
                </c:pt>
                <c:pt idx="11">
                  <c:v>12.056491886224721</c:v>
                </c:pt>
                <c:pt idx="12">
                  <c:v>11.255501336196746</c:v>
                </c:pt>
                <c:pt idx="13">
                  <c:v>10.667019818499067</c:v>
                </c:pt>
                <c:pt idx="14">
                  <c:v>10.32660127272395</c:v>
                </c:pt>
                <c:pt idx="15">
                  <c:v>10.418555827835849</c:v>
                </c:pt>
                <c:pt idx="16">
                  <c:v>10.35725634636813</c:v>
                </c:pt>
                <c:pt idx="17">
                  <c:v>10.255683145840598</c:v>
                </c:pt>
                <c:pt idx="18">
                  <c:v>10.43289172043297</c:v>
                </c:pt>
                <c:pt idx="19">
                  <c:v>10.675335384126351</c:v>
                </c:pt>
                <c:pt idx="20">
                  <c:v>10.520784809519974</c:v>
                </c:pt>
                <c:pt idx="21">
                  <c:v>10.338588308975426</c:v>
                </c:pt>
                <c:pt idx="22">
                  <c:v>10.588298724552583</c:v>
                </c:pt>
                <c:pt idx="23">
                  <c:v>11.074386559976228</c:v>
                </c:pt>
              </c:numCache>
            </c:numRef>
          </c:val>
          <c:smooth val="0"/>
        </c:ser>
        <c:ser>
          <c:idx val="3"/>
          <c:order val="3"/>
          <c:tx>
            <c:strRef>
              <c:f>'Лихвени проценти 1'!$F$1</c:f>
              <c:strCache>
                <c:ptCount val="1"/>
                <c:pt idx="0">
                  <c:v>Жилищни кредити</c:v>
                </c:pt>
              </c:strCache>
            </c:strRef>
          </c:tx>
          <c:spPr>
            <a:ln cap="sq">
              <a:solidFill>
                <a:sysClr val="window" lastClr="FFFFFF">
                  <a:lumMod val="50000"/>
                </a:sysClr>
              </a:solidFill>
              <a:miter lim="800000"/>
            </a:ln>
          </c:spPr>
          <c:marker>
            <c:symbol val="square"/>
            <c:size val="4"/>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ap="rnd">
                <a:headEnd type="oval"/>
                <a:tailEnd type="oval"/>
              </a:ln>
            </c:spPr>
          </c:marker>
          <c:cat>
            <c:multiLvlStrRef>
              <c:f>'Лихвени проценти 1'!$A$86:$B$109</c:f>
              <c:multiLvlStrCache>
                <c:ptCount val="24"/>
                <c:lvl>
                  <c:pt idx="2">
                    <c:v>3</c:v>
                  </c:pt>
                  <c:pt idx="5">
                    <c:v>6</c:v>
                  </c:pt>
                  <c:pt idx="8">
                    <c:v>9</c:v>
                  </c:pt>
                  <c:pt idx="11">
                    <c:v>12</c:v>
                  </c:pt>
                  <c:pt idx="14">
                    <c:v>3</c:v>
                  </c:pt>
                  <c:pt idx="17">
                    <c:v>6</c:v>
                  </c:pt>
                  <c:pt idx="20">
                    <c:v>9</c:v>
                  </c:pt>
                  <c:pt idx="23">
                    <c:v>12</c:v>
                  </c:pt>
                </c:lvl>
                <c:lvl>
                  <c:pt idx="0">
                    <c:v>2014</c:v>
                  </c:pt>
                  <c:pt idx="12">
                    <c:v>2015</c:v>
                  </c:pt>
                </c:lvl>
              </c:multiLvlStrCache>
            </c:multiLvlStrRef>
          </c:cat>
          <c:val>
            <c:numRef>
              <c:f>'Лихвени проценти 1'!$F$86:$F$109</c:f>
              <c:numCache>
                <c:formatCode>General</c:formatCode>
                <c:ptCount val="24"/>
                <c:pt idx="0">
                  <c:v>7.1892033284274888</c:v>
                </c:pt>
                <c:pt idx="1">
                  <c:v>7.0186491939587228</c:v>
                </c:pt>
                <c:pt idx="2">
                  <c:v>6.7588688337458827</c:v>
                </c:pt>
                <c:pt idx="3">
                  <c:v>6.6458035324592197</c:v>
                </c:pt>
                <c:pt idx="4">
                  <c:v>6.7722117208038144</c:v>
                </c:pt>
                <c:pt idx="5">
                  <c:v>6.6155887892376679</c:v>
                </c:pt>
                <c:pt idx="6">
                  <c:v>6.5851894081990743</c:v>
                </c:pt>
                <c:pt idx="7">
                  <c:v>6.7262574884103481</c:v>
                </c:pt>
                <c:pt idx="8">
                  <c:v>6.6595795882527353</c:v>
                </c:pt>
                <c:pt idx="9">
                  <c:v>6.6108242228730987</c:v>
                </c:pt>
                <c:pt idx="10">
                  <c:v>6.442839057899902</c:v>
                </c:pt>
                <c:pt idx="11">
                  <c:v>6.3500819970917268</c:v>
                </c:pt>
                <c:pt idx="12">
                  <c:v>6.4229351648528308</c:v>
                </c:pt>
                <c:pt idx="13">
                  <c:v>6.2385024082182552</c:v>
                </c:pt>
                <c:pt idx="14">
                  <c:v>6.1742509528454512</c:v>
                </c:pt>
                <c:pt idx="15">
                  <c:v>6.1363779992480652</c:v>
                </c:pt>
                <c:pt idx="16">
                  <c:v>6.0303870464381646</c:v>
                </c:pt>
                <c:pt idx="17">
                  <c:v>5.8516383468557027</c:v>
                </c:pt>
                <c:pt idx="18">
                  <c:v>5.6852498588899341</c:v>
                </c:pt>
                <c:pt idx="19">
                  <c:v>5.6329133510075611</c:v>
                </c:pt>
                <c:pt idx="20">
                  <c:v>5.7575352991036803</c:v>
                </c:pt>
                <c:pt idx="21">
                  <c:v>5.67406860763806</c:v>
                </c:pt>
                <c:pt idx="22">
                  <c:v>5.5804954139451439</c:v>
                </c:pt>
                <c:pt idx="23">
                  <c:v>5.5659751028018016</c:v>
                </c:pt>
              </c:numCache>
            </c:numRef>
          </c:val>
          <c:smooth val="1"/>
        </c:ser>
        <c:ser>
          <c:idx val="2"/>
          <c:order val="4"/>
          <c:tx>
            <c:strRef>
              <c:f>'Лихвени проценти 1'!$G$1</c:f>
              <c:strCache>
                <c:ptCount val="1"/>
                <c:pt idx="0">
                  <c:v>Кредити за фирми</c:v>
                </c:pt>
              </c:strCache>
            </c:strRef>
          </c:tx>
          <c:spPr>
            <a:ln>
              <a:solidFill>
                <a:srgbClr val="073E87"/>
              </a:solidFill>
            </a:ln>
          </c:spPr>
          <c:marker>
            <c:symbol val="none"/>
          </c:marker>
          <c:cat>
            <c:multiLvlStrRef>
              <c:f>'Лихвени проценти 1'!$A$86:$B$109</c:f>
              <c:multiLvlStrCache>
                <c:ptCount val="24"/>
                <c:lvl>
                  <c:pt idx="2">
                    <c:v>3</c:v>
                  </c:pt>
                  <c:pt idx="5">
                    <c:v>6</c:v>
                  </c:pt>
                  <c:pt idx="8">
                    <c:v>9</c:v>
                  </c:pt>
                  <c:pt idx="11">
                    <c:v>12</c:v>
                  </c:pt>
                  <c:pt idx="14">
                    <c:v>3</c:v>
                  </c:pt>
                  <c:pt idx="17">
                    <c:v>6</c:v>
                  </c:pt>
                  <c:pt idx="20">
                    <c:v>9</c:v>
                  </c:pt>
                  <c:pt idx="23">
                    <c:v>12</c:v>
                  </c:pt>
                </c:lvl>
                <c:lvl>
                  <c:pt idx="0">
                    <c:v>2014</c:v>
                  </c:pt>
                  <c:pt idx="12">
                    <c:v>2015</c:v>
                  </c:pt>
                </c:lvl>
              </c:multiLvlStrCache>
            </c:multiLvlStrRef>
          </c:cat>
          <c:val>
            <c:numRef>
              <c:f>'Лихвени проценти 1'!$G$86:$G$109</c:f>
              <c:numCache>
                <c:formatCode>General</c:formatCode>
                <c:ptCount val="24"/>
                <c:pt idx="0">
                  <c:v>9.2561207605374385</c:v>
                </c:pt>
                <c:pt idx="1">
                  <c:v>6.922245157722493</c:v>
                </c:pt>
                <c:pt idx="2">
                  <c:v>7.4076751673817904</c:v>
                </c:pt>
                <c:pt idx="3">
                  <c:v>7.1870200079560647</c:v>
                </c:pt>
                <c:pt idx="4">
                  <c:v>7.6091123161960112</c:v>
                </c:pt>
                <c:pt idx="5">
                  <c:v>8.2287022162247823</c:v>
                </c:pt>
                <c:pt idx="6">
                  <c:v>5.9131837133881975</c:v>
                </c:pt>
                <c:pt idx="7">
                  <c:v>7.0760417480246076</c:v>
                </c:pt>
                <c:pt idx="8">
                  <c:v>7.0599774367467356</c:v>
                </c:pt>
                <c:pt idx="9">
                  <c:v>6.930056416838112</c:v>
                </c:pt>
                <c:pt idx="10">
                  <c:v>7.4292346994189584</c:v>
                </c:pt>
                <c:pt idx="11">
                  <c:v>6.2939186038621049</c:v>
                </c:pt>
                <c:pt idx="12">
                  <c:v>7.3577278246550151</c:v>
                </c:pt>
                <c:pt idx="13">
                  <c:v>6.085233549574335</c:v>
                </c:pt>
                <c:pt idx="14">
                  <c:v>7.7407101264949798</c:v>
                </c:pt>
                <c:pt idx="15">
                  <c:v>7.3935245460993819</c:v>
                </c:pt>
                <c:pt idx="16">
                  <c:v>6.2771242747383678</c:v>
                </c:pt>
                <c:pt idx="17">
                  <c:v>6.2066074492777261</c:v>
                </c:pt>
                <c:pt idx="18">
                  <c:v>7.0422134544726296</c:v>
                </c:pt>
                <c:pt idx="19">
                  <c:v>6.1874936644077332</c:v>
                </c:pt>
                <c:pt idx="20">
                  <c:v>5.6048992127657229</c:v>
                </c:pt>
                <c:pt idx="21">
                  <c:v>6.6265937904279459</c:v>
                </c:pt>
                <c:pt idx="22">
                  <c:v>4.8456987907440299</c:v>
                </c:pt>
                <c:pt idx="23">
                  <c:v>4.967933750671591</c:v>
                </c:pt>
              </c:numCache>
            </c:numRef>
          </c:val>
          <c:smooth val="0"/>
        </c:ser>
        <c:dLbls>
          <c:showLegendKey val="0"/>
          <c:showVal val="0"/>
          <c:showCatName val="0"/>
          <c:showSerName val="0"/>
          <c:showPercent val="0"/>
          <c:showBubbleSize val="0"/>
        </c:dLbls>
        <c:marker val="1"/>
        <c:smooth val="0"/>
        <c:axId val="129811200"/>
        <c:axId val="129815296"/>
      </c:lineChart>
      <c:catAx>
        <c:axId val="129811200"/>
        <c:scaling>
          <c:orientation val="minMax"/>
        </c:scaling>
        <c:delete val="0"/>
        <c:axPos val="b"/>
        <c:majorTickMark val="out"/>
        <c:minorTickMark val="none"/>
        <c:tickLblPos val="nextTo"/>
        <c:crossAx val="129815296"/>
        <c:crosses val="autoZero"/>
        <c:auto val="1"/>
        <c:lblAlgn val="ctr"/>
        <c:lblOffset val="30"/>
        <c:noMultiLvlLbl val="0"/>
      </c:catAx>
      <c:valAx>
        <c:axId val="129815296"/>
        <c:scaling>
          <c:orientation val="minMax"/>
          <c:max val="14"/>
          <c:min val="0"/>
        </c:scaling>
        <c:delete val="0"/>
        <c:axPos val="l"/>
        <c:majorGridlines/>
        <c:numFmt formatCode="0" sourceLinked="0"/>
        <c:majorTickMark val="out"/>
        <c:minorTickMark val="none"/>
        <c:tickLblPos val="nextTo"/>
        <c:crossAx val="129811200"/>
        <c:crosses val="autoZero"/>
        <c:crossBetween val="between"/>
        <c:majorUnit val="2"/>
      </c:valAx>
    </c:plotArea>
    <c:legend>
      <c:legendPos val="b"/>
      <c:layout>
        <c:manualLayout>
          <c:xMode val="edge"/>
          <c:yMode val="edge"/>
          <c:x val="2.8131221638297492E-3"/>
          <c:y val="0.82736356231333164"/>
          <c:w val="0.99036671566949275"/>
          <c:h val="0.16982396596977103"/>
        </c:manualLayout>
      </c:layout>
      <c:overlay val="0"/>
      <c:txPr>
        <a:bodyPr/>
        <a:lstStyle/>
        <a:p>
          <a:pPr>
            <a:defRPr sz="900"/>
          </a:pPr>
          <a:endParaRPr lang="bg-BG"/>
        </a:p>
      </c:txPr>
    </c:legend>
    <c:plotVisOnly val="1"/>
    <c:dispBlanksAs val="gap"/>
    <c:showDLblsOverMax val="0"/>
  </c:chart>
  <c:spPr>
    <a:ln>
      <a:solidFill>
        <a:srgbClr val="31B6FD"/>
      </a:solidFill>
    </a:ln>
  </c:spPr>
  <c:txPr>
    <a:bodyPr/>
    <a:lstStyle/>
    <a:p>
      <a:pPr>
        <a:defRPr sz="900"/>
      </a:pPr>
      <a:endParaRPr lang="bg-BG"/>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839" baseline="0"/>
            </a:pPr>
            <a:r>
              <a:rPr lang="bg-BG" sz="839" baseline="0"/>
              <a:t>Процент усвоени средства от общия бюджет на оперативните програми за периода  2007-2013 г.*</a:t>
            </a:r>
          </a:p>
        </c:rich>
      </c:tx>
      <c:layout>
        <c:manualLayout>
          <c:xMode val="edge"/>
          <c:yMode val="edge"/>
          <c:x val="0.10909708440916431"/>
          <c:y val="3.6414588801399826E-2"/>
        </c:manualLayout>
      </c:layout>
      <c:overlay val="0"/>
    </c:title>
    <c:autoTitleDeleted val="0"/>
    <c:plotArea>
      <c:layout/>
      <c:barChart>
        <c:barDir val="col"/>
        <c:grouping val="clustered"/>
        <c:varyColors val="0"/>
        <c:ser>
          <c:idx val="0"/>
          <c:order val="0"/>
          <c:tx>
            <c:strRef>
              <c:f>'Таблица 2'!$B$10</c:f>
              <c:strCache>
                <c:ptCount val="1"/>
                <c:pt idx="0">
                  <c:v>Процент усвоени средства от общия бюджет по Структурните и Кохезионния фонд  на ЕСза периода  2007-2013г.</c:v>
                </c:pt>
              </c:strCache>
            </c:strRef>
          </c:tx>
          <c:invertIfNegative val="0"/>
          <c:cat>
            <c:numRef>
              <c:f>'Таблица 2'!$A$11:$A$16</c:f>
              <c:numCache>
                <c:formatCode>General</c:formatCode>
                <c:ptCount val="6"/>
                <c:pt idx="0">
                  <c:v>2010</c:v>
                </c:pt>
                <c:pt idx="1">
                  <c:v>2011</c:v>
                </c:pt>
                <c:pt idx="2">
                  <c:v>2012</c:v>
                </c:pt>
                <c:pt idx="3">
                  <c:v>2013</c:v>
                </c:pt>
                <c:pt idx="4">
                  <c:v>2014</c:v>
                </c:pt>
                <c:pt idx="5">
                  <c:v>2015</c:v>
                </c:pt>
              </c:numCache>
            </c:numRef>
          </c:cat>
          <c:val>
            <c:numRef>
              <c:f>'Таблица 2'!$B$11:$B$16</c:f>
              <c:numCache>
                <c:formatCode>0.0%</c:formatCode>
                <c:ptCount val="6"/>
                <c:pt idx="0">
                  <c:v>0.10089098139376937</c:v>
                </c:pt>
                <c:pt idx="1">
                  <c:v>0.18775291363622235</c:v>
                </c:pt>
                <c:pt idx="2">
                  <c:v>0.34040036607148594</c:v>
                </c:pt>
                <c:pt idx="3">
                  <c:v>0.53943494539763148</c:v>
                </c:pt>
                <c:pt idx="4">
                  <c:v>0.76084294483490589</c:v>
                </c:pt>
                <c:pt idx="5">
                  <c:v>0.94189529904161606</c:v>
                </c:pt>
              </c:numCache>
            </c:numRef>
          </c:val>
        </c:ser>
        <c:dLbls>
          <c:showLegendKey val="0"/>
          <c:showVal val="0"/>
          <c:showCatName val="0"/>
          <c:showSerName val="0"/>
          <c:showPercent val="0"/>
          <c:showBubbleSize val="0"/>
        </c:dLbls>
        <c:gapWidth val="150"/>
        <c:axId val="129826176"/>
        <c:axId val="129946752"/>
      </c:barChart>
      <c:catAx>
        <c:axId val="129826176"/>
        <c:scaling>
          <c:orientation val="minMax"/>
        </c:scaling>
        <c:delete val="0"/>
        <c:axPos val="b"/>
        <c:numFmt formatCode="General" sourceLinked="1"/>
        <c:majorTickMark val="out"/>
        <c:minorTickMark val="none"/>
        <c:tickLblPos val="nextTo"/>
        <c:crossAx val="129946752"/>
        <c:crosses val="autoZero"/>
        <c:auto val="1"/>
        <c:lblAlgn val="ctr"/>
        <c:lblOffset val="100"/>
        <c:noMultiLvlLbl val="0"/>
      </c:catAx>
      <c:valAx>
        <c:axId val="129946752"/>
        <c:scaling>
          <c:orientation val="minMax"/>
        </c:scaling>
        <c:delete val="0"/>
        <c:axPos val="l"/>
        <c:majorGridlines/>
        <c:numFmt formatCode="0.0%" sourceLinked="1"/>
        <c:majorTickMark val="out"/>
        <c:minorTickMark val="none"/>
        <c:tickLblPos val="nextTo"/>
        <c:crossAx val="129826176"/>
        <c:crosses val="autoZero"/>
        <c:crossBetween val="between"/>
      </c:valAx>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bg-BG" sz="1397"/>
              <a:t>Процент</a:t>
            </a:r>
            <a:r>
              <a:rPr lang="bg-BG" sz="1397" baseline="0"/>
              <a:t> у</a:t>
            </a:r>
            <a:r>
              <a:rPr lang="bg-BG" sz="1397"/>
              <a:t>своени средства  от бюджетите на оперативните програми към</a:t>
            </a:r>
            <a:r>
              <a:rPr lang="bg-BG" sz="1397" baseline="0"/>
              <a:t> 31.12.</a:t>
            </a:r>
            <a:r>
              <a:rPr lang="bg-BG" sz="1397"/>
              <a:t>201</a:t>
            </a:r>
            <a:r>
              <a:rPr lang="en-US" sz="1397"/>
              <a:t>5</a:t>
            </a:r>
            <a:r>
              <a:rPr lang="bg-BG" sz="1397"/>
              <a:t> г.</a:t>
            </a:r>
            <a:r>
              <a:rPr lang="en-US" sz="1397"/>
              <a:t>*</a:t>
            </a:r>
            <a:endParaRPr lang="bg-BG" sz="1400"/>
          </a:p>
        </c:rich>
      </c:tx>
      <c:layout>
        <c:manualLayout>
          <c:xMode val="edge"/>
          <c:yMode val="edge"/>
          <c:x val="0.1483143026932954"/>
          <c:y val="8.2024007320185884E-3"/>
        </c:manualLayout>
      </c:layout>
      <c:overlay val="0"/>
      <c:spPr>
        <a:noFill/>
      </c:spPr>
    </c:title>
    <c:autoTitleDeleted val="0"/>
    <c:plotArea>
      <c:layout>
        <c:manualLayout>
          <c:layoutTarget val="inner"/>
          <c:xMode val="edge"/>
          <c:yMode val="edge"/>
          <c:x val="5.7118749782332695E-2"/>
          <c:y val="0.15362380085840857"/>
          <c:w val="0.94288125021766733"/>
          <c:h val="0.41438797423049389"/>
        </c:manualLayout>
      </c:layout>
      <c:barChart>
        <c:barDir val="col"/>
        <c:grouping val="stacked"/>
        <c:varyColors val="0"/>
        <c:ser>
          <c:idx val="0"/>
          <c:order val="0"/>
          <c:tx>
            <c:strRef>
              <c:f>'Таблица 1'!$C$2</c:f>
              <c:strCache>
                <c:ptCount val="1"/>
                <c:pt idx="0">
                  <c:v>% усвоени средства 2007-2014</c:v>
                </c:pt>
              </c:strCache>
            </c:strRef>
          </c:tx>
          <c:invertIfNegative val="0"/>
          <c:cat>
            <c:strRef>
              <c:f>'Таблица 1'!$B$3:$B$10</c:f>
              <c:strCache>
                <c:ptCount val="8"/>
                <c:pt idx="0">
                  <c:v> ОП Транспорт</c:v>
                </c:pt>
                <c:pt idx="1">
                  <c:v> ОП Околна среда</c:v>
                </c:pt>
                <c:pt idx="2">
                  <c:v>ОП Регионално развитие</c:v>
                </c:pt>
                <c:pt idx="3">
                  <c:v>ОП Човешки ресурси</c:v>
                </c:pt>
                <c:pt idx="4">
                  <c:v>ОП Конкурентноспособност</c:v>
                </c:pt>
                <c:pt idx="5">
                  <c:v>ОП Административен капацитет</c:v>
                </c:pt>
                <c:pt idx="6">
                  <c:v>ОП Техническа помощ</c:v>
                </c:pt>
                <c:pt idx="7">
                  <c:v>Общо за ОП</c:v>
                </c:pt>
              </c:strCache>
            </c:strRef>
          </c:cat>
          <c:val>
            <c:numRef>
              <c:f>'Таблица 1'!$C$3:$C$10</c:f>
              <c:numCache>
                <c:formatCode>0%</c:formatCode>
                <c:ptCount val="8"/>
                <c:pt idx="0">
                  <c:v>0.86823796308064161</c:v>
                </c:pt>
                <c:pt idx="1">
                  <c:v>0.95872634690050751</c:v>
                </c:pt>
                <c:pt idx="2">
                  <c:v>0.97259181614315326</c:v>
                </c:pt>
                <c:pt idx="3">
                  <c:v>0.98562178560246061</c:v>
                </c:pt>
                <c:pt idx="4">
                  <c:v>0.95134240210201559</c:v>
                </c:pt>
                <c:pt idx="5">
                  <c:v>0.93942318137570535</c:v>
                </c:pt>
                <c:pt idx="6">
                  <c:v>0.94201897697089088</c:v>
                </c:pt>
                <c:pt idx="7">
                  <c:v>0.94189529904161606</c:v>
                </c:pt>
              </c:numCache>
            </c:numRef>
          </c:val>
        </c:ser>
        <c:dLbls>
          <c:showLegendKey val="0"/>
          <c:showVal val="0"/>
          <c:showCatName val="0"/>
          <c:showSerName val="0"/>
          <c:showPercent val="0"/>
          <c:showBubbleSize val="0"/>
        </c:dLbls>
        <c:gapWidth val="150"/>
        <c:overlap val="100"/>
        <c:axId val="133019904"/>
        <c:axId val="137875840"/>
      </c:barChart>
      <c:catAx>
        <c:axId val="133019904"/>
        <c:scaling>
          <c:orientation val="minMax"/>
        </c:scaling>
        <c:delete val="0"/>
        <c:axPos val="b"/>
        <c:numFmt formatCode="@" sourceLinked="0"/>
        <c:majorTickMark val="out"/>
        <c:minorTickMark val="none"/>
        <c:tickLblPos val="nextTo"/>
        <c:spPr>
          <a:ln w="6338">
            <a:gradFill>
              <a:gsLst>
                <a:gs pos="0">
                  <a:schemeClr val="accent1">
                    <a:tint val="66000"/>
                    <a:satMod val="160000"/>
                  </a:schemeClr>
                </a:gs>
                <a:gs pos="71000">
                  <a:schemeClr val="accent1">
                    <a:tint val="44500"/>
                    <a:satMod val="160000"/>
                  </a:schemeClr>
                </a:gs>
                <a:gs pos="100000">
                  <a:schemeClr val="accent1">
                    <a:tint val="23500"/>
                    <a:satMod val="160000"/>
                  </a:schemeClr>
                </a:gs>
              </a:gsLst>
              <a:lin ang="5400000" scaled="0"/>
            </a:gradFill>
          </a:ln>
          <a:effectLst>
            <a:outerShdw dir="3000000" sx="78000" sy="78000" algn="ctr" rotWithShape="0">
              <a:srgbClr val="000000">
                <a:alpha val="0"/>
              </a:srgbClr>
            </a:outerShdw>
          </a:effectLst>
        </c:spPr>
        <c:txPr>
          <a:bodyPr rot="-5400000" vert="horz"/>
          <a:lstStyle/>
          <a:p>
            <a:pPr>
              <a:defRPr sz="898" baseline="0">
                <a:latin typeface="Arial" panose="020B0604020202020204" pitchFamily="34" charset="0"/>
              </a:defRPr>
            </a:pPr>
            <a:endParaRPr lang="bg-BG"/>
          </a:p>
        </c:txPr>
        <c:crossAx val="137875840"/>
        <c:crosses val="autoZero"/>
        <c:auto val="0"/>
        <c:lblAlgn val="ctr"/>
        <c:lblOffset val="100"/>
        <c:noMultiLvlLbl val="0"/>
      </c:catAx>
      <c:valAx>
        <c:axId val="137875840"/>
        <c:scaling>
          <c:orientation val="minMax"/>
          <c:max val="1"/>
          <c:min val="0.60000000000000009"/>
        </c:scaling>
        <c:delete val="0"/>
        <c:axPos val="l"/>
        <c:majorGridlines/>
        <c:numFmt formatCode="0%" sourceLinked="1"/>
        <c:majorTickMark val="out"/>
        <c:minorTickMark val="none"/>
        <c:tickLblPos val="nextTo"/>
        <c:crossAx val="133019904"/>
        <c:crosses val="autoZero"/>
        <c:crossBetween val="between"/>
        <c:majorUnit val="5.000000000000001E-2"/>
      </c:valAx>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i="0" u="none" strike="noStrike" baseline="0">
                <a:solidFill>
                  <a:srgbClr val="000000"/>
                </a:solidFill>
                <a:latin typeface="Times New Roman"/>
                <a:ea typeface="Times New Roman"/>
                <a:cs typeface="Times New Roman"/>
              </a:defRPr>
            </a:pPr>
            <a:r>
              <a:rPr lang="bg-BG" sz="800"/>
              <a:t>Дялове на отчетените капиталови разходи по функции за 2015 г.</a:t>
            </a:r>
          </a:p>
        </c:rich>
      </c:tx>
      <c:layout>
        <c:manualLayout>
          <c:xMode val="edge"/>
          <c:yMode val="edge"/>
          <c:x val="0.24586092715231789"/>
          <c:y val="2.8532608695652172E-2"/>
        </c:manualLayout>
      </c:layout>
      <c:overlay val="0"/>
      <c:spPr>
        <a:noFill/>
        <a:ln w="25400">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6986754966887422"/>
          <c:y val="0.39945652173913043"/>
          <c:w val="0.46026490066225173"/>
          <c:h val="0.29891304347826086"/>
        </c:manualLayout>
      </c:layout>
      <c:pie3DChart>
        <c:varyColors val="1"/>
        <c:ser>
          <c:idx val="0"/>
          <c:order val="0"/>
          <c:spPr>
            <a:solidFill>
              <a:srgbClr val="9999FF"/>
            </a:solidFill>
            <a:ln w="12700">
              <a:solidFill>
                <a:srgbClr val="000000"/>
              </a:solidFill>
              <a:prstDash val="solid"/>
            </a:ln>
          </c:spPr>
          <c:dPt>
            <c:idx val="0"/>
            <c:bubble3D val="0"/>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dPt>
            <c:idx val="7"/>
            <c:bubble3D val="0"/>
            <c:spPr>
              <a:solidFill>
                <a:srgbClr val="CCCCFF"/>
              </a:solidFill>
              <a:ln w="12700">
                <a:solidFill>
                  <a:srgbClr val="000000"/>
                </a:solidFill>
                <a:prstDash val="solid"/>
              </a:ln>
            </c:spPr>
          </c:dPt>
          <c:dLbls>
            <c:dLbl>
              <c:idx val="0"/>
              <c:layout>
                <c:manualLayout>
                  <c:x val="-0.29347362726182408"/>
                  <c:y val="-5.680988246034472E-2"/>
                </c:manualLayout>
              </c:layout>
              <c:dLblPos val="bestFit"/>
              <c:showLegendKey val="0"/>
              <c:showVal val="0"/>
              <c:showCatName val="1"/>
              <c:showSerName val="0"/>
              <c:showPercent val="1"/>
              <c:showBubbleSize val="0"/>
            </c:dLbl>
            <c:dLbl>
              <c:idx val="1"/>
              <c:layout>
                <c:manualLayout>
                  <c:x val="-8.4235672941544437E-2"/>
                  <c:y val="-0.19998430902658909"/>
                </c:manualLayout>
              </c:layout>
              <c:dLblPos val="bestFit"/>
              <c:showLegendKey val="0"/>
              <c:showVal val="0"/>
              <c:showCatName val="1"/>
              <c:showSerName val="0"/>
              <c:showPercent val="1"/>
              <c:showBubbleSize val="0"/>
            </c:dLbl>
            <c:dLbl>
              <c:idx val="2"/>
              <c:layout>
                <c:manualLayout>
                  <c:x val="3.3665110983643769E-2"/>
                  <c:y val="-0.16925139792308569"/>
                </c:manualLayout>
              </c:layout>
              <c:dLblPos val="bestFit"/>
              <c:showLegendKey val="0"/>
              <c:showVal val="0"/>
              <c:showCatName val="1"/>
              <c:showSerName val="0"/>
              <c:showPercent val="1"/>
              <c:showBubbleSize val="0"/>
            </c:dLbl>
            <c:dLbl>
              <c:idx val="3"/>
              <c:layout>
                <c:manualLayout>
                  <c:x val="6.1448610314439336E-2"/>
                  <c:y val="-8.119222868880524E-2"/>
                </c:manualLayout>
              </c:layout>
              <c:dLblPos val="bestFit"/>
              <c:showLegendKey val="0"/>
              <c:showVal val="0"/>
              <c:showCatName val="1"/>
              <c:showSerName val="0"/>
              <c:showPercent val="1"/>
              <c:showBubbleSize val="0"/>
            </c:dLbl>
            <c:dLbl>
              <c:idx val="4"/>
              <c:layout>
                <c:manualLayout>
                  <c:x val="7.9024460725521953E-2"/>
                  <c:y val="3.2480671573662023E-2"/>
                </c:manualLayout>
              </c:layout>
              <c:dLblPos val="bestFit"/>
              <c:showLegendKey val="0"/>
              <c:showVal val="0"/>
              <c:showCatName val="1"/>
              <c:showSerName val="0"/>
              <c:showPercent val="1"/>
              <c:showBubbleSize val="0"/>
            </c:dLbl>
            <c:dLbl>
              <c:idx val="5"/>
              <c:layout>
                <c:manualLayout>
                  <c:x val="6.6872751212389975E-2"/>
                  <c:y val="8.1804176651831539E-2"/>
                </c:manualLayout>
              </c:layout>
              <c:dLblPos val="bestFit"/>
              <c:showLegendKey val="0"/>
              <c:showVal val="0"/>
              <c:showCatName val="1"/>
              <c:showSerName val="0"/>
              <c:showPercent val="1"/>
              <c:showBubbleSize val="0"/>
            </c:dLbl>
            <c:dLbl>
              <c:idx val="6"/>
              <c:layout>
                <c:manualLayout>
                  <c:x val="-0.16307012740957044"/>
                  <c:y val="0.24348931587355929"/>
                </c:manualLayout>
              </c:layout>
              <c:dLblPos val="bestFit"/>
              <c:showLegendKey val="0"/>
              <c:showVal val="0"/>
              <c:showCatName val="1"/>
              <c:showSerName val="0"/>
              <c:showPercent val="1"/>
              <c:showBubbleSize val="0"/>
            </c:dLbl>
            <c:dLbl>
              <c:idx val="7"/>
              <c:layout>
                <c:manualLayout>
                  <c:x val="-6.6995837026994146E-2"/>
                  <c:y val="3.2265455608809786E-2"/>
                </c:manualLayout>
              </c:layout>
              <c:dLblPos val="bestFit"/>
              <c:showLegendKey val="0"/>
              <c:showVal val="0"/>
              <c:showCatName val="1"/>
              <c:showSerName val="0"/>
              <c:showPercent val="1"/>
              <c:showBubbleSize val="0"/>
            </c:dLbl>
            <c:numFmt formatCode="0.0%" sourceLinked="0"/>
            <c:spPr>
              <a:noFill/>
              <a:ln w="25400">
                <a:noFill/>
              </a:ln>
            </c:spPr>
            <c:txPr>
              <a:bodyPr/>
              <a:lstStyle/>
              <a:p>
                <a:pPr>
                  <a:defRPr sz="600" b="1" i="0" u="none" strike="noStrike" baseline="0">
                    <a:solidFill>
                      <a:srgbClr val="000000"/>
                    </a:solidFill>
                    <a:latin typeface="Times New Roman"/>
                    <a:ea typeface="Times New Roman"/>
                    <a:cs typeface="Times New Roman"/>
                  </a:defRPr>
                </a:pPr>
                <a:endParaRPr lang="bg-BG"/>
              </a:p>
            </c:txPr>
            <c:showLegendKey val="0"/>
            <c:showVal val="0"/>
            <c:showCatName val="1"/>
            <c:showSerName val="0"/>
            <c:showPercent val="1"/>
            <c:showBubbleSize val="0"/>
            <c:showLeaderLines val="1"/>
          </c:dLbls>
          <c:cat>
            <c:strRef>
              <c:f>Обобщен!$U$914:$U$921</c:f>
              <c:strCache>
                <c:ptCount val="8"/>
                <c:pt idx="0">
                  <c:v>I. ОБЩИ ДЪРЖАВНИ СЛУЖБИ</c:v>
                </c:pt>
                <c:pt idx="1">
                  <c:v>II. ОТБРАНА И СИГУРНОСТ</c:v>
                </c:pt>
                <c:pt idx="2">
                  <c:v>III. ОБРАЗОВАНИЕ</c:v>
                </c:pt>
                <c:pt idx="3">
                  <c:v>IV. ЗДРАВЕОПАЗВАНЕ</c:v>
                </c:pt>
                <c:pt idx="4">
                  <c:v>V. СОЦИАЛНО ОСИГУРЯВАНЕ, ПОДПОМАГАНЕ И ГРИЖИ </c:v>
                </c:pt>
                <c:pt idx="5">
                  <c:v>VІ. ЖИЛИЩНО СТРОИТЕЛСТВО, БЛАГОУСТРОЙСТВО, КОМУНАЛНО СТОП, И ОПАЗВАНЕ НА ОКОЛНАТА СРЕДА</c:v>
                </c:pt>
                <c:pt idx="6">
                  <c:v>VII. ПОЧИВНО ДЕЛО, КУЛТУРА, РЕЛИГИОЗНИ ДЕЙНОСТИ</c:v>
                </c:pt>
                <c:pt idx="7">
                  <c:v>VIII. ИКОНОМИЧЕСКИ ДЕЙНОСТИ   И УСЛУГИ</c:v>
                </c:pt>
              </c:strCache>
            </c:strRef>
          </c:cat>
          <c:val>
            <c:numRef>
              <c:f>Обобщен!$V$914:$V$921</c:f>
              <c:numCache>
                <c:formatCode>0.0%</c:formatCode>
                <c:ptCount val="8"/>
                <c:pt idx="0">
                  <c:v>2.6717391421894866E-2</c:v>
                </c:pt>
                <c:pt idx="1">
                  <c:v>4.7112317299854781E-2</c:v>
                </c:pt>
                <c:pt idx="2">
                  <c:v>2.573701164516028E-2</c:v>
                </c:pt>
                <c:pt idx="3">
                  <c:v>2.6856230950033824E-2</c:v>
                </c:pt>
                <c:pt idx="4">
                  <c:v>7.0980542774290757E-3</c:v>
                </c:pt>
                <c:pt idx="5">
                  <c:v>0.35841243399528722</c:v>
                </c:pt>
                <c:pt idx="6">
                  <c:v>4.4902899658289912E-2</c:v>
                </c:pt>
                <c:pt idx="7">
                  <c:v>0.46316366075204995</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3175">
      <a:solidFill>
        <a:srgbClr val="000000"/>
      </a:solidFill>
      <a:prstDash val="solid"/>
    </a:ln>
  </c:spPr>
  <c:txPr>
    <a:bodyPr/>
    <a:lstStyle/>
    <a:p>
      <a:pPr>
        <a:defRPr sz="1000" b="1" i="0" u="none" strike="noStrike" baseline="0">
          <a:solidFill>
            <a:srgbClr val="000000"/>
          </a:solidFill>
          <a:latin typeface="Times New Roman"/>
          <a:ea typeface="Times New Roman"/>
          <a:cs typeface="Times New Roman"/>
        </a:defRPr>
      </a:pPr>
      <a:endParaRPr lang="bg-BG"/>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5441363803465936"/>
          <c:y val="5.057471264367816E-2"/>
          <c:w val="0.6045115288927646"/>
          <c:h val="0.84131016381572998"/>
        </c:manualLayout>
      </c:layout>
      <c:barChart>
        <c:barDir val="bar"/>
        <c:grouping val="clustered"/>
        <c:varyColors val="0"/>
        <c:ser>
          <c:idx val="0"/>
          <c:order val="0"/>
          <c:tx>
            <c:strRef>
              <c:f>графики!$B$4</c:f>
              <c:strCache>
                <c:ptCount val="1"/>
                <c:pt idx="0">
                  <c:v>2014 г.</c:v>
                </c:pt>
              </c:strCache>
            </c:strRef>
          </c:tx>
          <c:spPr>
            <a:solidFill>
              <a:schemeClr val="accent6">
                <a:lumMod val="60000"/>
                <a:lumOff val="40000"/>
              </a:schemeClr>
            </a:solidFill>
          </c:spPr>
          <c:invertIfNegative val="0"/>
          <c:dLbls>
            <c:dLbl>
              <c:idx val="0"/>
              <c:layout>
                <c:manualLayout>
                  <c:x val="-8.8300220750551876E-3"/>
                  <c:y val="4.7892720306513406E-3"/>
                </c:manualLayout>
              </c:layout>
              <c:dLblPos val="outEnd"/>
              <c:showLegendKey val="0"/>
              <c:showVal val="1"/>
              <c:showCatName val="0"/>
              <c:showSerName val="0"/>
              <c:showPercent val="0"/>
              <c:showBubbleSize val="0"/>
            </c:dLbl>
            <c:dLbl>
              <c:idx val="1"/>
              <c:layout>
                <c:manualLayout>
                  <c:x val="-8.8300220750551876E-3"/>
                  <c:y val="4.7892720306513406E-3"/>
                </c:manualLayout>
              </c:layout>
              <c:dLblPos val="outEnd"/>
              <c:showLegendKey val="0"/>
              <c:showVal val="1"/>
              <c:showCatName val="0"/>
              <c:showSerName val="0"/>
              <c:showPercent val="0"/>
              <c:showBubbleSize val="0"/>
            </c:dLbl>
            <c:dLbl>
              <c:idx val="2"/>
              <c:layout>
                <c:manualLayout>
                  <c:x val="8.8300220750552692E-3"/>
                  <c:y val="4.7892720306513406E-3"/>
                </c:manualLayout>
              </c:layout>
              <c:dLblPos val="outEnd"/>
              <c:showLegendKey val="0"/>
              <c:showVal val="1"/>
              <c:showCatName val="0"/>
              <c:showSerName val="0"/>
              <c:showPercent val="0"/>
              <c:showBubbleSize val="0"/>
            </c:dLbl>
            <c:dLbl>
              <c:idx val="4"/>
              <c:layout>
                <c:manualLayout>
                  <c:x val="-1.1037527593818985E-2"/>
                  <c:y val="4.7892720306513406E-3"/>
                </c:manualLayout>
              </c:layout>
              <c:dLblPos val="outEnd"/>
              <c:showLegendKey val="0"/>
              <c:showVal val="1"/>
              <c:showCatName val="0"/>
              <c:showSerName val="0"/>
              <c:showPercent val="0"/>
              <c:showBubbleSize val="0"/>
            </c:dLbl>
            <c:txPr>
              <a:bodyPr/>
              <a:lstStyle/>
              <a:p>
                <a:pPr>
                  <a:defRPr sz="600" b="0" i="0" u="none" strike="noStrike" baseline="0">
                    <a:solidFill>
                      <a:srgbClr val="000000"/>
                    </a:solidFill>
                    <a:latin typeface="Times New Roman"/>
                    <a:ea typeface="Times New Roman"/>
                    <a:cs typeface="Times New Roman"/>
                  </a:defRPr>
                </a:pPr>
                <a:endParaRPr lang="bg-BG"/>
              </a:p>
            </c:txPr>
            <c:dLblPos val="outEnd"/>
            <c:showLegendKey val="0"/>
            <c:showVal val="1"/>
            <c:showCatName val="0"/>
            <c:showSerName val="0"/>
            <c:showPercent val="0"/>
            <c:showBubbleSize val="0"/>
            <c:showLeaderLines val="0"/>
          </c:dLbls>
          <c:cat>
            <c:strRef>
              <c:f>графики!$A$5:$A$10</c:f>
              <c:strCache>
                <c:ptCount val="6"/>
                <c:pt idx="0">
                  <c:v>Неданъчни приходи и помощи</c:v>
                </c:pt>
                <c:pt idx="1">
                  <c:v>Приходи от соц. и зравноос. вноски</c:v>
                </c:pt>
                <c:pt idx="2">
                  <c:v>Косвени данъци</c:v>
                </c:pt>
                <c:pt idx="3">
                  <c:v>Преки данъци</c:v>
                </c:pt>
                <c:pt idx="4">
                  <c:v>Данъчни приходи</c:v>
                </c:pt>
                <c:pt idx="5">
                  <c:v>Общо приходи и помощи</c:v>
                </c:pt>
              </c:strCache>
            </c:strRef>
          </c:cat>
          <c:val>
            <c:numRef>
              <c:f>графики!$B$5:$B$10</c:f>
              <c:numCache>
                <c:formatCode>0.0%</c:formatCode>
                <c:ptCount val="6"/>
                <c:pt idx="0">
                  <c:v>7.6320652186003021E-2</c:v>
                </c:pt>
                <c:pt idx="1">
                  <c:v>7.7127383594194923E-2</c:v>
                </c:pt>
                <c:pt idx="2">
                  <c:v>0.13730966905077413</c:v>
                </c:pt>
                <c:pt idx="3">
                  <c:v>5.1139529441380387E-2</c:v>
                </c:pt>
                <c:pt idx="4">
                  <c:v>0.27541138212206667</c:v>
                </c:pt>
                <c:pt idx="5">
                  <c:v>0.35173203430806971</c:v>
                </c:pt>
              </c:numCache>
            </c:numRef>
          </c:val>
        </c:ser>
        <c:ser>
          <c:idx val="1"/>
          <c:order val="1"/>
          <c:tx>
            <c:strRef>
              <c:f>графики!$C$4</c:f>
              <c:strCache>
                <c:ptCount val="1"/>
                <c:pt idx="0">
                  <c:v>2015 г.</c:v>
                </c:pt>
              </c:strCache>
            </c:strRef>
          </c:tx>
          <c:spPr>
            <a:solidFill>
              <a:schemeClr val="accent2">
                <a:lumMod val="75000"/>
              </a:schemeClr>
            </a:solidFill>
          </c:spPr>
          <c:invertIfNegative val="0"/>
          <c:dLbls>
            <c:dLbl>
              <c:idx val="0"/>
              <c:layout>
                <c:manualLayout>
                  <c:x val="-4.4150110375275938E-3"/>
                  <c:y val="-4.7892720306513406E-3"/>
                </c:manualLayout>
              </c:layout>
              <c:dLblPos val="outEnd"/>
              <c:showLegendKey val="0"/>
              <c:showVal val="1"/>
              <c:showCatName val="0"/>
              <c:showSerName val="0"/>
              <c:showPercent val="0"/>
              <c:showBubbleSize val="0"/>
            </c:dLbl>
            <c:dLbl>
              <c:idx val="1"/>
              <c:layout>
                <c:manualLayout>
                  <c:x val="-6.6225165562913907E-3"/>
                  <c:y val="-4.7892720306513406E-3"/>
                </c:manualLayout>
              </c:layout>
              <c:dLblPos val="outEnd"/>
              <c:showLegendKey val="0"/>
              <c:showVal val="1"/>
              <c:showCatName val="0"/>
              <c:showSerName val="0"/>
              <c:showPercent val="0"/>
              <c:showBubbleSize val="0"/>
            </c:dLbl>
            <c:dLbl>
              <c:idx val="5"/>
              <c:layout>
                <c:manualLayout>
                  <c:x val="-6.6225165562913907E-3"/>
                  <c:y val="-9.5785440613026813E-3"/>
                </c:manualLayout>
              </c:layout>
              <c:dLblPos val="outEnd"/>
              <c:showLegendKey val="0"/>
              <c:showVal val="1"/>
              <c:showCatName val="0"/>
              <c:showSerName val="0"/>
              <c:showPercent val="0"/>
              <c:showBubbleSize val="0"/>
            </c:dLbl>
            <c:txPr>
              <a:bodyPr/>
              <a:lstStyle/>
              <a:p>
                <a:pPr>
                  <a:defRPr sz="600" b="0" i="0" u="none" strike="noStrike" baseline="0">
                    <a:solidFill>
                      <a:srgbClr val="000000"/>
                    </a:solidFill>
                    <a:latin typeface="Times New Roman"/>
                    <a:ea typeface="Times New Roman"/>
                    <a:cs typeface="Times New Roman"/>
                  </a:defRPr>
                </a:pPr>
                <a:endParaRPr lang="bg-BG"/>
              </a:p>
            </c:txPr>
            <c:dLblPos val="outEnd"/>
            <c:showLegendKey val="0"/>
            <c:showVal val="1"/>
            <c:showCatName val="0"/>
            <c:showSerName val="0"/>
            <c:showPercent val="0"/>
            <c:showBubbleSize val="0"/>
            <c:showLeaderLines val="0"/>
          </c:dLbls>
          <c:cat>
            <c:strRef>
              <c:f>графики!$A$5:$A$10</c:f>
              <c:strCache>
                <c:ptCount val="6"/>
                <c:pt idx="0">
                  <c:v>Неданъчни приходи и помощи</c:v>
                </c:pt>
                <c:pt idx="1">
                  <c:v>Приходи от соц. и зравноос. вноски</c:v>
                </c:pt>
                <c:pt idx="2">
                  <c:v>Косвени данъци</c:v>
                </c:pt>
                <c:pt idx="3">
                  <c:v>Преки данъци</c:v>
                </c:pt>
                <c:pt idx="4">
                  <c:v>Данъчни приходи</c:v>
                </c:pt>
                <c:pt idx="5">
                  <c:v>Общо приходи и помощи</c:v>
                </c:pt>
              </c:strCache>
            </c:strRef>
          </c:cat>
          <c:val>
            <c:numRef>
              <c:f>графики!$C$5:$C$10</c:f>
              <c:numCache>
                <c:formatCode>0.0%</c:formatCode>
                <c:ptCount val="6"/>
                <c:pt idx="0">
                  <c:v>8.5036133900423652E-2</c:v>
                </c:pt>
                <c:pt idx="1">
                  <c:v>8.043183815395534E-2</c:v>
                </c:pt>
                <c:pt idx="2">
                  <c:v>0.14414894942032661</c:v>
                </c:pt>
                <c:pt idx="3">
                  <c:v>5.3160603555743292E-2</c:v>
                </c:pt>
                <c:pt idx="4">
                  <c:v>0.28777210636771139</c:v>
                </c:pt>
                <c:pt idx="5">
                  <c:v>0.37280824026813497</c:v>
                </c:pt>
              </c:numCache>
            </c:numRef>
          </c:val>
        </c:ser>
        <c:dLbls>
          <c:showLegendKey val="0"/>
          <c:showVal val="0"/>
          <c:showCatName val="0"/>
          <c:showSerName val="0"/>
          <c:showPercent val="0"/>
          <c:showBubbleSize val="0"/>
        </c:dLbls>
        <c:gapWidth val="150"/>
        <c:axId val="147150720"/>
        <c:axId val="163803136"/>
      </c:barChart>
      <c:catAx>
        <c:axId val="147150720"/>
        <c:scaling>
          <c:orientation val="minMax"/>
        </c:scaling>
        <c:delete val="0"/>
        <c:axPos val="l"/>
        <c:numFmt formatCode="General" sourceLinked="1"/>
        <c:majorTickMark val="none"/>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bg-BG"/>
          </a:p>
        </c:txPr>
        <c:crossAx val="163803136"/>
        <c:crossesAt val="0"/>
        <c:auto val="1"/>
        <c:lblAlgn val="ctr"/>
        <c:lblOffset val="100"/>
        <c:noMultiLvlLbl val="0"/>
      </c:catAx>
      <c:valAx>
        <c:axId val="163803136"/>
        <c:scaling>
          <c:orientation val="minMax"/>
        </c:scaling>
        <c:delete val="0"/>
        <c:axPos val="b"/>
        <c:majorGridlines/>
        <c:numFmt formatCode="0.0%" sourceLinked="1"/>
        <c:majorTickMark val="none"/>
        <c:minorTickMark val="none"/>
        <c:tickLblPos val="nextTo"/>
        <c:txPr>
          <a:bodyPr rot="0" vert="horz"/>
          <a:lstStyle/>
          <a:p>
            <a:pPr>
              <a:defRPr sz="599" b="0" i="0" u="none" strike="noStrike" baseline="0">
                <a:solidFill>
                  <a:srgbClr val="000000"/>
                </a:solidFill>
                <a:latin typeface="Times New Roman"/>
                <a:ea typeface="Times New Roman"/>
                <a:cs typeface="Times New Roman"/>
              </a:defRPr>
            </a:pPr>
            <a:endParaRPr lang="bg-BG"/>
          </a:p>
        </c:txPr>
        <c:crossAx val="147150720"/>
        <c:crosses val="autoZero"/>
        <c:crossBetween val="between"/>
      </c:valAx>
    </c:plotArea>
    <c:legend>
      <c:legendPos val="r"/>
      <c:layout>
        <c:manualLayout>
          <c:xMode val="edge"/>
          <c:yMode val="edge"/>
          <c:x val="7.43801652892562E-2"/>
          <c:y val="0.83571428571428574"/>
          <c:w val="0.20991735537190082"/>
          <c:h val="0.15714285714285714"/>
        </c:manualLayout>
      </c:layout>
      <c:overlay val="0"/>
      <c:txPr>
        <a:bodyPr/>
        <a:lstStyle/>
        <a:p>
          <a:pPr>
            <a:defRPr sz="600" b="0" i="0" u="none" strike="noStrike" baseline="0">
              <a:solidFill>
                <a:srgbClr val="000000"/>
              </a:solidFill>
              <a:latin typeface="Times New Roman"/>
              <a:ea typeface="Times New Roman"/>
              <a:cs typeface="Times New Roman"/>
            </a:defRPr>
          </a:pPr>
          <a:endParaRPr lang="bg-BG"/>
        </a:p>
      </c:txPr>
    </c:legend>
    <c:plotVisOnly val="1"/>
    <c:dispBlanksAs val="gap"/>
    <c:showDLblsOverMax val="0"/>
  </c:chart>
  <c:spPr>
    <a:ln>
      <a:prstDash val="sysDot"/>
    </a:ln>
  </c:spPr>
  <c:txPr>
    <a:bodyPr/>
    <a:lstStyle/>
    <a:p>
      <a:pPr>
        <a:defRPr sz="599" b="0" i="0" u="none" strike="noStrike" baseline="0">
          <a:solidFill>
            <a:srgbClr val="000000"/>
          </a:solidFill>
          <a:latin typeface="Times New Roman"/>
          <a:ea typeface="Times New Roman"/>
          <a:cs typeface="Times New Roman"/>
        </a:defRPr>
      </a:pPr>
      <a:endParaRPr lang="bg-BG"/>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bg-BG"/>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5441363803465936"/>
          <c:y val="5.4664669983736695E-2"/>
          <c:w val="0.6045115288927646"/>
          <c:h val="0.84131016381572998"/>
        </c:manualLayout>
      </c:layout>
      <c:barChart>
        <c:barDir val="bar"/>
        <c:grouping val="clustered"/>
        <c:varyColors val="0"/>
        <c:ser>
          <c:idx val="0"/>
          <c:order val="0"/>
          <c:tx>
            <c:strRef>
              <c:f>графики!$B$36</c:f>
              <c:strCache>
                <c:ptCount val="1"/>
                <c:pt idx="0">
                  <c:v>2014 г.</c:v>
                </c:pt>
              </c:strCache>
            </c:strRef>
          </c:tx>
          <c:spPr>
            <a:solidFill>
              <a:schemeClr val="accent6">
                <a:lumMod val="60000"/>
                <a:lumOff val="40000"/>
              </a:schemeClr>
            </a:solidFill>
          </c:spPr>
          <c:invertIfNegative val="0"/>
          <c:dLbls>
            <c:dLbl>
              <c:idx val="7"/>
              <c:layout>
                <c:manualLayout>
                  <c:x val="1.3029315960912053E-2"/>
                  <c:y val="2.0449897750511266E-2"/>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bg-BG"/>
              </a:p>
            </c:txPr>
            <c:dLblPos val="outEnd"/>
            <c:showLegendKey val="0"/>
            <c:showVal val="1"/>
            <c:showCatName val="0"/>
            <c:showSerName val="0"/>
            <c:showPercent val="0"/>
            <c:showBubbleSize val="0"/>
            <c:showLeaderLines val="0"/>
          </c:dLbls>
          <c:cat>
            <c:strRef>
              <c:f>графики!$A$37:$A$44</c:f>
              <c:strCache>
                <c:ptCount val="8"/>
                <c:pt idx="0">
                  <c:v>Капиталови разходи</c:v>
                </c:pt>
                <c:pt idx="1">
                  <c:v>Субсидии</c:v>
                </c:pt>
                <c:pt idx="2">
                  <c:v>Социални разходи, стипендии</c:v>
                </c:pt>
                <c:pt idx="3">
                  <c:v>Лихвени разходи</c:v>
                </c:pt>
                <c:pt idx="4">
                  <c:v>Издръжка</c:v>
                </c:pt>
                <c:pt idx="5">
                  <c:v>Заплати и осигурителни вноски,</c:v>
                </c:pt>
                <c:pt idx="6">
                  <c:v>Вноска в бюджета на ЕС</c:v>
                </c:pt>
                <c:pt idx="7">
                  <c:v>Общо разходи и вноска в бюджета на ЕС</c:v>
                </c:pt>
              </c:strCache>
            </c:strRef>
          </c:cat>
          <c:val>
            <c:numRef>
              <c:f>графики!$B$37:$B$44</c:f>
              <c:numCache>
                <c:formatCode>0.0%</c:formatCode>
                <c:ptCount val="8"/>
                <c:pt idx="0">
                  <c:v>5.9106695712479181E-2</c:v>
                </c:pt>
                <c:pt idx="1">
                  <c:v>1.8551024226321201E-2</c:v>
                </c:pt>
                <c:pt idx="2">
                  <c:v>0.16396070542602817</c:v>
                </c:pt>
                <c:pt idx="3">
                  <c:v>6.9349982338719092E-3</c:v>
                </c:pt>
                <c:pt idx="4">
                  <c:v>5.6516693277191013E-2</c:v>
                </c:pt>
                <c:pt idx="5">
                  <c:v>7.1993800037654737E-2</c:v>
                </c:pt>
                <c:pt idx="6">
                  <c:v>1.1420021725994753E-2</c:v>
                </c:pt>
                <c:pt idx="7">
                  <c:v>0.388483938639541</c:v>
                </c:pt>
              </c:numCache>
            </c:numRef>
          </c:val>
        </c:ser>
        <c:ser>
          <c:idx val="1"/>
          <c:order val="1"/>
          <c:tx>
            <c:strRef>
              <c:f>графики!$C$36</c:f>
              <c:strCache>
                <c:ptCount val="1"/>
                <c:pt idx="0">
                  <c:v>2015 г.</c:v>
                </c:pt>
              </c:strCache>
            </c:strRef>
          </c:tx>
          <c:spPr>
            <a:solidFill>
              <a:schemeClr val="accent2">
                <a:lumMod val="75000"/>
              </a:schemeClr>
            </a:solidFill>
          </c:spPr>
          <c:invertIfNegative val="0"/>
          <c:dLbls>
            <c:dLbl>
              <c:idx val="0"/>
              <c:layout>
                <c:manualLayout>
                  <c:x val="0"/>
                  <c:y val="-2.4539877300613498E-2"/>
                </c:manualLayout>
              </c:layout>
              <c:dLblPos val="outEnd"/>
              <c:showLegendKey val="0"/>
              <c:showVal val="1"/>
              <c:showCatName val="0"/>
              <c:showSerName val="0"/>
              <c:showPercent val="0"/>
              <c:showBubbleSize val="0"/>
            </c:dLbl>
            <c:dLbl>
              <c:idx val="1"/>
              <c:layout>
                <c:manualLayout>
                  <c:x val="0"/>
                  <c:y val="-2.0449897750511249E-2"/>
                </c:manualLayout>
              </c:layout>
              <c:dLblPos val="outEnd"/>
              <c:showLegendKey val="0"/>
              <c:showVal val="1"/>
              <c:showCatName val="0"/>
              <c:showSerName val="0"/>
              <c:showPercent val="0"/>
              <c:showBubbleSize val="0"/>
            </c:dLbl>
            <c:dLbl>
              <c:idx val="2"/>
              <c:layout>
                <c:manualLayout>
                  <c:x val="0"/>
                  <c:y val="-2.4539877300613498E-2"/>
                </c:manualLayout>
              </c:layout>
              <c:dLblPos val="outEnd"/>
              <c:showLegendKey val="0"/>
              <c:showVal val="1"/>
              <c:showCatName val="0"/>
              <c:showSerName val="0"/>
              <c:showPercent val="0"/>
              <c:showBubbleSize val="0"/>
            </c:dLbl>
            <c:dLbl>
              <c:idx val="3"/>
              <c:layout>
                <c:manualLayout>
                  <c:x val="-2.1715526601520088E-3"/>
                  <c:y val="-2.0449897750511249E-2"/>
                </c:manualLayout>
              </c:layout>
              <c:dLblPos val="outEnd"/>
              <c:showLegendKey val="0"/>
              <c:showVal val="1"/>
              <c:showCatName val="0"/>
              <c:showSerName val="0"/>
              <c:showPercent val="0"/>
              <c:showBubbleSize val="0"/>
            </c:dLbl>
            <c:dLbl>
              <c:idx val="4"/>
              <c:layout>
                <c:manualLayout>
                  <c:x val="-6.5146579804560263E-3"/>
                  <c:y val="-2.4539877300613498E-2"/>
                </c:manualLayout>
              </c:layout>
              <c:dLblPos val="outEnd"/>
              <c:showLegendKey val="0"/>
              <c:showVal val="1"/>
              <c:showCatName val="0"/>
              <c:showSerName val="0"/>
              <c:showPercent val="0"/>
              <c:showBubbleSize val="0"/>
            </c:dLbl>
            <c:dLbl>
              <c:idx val="5"/>
              <c:layout>
                <c:manualLayout>
                  <c:x val="-6.5146579804560263E-3"/>
                  <c:y val="-2.0449897750511249E-2"/>
                </c:manualLayout>
              </c:layout>
              <c:dLblPos val="outEnd"/>
              <c:showLegendKey val="0"/>
              <c:showVal val="1"/>
              <c:showCatName val="0"/>
              <c:showSerName val="0"/>
              <c:showPercent val="0"/>
              <c:showBubbleSize val="0"/>
            </c:dLbl>
            <c:dLbl>
              <c:idx val="6"/>
              <c:layout>
                <c:manualLayout>
                  <c:x val="-4.3431053203040176E-3"/>
                  <c:y val="-1.2269938650306749E-2"/>
                </c:manualLayout>
              </c:layout>
              <c:dLblPos val="outEnd"/>
              <c:showLegendKey val="0"/>
              <c:showVal val="1"/>
              <c:showCatName val="0"/>
              <c:showSerName val="0"/>
              <c:showPercent val="0"/>
              <c:showBubbleSize val="0"/>
            </c:dLbl>
            <c:dLbl>
              <c:idx val="7"/>
              <c:layout>
                <c:manualLayout>
                  <c:x val="8.6862106406080351E-3"/>
                  <c:y val="-1.6359918200408999E-2"/>
                </c:manualLayout>
              </c:layout>
              <c:dLblPos val="outEnd"/>
              <c:showLegendKey val="0"/>
              <c:showVal val="1"/>
              <c:showCatName val="0"/>
              <c:showSerName val="0"/>
              <c:showPercent val="0"/>
              <c:showBubbleSize val="0"/>
            </c:dLbl>
            <c:txPr>
              <a:bodyPr/>
              <a:lstStyle/>
              <a:p>
                <a:pPr>
                  <a:defRPr sz="800" b="0" i="0" u="none" strike="noStrike" baseline="0">
                    <a:solidFill>
                      <a:srgbClr val="000000"/>
                    </a:solidFill>
                    <a:latin typeface="Times New Roman"/>
                    <a:ea typeface="Times New Roman"/>
                    <a:cs typeface="Times New Roman"/>
                  </a:defRPr>
                </a:pPr>
                <a:endParaRPr lang="bg-BG"/>
              </a:p>
            </c:txPr>
            <c:dLblPos val="outEnd"/>
            <c:showLegendKey val="0"/>
            <c:showVal val="1"/>
            <c:showCatName val="0"/>
            <c:showSerName val="0"/>
            <c:showPercent val="0"/>
            <c:showBubbleSize val="0"/>
            <c:showLeaderLines val="0"/>
          </c:dLbls>
          <c:cat>
            <c:strRef>
              <c:f>графики!$A$37:$A$44</c:f>
              <c:strCache>
                <c:ptCount val="8"/>
                <c:pt idx="0">
                  <c:v>Капиталови разходи</c:v>
                </c:pt>
                <c:pt idx="1">
                  <c:v>Субсидии</c:v>
                </c:pt>
                <c:pt idx="2">
                  <c:v>Социални разходи, стипендии</c:v>
                </c:pt>
                <c:pt idx="3">
                  <c:v>Лихвени разходи</c:v>
                </c:pt>
                <c:pt idx="4">
                  <c:v>Издръжка</c:v>
                </c:pt>
                <c:pt idx="5">
                  <c:v>Заплати и осигурителни вноски,</c:v>
                </c:pt>
                <c:pt idx="6">
                  <c:v>Вноска в бюджета на ЕС</c:v>
                </c:pt>
                <c:pt idx="7">
                  <c:v>Общо разходи и вноска в бюджета на ЕС</c:v>
                </c:pt>
              </c:strCache>
            </c:strRef>
          </c:cat>
          <c:val>
            <c:numRef>
              <c:f>графики!$C$37:$C$44</c:f>
              <c:numCache>
                <c:formatCode>0.0%</c:formatCode>
                <c:ptCount val="8"/>
                <c:pt idx="0">
                  <c:v>7.9884260126839773E-2</c:v>
                </c:pt>
                <c:pt idx="1">
                  <c:v>1.9106932508528573E-2</c:v>
                </c:pt>
                <c:pt idx="2">
                  <c:v>0.16140828867237322</c:v>
                </c:pt>
                <c:pt idx="3">
                  <c:v>8.0849642575315725E-3</c:v>
                </c:pt>
                <c:pt idx="4">
                  <c:v>5.170024396162106E-2</c:v>
                </c:pt>
                <c:pt idx="5">
                  <c:v>7.0428312880975841E-2</c:v>
                </c:pt>
                <c:pt idx="6">
                  <c:v>1.095706328263678E-2</c:v>
                </c:pt>
                <c:pt idx="7">
                  <c:v>0.40157006569050685</c:v>
                </c:pt>
              </c:numCache>
            </c:numRef>
          </c:val>
        </c:ser>
        <c:dLbls>
          <c:showLegendKey val="0"/>
          <c:showVal val="0"/>
          <c:showCatName val="0"/>
          <c:showSerName val="0"/>
          <c:showPercent val="0"/>
          <c:showBubbleSize val="0"/>
        </c:dLbls>
        <c:gapWidth val="150"/>
        <c:axId val="164292096"/>
        <c:axId val="164293632"/>
      </c:barChart>
      <c:catAx>
        <c:axId val="164292096"/>
        <c:scaling>
          <c:orientation val="minMax"/>
        </c:scaling>
        <c:delete val="0"/>
        <c:axPos val="l"/>
        <c:numFmt formatCode="General" sourceLinked="1"/>
        <c:majorTickMark val="none"/>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bg-BG"/>
          </a:p>
        </c:txPr>
        <c:crossAx val="164293632"/>
        <c:crossesAt val="0"/>
        <c:auto val="1"/>
        <c:lblAlgn val="ctr"/>
        <c:lblOffset val="100"/>
        <c:noMultiLvlLbl val="0"/>
      </c:catAx>
      <c:valAx>
        <c:axId val="164293632"/>
        <c:scaling>
          <c:orientation val="minMax"/>
        </c:scaling>
        <c:delete val="0"/>
        <c:axPos val="b"/>
        <c:majorGridlines/>
        <c:numFmt formatCode="0.0%" sourceLinked="1"/>
        <c:majorTickMark val="none"/>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bg-BG"/>
          </a:p>
        </c:txPr>
        <c:crossAx val="164292096"/>
        <c:crosses val="autoZero"/>
        <c:crossBetween val="between"/>
      </c:valAx>
    </c:plotArea>
    <c:legend>
      <c:legendPos val="r"/>
      <c:layout>
        <c:manualLayout>
          <c:xMode val="edge"/>
          <c:yMode val="edge"/>
          <c:x val="6.3914266417023607E-2"/>
          <c:y val="0.84039450590148623"/>
          <c:w val="0.2107871450922055"/>
          <c:h val="0.1559924641321675"/>
        </c:manualLayout>
      </c:layout>
      <c:overlay val="0"/>
      <c:txPr>
        <a:bodyPr/>
        <a:lstStyle/>
        <a:p>
          <a:pPr>
            <a:defRPr sz="775" b="0" i="0" u="none" strike="noStrike" baseline="0">
              <a:solidFill>
                <a:srgbClr val="000000"/>
              </a:solidFill>
              <a:latin typeface="Times New Roman"/>
              <a:ea typeface="Times New Roman"/>
              <a:cs typeface="Times New Roman"/>
            </a:defRPr>
          </a:pPr>
          <a:endParaRPr lang="bg-BG"/>
        </a:p>
      </c:txPr>
    </c:legend>
    <c:plotVisOnly val="1"/>
    <c:dispBlanksAs val="gap"/>
    <c:showDLblsOverMax val="0"/>
  </c:chart>
  <c:spPr>
    <a:ln>
      <a:prstDash val="sysDot"/>
    </a:ln>
  </c:spPr>
  <c:txPr>
    <a:bodyPr/>
    <a:lstStyle/>
    <a:p>
      <a:pPr>
        <a:defRPr sz="1000" b="0" i="0" u="none" strike="noStrike" baseline="0">
          <a:solidFill>
            <a:srgbClr val="000000"/>
          </a:solidFill>
          <a:latin typeface="Times New Roman"/>
          <a:ea typeface="Times New Roman"/>
          <a:cs typeface="Times New Roman"/>
        </a:defRPr>
      </a:pPr>
      <a:endParaRPr lang="bg-BG"/>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F5B0BF-3F2C-4062-AB53-DFC63741C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2160</TotalTime>
  <Pages>161</Pages>
  <Words>72090</Words>
  <Characters>399626</Characters>
  <Application>Microsoft Office Word</Application>
  <DocSecurity>0</DocSecurity>
  <Lines>3330</Lines>
  <Paragraphs>941</Paragraphs>
  <ScaleCrop>false</ScaleCrop>
  <HeadingPairs>
    <vt:vector size="2" baseType="variant">
      <vt:variant>
        <vt:lpstr>Title</vt:lpstr>
      </vt:variant>
      <vt:variant>
        <vt:i4>1</vt:i4>
      </vt:variant>
    </vt:vector>
  </HeadingPairs>
  <TitlesOfParts>
    <vt:vector size="1" baseType="lpstr">
      <vt:lpstr>ІІІ</vt:lpstr>
    </vt:vector>
  </TitlesOfParts>
  <Company>MoF</Company>
  <LinksUpToDate>false</LinksUpToDate>
  <CharactersWithSpaces>470775</CharactersWithSpaces>
  <SharedDoc>false</SharedDoc>
  <HLinks>
    <vt:vector size="408" baseType="variant">
      <vt:variant>
        <vt:i4>1441855</vt:i4>
      </vt:variant>
      <vt:variant>
        <vt:i4>404</vt:i4>
      </vt:variant>
      <vt:variant>
        <vt:i4>0</vt:i4>
      </vt:variant>
      <vt:variant>
        <vt:i4>5</vt:i4>
      </vt:variant>
      <vt:variant>
        <vt:lpwstr/>
      </vt:variant>
      <vt:variant>
        <vt:lpwstr>_Toc421288293</vt:lpwstr>
      </vt:variant>
      <vt:variant>
        <vt:i4>1441855</vt:i4>
      </vt:variant>
      <vt:variant>
        <vt:i4>398</vt:i4>
      </vt:variant>
      <vt:variant>
        <vt:i4>0</vt:i4>
      </vt:variant>
      <vt:variant>
        <vt:i4>5</vt:i4>
      </vt:variant>
      <vt:variant>
        <vt:lpwstr/>
      </vt:variant>
      <vt:variant>
        <vt:lpwstr>_Toc421288292</vt:lpwstr>
      </vt:variant>
      <vt:variant>
        <vt:i4>1441855</vt:i4>
      </vt:variant>
      <vt:variant>
        <vt:i4>392</vt:i4>
      </vt:variant>
      <vt:variant>
        <vt:i4>0</vt:i4>
      </vt:variant>
      <vt:variant>
        <vt:i4>5</vt:i4>
      </vt:variant>
      <vt:variant>
        <vt:lpwstr/>
      </vt:variant>
      <vt:variant>
        <vt:lpwstr>_Toc421288291</vt:lpwstr>
      </vt:variant>
      <vt:variant>
        <vt:i4>1441855</vt:i4>
      </vt:variant>
      <vt:variant>
        <vt:i4>386</vt:i4>
      </vt:variant>
      <vt:variant>
        <vt:i4>0</vt:i4>
      </vt:variant>
      <vt:variant>
        <vt:i4>5</vt:i4>
      </vt:variant>
      <vt:variant>
        <vt:lpwstr/>
      </vt:variant>
      <vt:variant>
        <vt:lpwstr>_Toc421288290</vt:lpwstr>
      </vt:variant>
      <vt:variant>
        <vt:i4>1507391</vt:i4>
      </vt:variant>
      <vt:variant>
        <vt:i4>380</vt:i4>
      </vt:variant>
      <vt:variant>
        <vt:i4>0</vt:i4>
      </vt:variant>
      <vt:variant>
        <vt:i4>5</vt:i4>
      </vt:variant>
      <vt:variant>
        <vt:lpwstr/>
      </vt:variant>
      <vt:variant>
        <vt:lpwstr>_Toc421288289</vt:lpwstr>
      </vt:variant>
      <vt:variant>
        <vt:i4>1507391</vt:i4>
      </vt:variant>
      <vt:variant>
        <vt:i4>374</vt:i4>
      </vt:variant>
      <vt:variant>
        <vt:i4>0</vt:i4>
      </vt:variant>
      <vt:variant>
        <vt:i4>5</vt:i4>
      </vt:variant>
      <vt:variant>
        <vt:lpwstr/>
      </vt:variant>
      <vt:variant>
        <vt:lpwstr>_Toc421288288</vt:lpwstr>
      </vt:variant>
      <vt:variant>
        <vt:i4>1507391</vt:i4>
      </vt:variant>
      <vt:variant>
        <vt:i4>368</vt:i4>
      </vt:variant>
      <vt:variant>
        <vt:i4>0</vt:i4>
      </vt:variant>
      <vt:variant>
        <vt:i4>5</vt:i4>
      </vt:variant>
      <vt:variant>
        <vt:lpwstr/>
      </vt:variant>
      <vt:variant>
        <vt:lpwstr>_Toc421288287</vt:lpwstr>
      </vt:variant>
      <vt:variant>
        <vt:i4>1507391</vt:i4>
      </vt:variant>
      <vt:variant>
        <vt:i4>362</vt:i4>
      </vt:variant>
      <vt:variant>
        <vt:i4>0</vt:i4>
      </vt:variant>
      <vt:variant>
        <vt:i4>5</vt:i4>
      </vt:variant>
      <vt:variant>
        <vt:lpwstr/>
      </vt:variant>
      <vt:variant>
        <vt:lpwstr>_Toc421288286</vt:lpwstr>
      </vt:variant>
      <vt:variant>
        <vt:i4>1507391</vt:i4>
      </vt:variant>
      <vt:variant>
        <vt:i4>356</vt:i4>
      </vt:variant>
      <vt:variant>
        <vt:i4>0</vt:i4>
      </vt:variant>
      <vt:variant>
        <vt:i4>5</vt:i4>
      </vt:variant>
      <vt:variant>
        <vt:lpwstr/>
      </vt:variant>
      <vt:variant>
        <vt:lpwstr>_Toc421288285</vt:lpwstr>
      </vt:variant>
      <vt:variant>
        <vt:i4>1507391</vt:i4>
      </vt:variant>
      <vt:variant>
        <vt:i4>350</vt:i4>
      </vt:variant>
      <vt:variant>
        <vt:i4>0</vt:i4>
      </vt:variant>
      <vt:variant>
        <vt:i4>5</vt:i4>
      </vt:variant>
      <vt:variant>
        <vt:lpwstr/>
      </vt:variant>
      <vt:variant>
        <vt:lpwstr>_Toc421288284</vt:lpwstr>
      </vt:variant>
      <vt:variant>
        <vt:i4>1507391</vt:i4>
      </vt:variant>
      <vt:variant>
        <vt:i4>344</vt:i4>
      </vt:variant>
      <vt:variant>
        <vt:i4>0</vt:i4>
      </vt:variant>
      <vt:variant>
        <vt:i4>5</vt:i4>
      </vt:variant>
      <vt:variant>
        <vt:lpwstr/>
      </vt:variant>
      <vt:variant>
        <vt:lpwstr>_Toc421288283</vt:lpwstr>
      </vt:variant>
      <vt:variant>
        <vt:i4>1507391</vt:i4>
      </vt:variant>
      <vt:variant>
        <vt:i4>338</vt:i4>
      </vt:variant>
      <vt:variant>
        <vt:i4>0</vt:i4>
      </vt:variant>
      <vt:variant>
        <vt:i4>5</vt:i4>
      </vt:variant>
      <vt:variant>
        <vt:lpwstr/>
      </vt:variant>
      <vt:variant>
        <vt:lpwstr>_Toc421288282</vt:lpwstr>
      </vt:variant>
      <vt:variant>
        <vt:i4>1507391</vt:i4>
      </vt:variant>
      <vt:variant>
        <vt:i4>332</vt:i4>
      </vt:variant>
      <vt:variant>
        <vt:i4>0</vt:i4>
      </vt:variant>
      <vt:variant>
        <vt:i4>5</vt:i4>
      </vt:variant>
      <vt:variant>
        <vt:lpwstr/>
      </vt:variant>
      <vt:variant>
        <vt:lpwstr>_Toc421288281</vt:lpwstr>
      </vt:variant>
      <vt:variant>
        <vt:i4>1507391</vt:i4>
      </vt:variant>
      <vt:variant>
        <vt:i4>326</vt:i4>
      </vt:variant>
      <vt:variant>
        <vt:i4>0</vt:i4>
      </vt:variant>
      <vt:variant>
        <vt:i4>5</vt:i4>
      </vt:variant>
      <vt:variant>
        <vt:lpwstr/>
      </vt:variant>
      <vt:variant>
        <vt:lpwstr>_Toc421288280</vt:lpwstr>
      </vt:variant>
      <vt:variant>
        <vt:i4>1572927</vt:i4>
      </vt:variant>
      <vt:variant>
        <vt:i4>320</vt:i4>
      </vt:variant>
      <vt:variant>
        <vt:i4>0</vt:i4>
      </vt:variant>
      <vt:variant>
        <vt:i4>5</vt:i4>
      </vt:variant>
      <vt:variant>
        <vt:lpwstr/>
      </vt:variant>
      <vt:variant>
        <vt:lpwstr>_Toc421288279</vt:lpwstr>
      </vt:variant>
      <vt:variant>
        <vt:i4>1572927</vt:i4>
      </vt:variant>
      <vt:variant>
        <vt:i4>314</vt:i4>
      </vt:variant>
      <vt:variant>
        <vt:i4>0</vt:i4>
      </vt:variant>
      <vt:variant>
        <vt:i4>5</vt:i4>
      </vt:variant>
      <vt:variant>
        <vt:lpwstr/>
      </vt:variant>
      <vt:variant>
        <vt:lpwstr>_Toc421288278</vt:lpwstr>
      </vt:variant>
      <vt:variant>
        <vt:i4>1572927</vt:i4>
      </vt:variant>
      <vt:variant>
        <vt:i4>308</vt:i4>
      </vt:variant>
      <vt:variant>
        <vt:i4>0</vt:i4>
      </vt:variant>
      <vt:variant>
        <vt:i4>5</vt:i4>
      </vt:variant>
      <vt:variant>
        <vt:lpwstr/>
      </vt:variant>
      <vt:variant>
        <vt:lpwstr>_Toc421288277</vt:lpwstr>
      </vt:variant>
      <vt:variant>
        <vt:i4>1572927</vt:i4>
      </vt:variant>
      <vt:variant>
        <vt:i4>302</vt:i4>
      </vt:variant>
      <vt:variant>
        <vt:i4>0</vt:i4>
      </vt:variant>
      <vt:variant>
        <vt:i4>5</vt:i4>
      </vt:variant>
      <vt:variant>
        <vt:lpwstr/>
      </vt:variant>
      <vt:variant>
        <vt:lpwstr>_Toc421288276</vt:lpwstr>
      </vt:variant>
      <vt:variant>
        <vt:i4>1572927</vt:i4>
      </vt:variant>
      <vt:variant>
        <vt:i4>296</vt:i4>
      </vt:variant>
      <vt:variant>
        <vt:i4>0</vt:i4>
      </vt:variant>
      <vt:variant>
        <vt:i4>5</vt:i4>
      </vt:variant>
      <vt:variant>
        <vt:lpwstr/>
      </vt:variant>
      <vt:variant>
        <vt:lpwstr>_Toc421288275</vt:lpwstr>
      </vt:variant>
      <vt:variant>
        <vt:i4>1572927</vt:i4>
      </vt:variant>
      <vt:variant>
        <vt:i4>290</vt:i4>
      </vt:variant>
      <vt:variant>
        <vt:i4>0</vt:i4>
      </vt:variant>
      <vt:variant>
        <vt:i4>5</vt:i4>
      </vt:variant>
      <vt:variant>
        <vt:lpwstr/>
      </vt:variant>
      <vt:variant>
        <vt:lpwstr>_Toc421288274</vt:lpwstr>
      </vt:variant>
      <vt:variant>
        <vt:i4>1572927</vt:i4>
      </vt:variant>
      <vt:variant>
        <vt:i4>284</vt:i4>
      </vt:variant>
      <vt:variant>
        <vt:i4>0</vt:i4>
      </vt:variant>
      <vt:variant>
        <vt:i4>5</vt:i4>
      </vt:variant>
      <vt:variant>
        <vt:lpwstr/>
      </vt:variant>
      <vt:variant>
        <vt:lpwstr>_Toc421288273</vt:lpwstr>
      </vt:variant>
      <vt:variant>
        <vt:i4>1572927</vt:i4>
      </vt:variant>
      <vt:variant>
        <vt:i4>278</vt:i4>
      </vt:variant>
      <vt:variant>
        <vt:i4>0</vt:i4>
      </vt:variant>
      <vt:variant>
        <vt:i4>5</vt:i4>
      </vt:variant>
      <vt:variant>
        <vt:lpwstr/>
      </vt:variant>
      <vt:variant>
        <vt:lpwstr>_Toc421288272</vt:lpwstr>
      </vt:variant>
      <vt:variant>
        <vt:i4>1572927</vt:i4>
      </vt:variant>
      <vt:variant>
        <vt:i4>272</vt:i4>
      </vt:variant>
      <vt:variant>
        <vt:i4>0</vt:i4>
      </vt:variant>
      <vt:variant>
        <vt:i4>5</vt:i4>
      </vt:variant>
      <vt:variant>
        <vt:lpwstr/>
      </vt:variant>
      <vt:variant>
        <vt:lpwstr>_Toc421288271</vt:lpwstr>
      </vt:variant>
      <vt:variant>
        <vt:i4>1572927</vt:i4>
      </vt:variant>
      <vt:variant>
        <vt:i4>266</vt:i4>
      </vt:variant>
      <vt:variant>
        <vt:i4>0</vt:i4>
      </vt:variant>
      <vt:variant>
        <vt:i4>5</vt:i4>
      </vt:variant>
      <vt:variant>
        <vt:lpwstr/>
      </vt:variant>
      <vt:variant>
        <vt:lpwstr>_Toc421288270</vt:lpwstr>
      </vt:variant>
      <vt:variant>
        <vt:i4>1638463</vt:i4>
      </vt:variant>
      <vt:variant>
        <vt:i4>260</vt:i4>
      </vt:variant>
      <vt:variant>
        <vt:i4>0</vt:i4>
      </vt:variant>
      <vt:variant>
        <vt:i4>5</vt:i4>
      </vt:variant>
      <vt:variant>
        <vt:lpwstr/>
      </vt:variant>
      <vt:variant>
        <vt:lpwstr>_Toc421288269</vt:lpwstr>
      </vt:variant>
      <vt:variant>
        <vt:i4>1638463</vt:i4>
      </vt:variant>
      <vt:variant>
        <vt:i4>254</vt:i4>
      </vt:variant>
      <vt:variant>
        <vt:i4>0</vt:i4>
      </vt:variant>
      <vt:variant>
        <vt:i4>5</vt:i4>
      </vt:variant>
      <vt:variant>
        <vt:lpwstr/>
      </vt:variant>
      <vt:variant>
        <vt:lpwstr>_Toc421288268</vt:lpwstr>
      </vt:variant>
      <vt:variant>
        <vt:i4>1638463</vt:i4>
      </vt:variant>
      <vt:variant>
        <vt:i4>248</vt:i4>
      </vt:variant>
      <vt:variant>
        <vt:i4>0</vt:i4>
      </vt:variant>
      <vt:variant>
        <vt:i4>5</vt:i4>
      </vt:variant>
      <vt:variant>
        <vt:lpwstr/>
      </vt:variant>
      <vt:variant>
        <vt:lpwstr>_Toc421288267</vt:lpwstr>
      </vt:variant>
      <vt:variant>
        <vt:i4>1638463</vt:i4>
      </vt:variant>
      <vt:variant>
        <vt:i4>242</vt:i4>
      </vt:variant>
      <vt:variant>
        <vt:i4>0</vt:i4>
      </vt:variant>
      <vt:variant>
        <vt:i4>5</vt:i4>
      </vt:variant>
      <vt:variant>
        <vt:lpwstr/>
      </vt:variant>
      <vt:variant>
        <vt:lpwstr>_Toc421288266</vt:lpwstr>
      </vt:variant>
      <vt:variant>
        <vt:i4>1638463</vt:i4>
      </vt:variant>
      <vt:variant>
        <vt:i4>236</vt:i4>
      </vt:variant>
      <vt:variant>
        <vt:i4>0</vt:i4>
      </vt:variant>
      <vt:variant>
        <vt:i4>5</vt:i4>
      </vt:variant>
      <vt:variant>
        <vt:lpwstr/>
      </vt:variant>
      <vt:variant>
        <vt:lpwstr>_Toc421288265</vt:lpwstr>
      </vt:variant>
      <vt:variant>
        <vt:i4>1638463</vt:i4>
      </vt:variant>
      <vt:variant>
        <vt:i4>230</vt:i4>
      </vt:variant>
      <vt:variant>
        <vt:i4>0</vt:i4>
      </vt:variant>
      <vt:variant>
        <vt:i4>5</vt:i4>
      </vt:variant>
      <vt:variant>
        <vt:lpwstr/>
      </vt:variant>
      <vt:variant>
        <vt:lpwstr>_Toc421288264</vt:lpwstr>
      </vt:variant>
      <vt:variant>
        <vt:i4>1638463</vt:i4>
      </vt:variant>
      <vt:variant>
        <vt:i4>224</vt:i4>
      </vt:variant>
      <vt:variant>
        <vt:i4>0</vt:i4>
      </vt:variant>
      <vt:variant>
        <vt:i4>5</vt:i4>
      </vt:variant>
      <vt:variant>
        <vt:lpwstr/>
      </vt:variant>
      <vt:variant>
        <vt:lpwstr>_Toc421288263</vt:lpwstr>
      </vt:variant>
      <vt:variant>
        <vt:i4>1638463</vt:i4>
      </vt:variant>
      <vt:variant>
        <vt:i4>218</vt:i4>
      </vt:variant>
      <vt:variant>
        <vt:i4>0</vt:i4>
      </vt:variant>
      <vt:variant>
        <vt:i4>5</vt:i4>
      </vt:variant>
      <vt:variant>
        <vt:lpwstr/>
      </vt:variant>
      <vt:variant>
        <vt:lpwstr>_Toc421288262</vt:lpwstr>
      </vt:variant>
      <vt:variant>
        <vt:i4>1638463</vt:i4>
      </vt:variant>
      <vt:variant>
        <vt:i4>212</vt:i4>
      </vt:variant>
      <vt:variant>
        <vt:i4>0</vt:i4>
      </vt:variant>
      <vt:variant>
        <vt:i4>5</vt:i4>
      </vt:variant>
      <vt:variant>
        <vt:lpwstr/>
      </vt:variant>
      <vt:variant>
        <vt:lpwstr>_Toc421288261</vt:lpwstr>
      </vt:variant>
      <vt:variant>
        <vt:i4>1638463</vt:i4>
      </vt:variant>
      <vt:variant>
        <vt:i4>206</vt:i4>
      </vt:variant>
      <vt:variant>
        <vt:i4>0</vt:i4>
      </vt:variant>
      <vt:variant>
        <vt:i4>5</vt:i4>
      </vt:variant>
      <vt:variant>
        <vt:lpwstr/>
      </vt:variant>
      <vt:variant>
        <vt:lpwstr>_Toc421288260</vt:lpwstr>
      </vt:variant>
      <vt:variant>
        <vt:i4>1703999</vt:i4>
      </vt:variant>
      <vt:variant>
        <vt:i4>200</vt:i4>
      </vt:variant>
      <vt:variant>
        <vt:i4>0</vt:i4>
      </vt:variant>
      <vt:variant>
        <vt:i4>5</vt:i4>
      </vt:variant>
      <vt:variant>
        <vt:lpwstr/>
      </vt:variant>
      <vt:variant>
        <vt:lpwstr>_Toc421288259</vt:lpwstr>
      </vt:variant>
      <vt:variant>
        <vt:i4>1703999</vt:i4>
      </vt:variant>
      <vt:variant>
        <vt:i4>194</vt:i4>
      </vt:variant>
      <vt:variant>
        <vt:i4>0</vt:i4>
      </vt:variant>
      <vt:variant>
        <vt:i4>5</vt:i4>
      </vt:variant>
      <vt:variant>
        <vt:lpwstr/>
      </vt:variant>
      <vt:variant>
        <vt:lpwstr>_Toc421288258</vt:lpwstr>
      </vt:variant>
      <vt:variant>
        <vt:i4>1703999</vt:i4>
      </vt:variant>
      <vt:variant>
        <vt:i4>188</vt:i4>
      </vt:variant>
      <vt:variant>
        <vt:i4>0</vt:i4>
      </vt:variant>
      <vt:variant>
        <vt:i4>5</vt:i4>
      </vt:variant>
      <vt:variant>
        <vt:lpwstr/>
      </vt:variant>
      <vt:variant>
        <vt:lpwstr>_Toc421288257</vt:lpwstr>
      </vt:variant>
      <vt:variant>
        <vt:i4>1703999</vt:i4>
      </vt:variant>
      <vt:variant>
        <vt:i4>182</vt:i4>
      </vt:variant>
      <vt:variant>
        <vt:i4>0</vt:i4>
      </vt:variant>
      <vt:variant>
        <vt:i4>5</vt:i4>
      </vt:variant>
      <vt:variant>
        <vt:lpwstr/>
      </vt:variant>
      <vt:variant>
        <vt:lpwstr>_Toc421288256</vt:lpwstr>
      </vt:variant>
      <vt:variant>
        <vt:i4>1703999</vt:i4>
      </vt:variant>
      <vt:variant>
        <vt:i4>176</vt:i4>
      </vt:variant>
      <vt:variant>
        <vt:i4>0</vt:i4>
      </vt:variant>
      <vt:variant>
        <vt:i4>5</vt:i4>
      </vt:variant>
      <vt:variant>
        <vt:lpwstr/>
      </vt:variant>
      <vt:variant>
        <vt:lpwstr>_Toc421288255</vt:lpwstr>
      </vt:variant>
      <vt:variant>
        <vt:i4>1703999</vt:i4>
      </vt:variant>
      <vt:variant>
        <vt:i4>170</vt:i4>
      </vt:variant>
      <vt:variant>
        <vt:i4>0</vt:i4>
      </vt:variant>
      <vt:variant>
        <vt:i4>5</vt:i4>
      </vt:variant>
      <vt:variant>
        <vt:lpwstr/>
      </vt:variant>
      <vt:variant>
        <vt:lpwstr>_Toc421288254</vt:lpwstr>
      </vt:variant>
      <vt:variant>
        <vt:i4>1703999</vt:i4>
      </vt:variant>
      <vt:variant>
        <vt:i4>164</vt:i4>
      </vt:variant>
      <vt:variant>
        <vt:i4>0</vt:i4>
      </vt:variant>
      <vt:variant>
        <vt:i4>5</vt:i4>
      </vt:variant>
      <vt:variant>
        <vt:lpwstr/>
      </vt:variant>
      <vt:variant>
        <vt:lpwstr>_Toc421288253</vt:lpwstr>
      </vt:variant>
      <vt:variant>
        <vt:i4>1703999</vt:i4>
      </vt:variant>
      <vt:variant>
        <vt:i4>158</vt:i4>
      </vt:variant>
      <vt:variant>
        <vt:i4>0</vt:i4>
      </vt:variant>
      <vt:variant>
        <vt:i4>5</vt:i4>
      </vt:variant>
      <vt:variant>
        <vt:lpwstr/>
      </vt:variant>
      <vt:variant>
        <vt:lpwstr>_Toc421288252</vt:lpwstr>
      </vt:variant>
      <vt:variant>
        <vt:i4>1703999</vt:i4>
      </vt:variant>
      <vt:variant>
        <vt:i4>152</vt:i4>
      </vt:variant>
      <vt:variant>
        <vt:i4>0</vt:i4>
      </vt:variant>
      <vt:variant>
        <vt:i4>5</vt:i4>
      </vt:variant>
      <vt:variant>
        <vt:lpwstr/>
      </vt:variant>
      <vt:variant>
        <vt:lpwstr>_Toc421288251</vt:lpwstr>
      </vt:variant>
      <vt:variant>
        <vt:i4>1703999</vt:i4>
      </vt:variant>
      <vt:variant>
        <vt:i4>146</vt:i4>
      </vt:variant>
      <vt:variant>
        <vt:i4>0</vt:i4>
      </vt:variant>
      <vt:variant>
        <vt:i4>5</vt:i4>
      </vt:variant>
      <vt:variant>
        <vt:lpwstr/>
      </vt:variant>
      <vt:variant>
        <vt:lpwstr>_Toc421288250</vt:lpwstr>
      </vt:variant>
      <vt:variant>
        <vt:i4>1769535</vt:i4>
      </vt:variant>
      <vt:variant>
        <vt:i4>140</vt:i4>
      </vt:variant>
      <vt:variant>
        <vt:i4>0</vt:i4>
      </vt:variant>
      <vt:variant>
        <vt:i4>5</vt:i4>
      </vt:variant>
      <vt:variant>
        <vt:lpwstr/>
      </vt:variant>
      <vt:variant>
        <vt:lpwstr>_Toc421288249</vt:lpwstr>
      </vt:variant>
      <vt:variant>
        <vt:i4>1769535</vt:i4>
      </vt:variant>
      <vt:variant>
        <vt:i4>134</vt:i4>
      </vt:variant>
      <vt:variant>
        <vt:i4>0</vt:i4>
      </vt:variant>
      <vt:variant>
        <vt:i4>5</vt:i4>
      </vt:variant>
      <vt:variant>
        <vt:lpwstr/>
      </vt:variant>
      <vt:variant>
        <vt:lpwstr>_Toc421288248</vt:lpwstr>
      </vt:variant>
      <vt:variant>
        <vt:i4>1769535</vt:i4>
      </vt:variant>
      <vt:variant>
        <vt:i4>128</vt:i4>
      </vt:variant>
      <vt:variant>
        <vt:i4>0</vt:i4>
      </vt:variant>
      <vt:variant>
        <vt:i4>5</vt:i4>
      </vt:variant>
      <vt:variant>
        <vt:lpwstr/>
      </vt:variant>
      <vt:variant>
        <vt:lpwstr>_Toc421288247</vt:lpwstr>
      </vt:variant>
      <vt:variant>
        <vt:i4>1769535</vt:i4>
      </vt:variant>
      <vt:variant>
        <vt:i4>122</vt:i4>
      </vt:variant>
      <vt:variant>
        <vt:i4>0</vt:i4>
      </vt:variant>
      <vt:variant>
        <vt:i4>5</vt:i4>
      </vt:variant>
      <vt:variant>
        <vt:lpwstr/>
      </vt:variant>
      <vt:variant>
        <vt:lpwstr>_Toc421288246</vt:lpwstr>
      </vt:variant>
      <vt:variant>
        <vt:i4>1769535</vt:i4>
      </vt:variant>
      <vt:variant>
        <vt:i4>116</vt:i4>
      </vt:variant>
      <vt:variant>
        <vt:i4>0</vt:i4>
      </vt:variant>
      <vt:variant>
        <vt:i4>5</vt:i4>
      </vt:variant>
      <vt:variant>
        <vt:lpwstr/>
      </vt:variant>
      <vt:variant>
        <vt:lpwstr>_Toc421288245</vt:lpwstr>
      </vt:variant>
      <vt:variant>
        <vt:i4>1769535</vt:i4>
      </vt:variant>
      <vt:variant>
        <vt:i4>110</vt:i4>
      </vt:variant>
      <vt:variant>
        <vt:i4>0</vt:i4>
      </vt:variant>
      <vt:variant>
        <vt:i4>5</vt:i4>
      </vt:variant>
      <vt:variant>
        <vt:lpwstr/>
      </vt:variant>
      <vt:variant>
        <vt:lpwstr>_Toc421288244</vt:lpwstr>
      </vt:variant>
      <vt:variant>
        <vt:i4>1769535</vt:i4>
      </vt:variant>
      <vt:variant>
        <vt:i4>104</vt:i4>
      </vt:variant>
      <vt:variant>
        <vt:i4>0</vt:i4>
      </vt:variant>
      <vt:variant>
        <vt:i4>5</vt:i4>
      </vt:variant>
      <vt:variant>
        <vt:lpwstr/>
      </vt:variant>
      <vt:variant>
        <vt:lpwstr>_Toc421288243</vt:lpwstr>
      </vt:variant>
      <vt:variant>
        <vt:i4>1769535</vt:i4>
      </vt:variant>
      <vt:variant>
        <vt:i4>98</vt:i4>
      </vt:variant>
      <vt:variant>
        <vt:i4>0</vt:i4>
      </vt:variant>
      <vt:variant>
        <vt:i4>5</vt:i4>
      </vt:variant>
      <vt:variant>
        <vt:lpwstr/>
      </vt:variant>
      <vt:variant>
        <vt:lpwstr>_Toc421288242</vt:lpwstr>
      </vt:variant>
      <vt:variant>
        <vt:i4>1769535</vt:i4>
      </vt:variant>
      <vt:variant>
        <vt:i4>92</vt:i4>
      </vt:variant>
      <vt:variant>
        <vt:i4>0</vt:i4>
      </vt:variant>
      <vt:variant>
        <vt:i4>5</vt:i4>
      </vt:variant>
      <vt:variant>
        <vt:lpwstr/>
      </vt:variant>
      <vt:variant>
        <vt:lpwstr>_Toc421288241</vt:lpwstr>
      </vt:variant>
      <vt:variant>
        <vt:i4>1769535</vt:i4>
      </vt:variant>
      <vt:variant>
        <vt:i4>86</vt:i4>
      </vt:variant>
      <vt:variant>
        <vt:i4>0</vt:i4>
      </vt:variant>
      <vt:variant>
        <vt:i4>5</vt:i4>
      </vt:variant>
      <vt:variant>
        <vt:lpwstr/>
      </vt:variant>
      <vt:variant>
        <vt:lpwstr>_Toc421288240</vt:lpwstr>
      </vt:variant>
      <vt:variant>
        <vt:i4>1835071</vt:i4>
      </vt:variant>
      <vt:variant>
        <vt:i4>80</vt:i4>
      </vt:variant>
      <vt:variant>
        <vt:i4>0</vt:i4>
      </vt:variant>
      <vt:variant>
        <vt:i4>5</vt:i4>
      </vt:variant>
      <vt:variant>
        <vt:lpwstr/>
      </vt:variant>
      <vt:variant>
        <vt:lpwstr>_Toc421288239</vt:lpwstr>
      </vt:variant>
      <vt:variant>
        <vt:i4>1835071</vt:i4>
      </vt:variant>
      <vt:variant>
        <vt:i4>74</vt:i4>
      </vt:variant>
      <vt:variant>
        <vt:i4>0</vt:i4>
      </vt:variant>
      <vt:variant>
        <vt:i4>5</vt:i4>
      </vt:variant>
      <vt:variant>
        <vt:lpwstr/>
      </vt:variant>
      <vt:variant>
        <vt:lpwstr>_Toc421288238</vt:lpwstr>
      </vt:variant>
      <vt:variant>
        <vt:i4>1835071</vt:i4>
      </vt:variant>
      <vt:variant>
        <vt:i4>68</vt:i4>
      </vt:variant>
      <vt:variant>
        <vt:i4>0</vt:i4>
      </vt:variant>
      <vt:variant>
        <vt:i4>5</vt:i4>
      </vt:variant>
      <vt:variant>
        <vt:lpwstr/>
      </vt:variant>
      <vt:variant>
        <vt:lpwstr>_Toc421288237</vt:lpwstr>
      </vt:variant>
      <vt:variant>
        <vt:i4>1835071</vt:i4>
      </vt:variant>
      <vt:variant>
        <vt:i4>62</vt:i4>
      </vt:variant>
      <vt:variant>
        <vt:i4>0</vt:i4>
      </vt:variant>
      <vt:variant>
        <vt:i4>5</vt:i4>
      </vt:variant>
      <vt:variant>
        <vt:lpwstr/>
      </vt:variant>
      <vt:variant>
        <vt:lpwstr>_Toc421288236</vt:lpwstr>
      </vt:variant>
      <vt:variant>
        <vt:i4>1835071</vt:i4>
      </vt:variant>
      <vt:variant>
        <vt:i4>56</vt:i4>
      </vt:variant>
      <vt:variant>
        <vt:i4>0</vt:i4>
      </vt:variant>
      <vt:variant>
        <vt:i4>5</vt:i4>
      </vt:variant>
      <vt:variant>
        <vt:lpwstr/>
      </vt:variant>
      <vt:variant>
        <vt:lpwstr>_Toc421288235</vt:lpwstr>
      </vt:variant>
      <vt:variant>
        <vt:i4>1835071</vt:i4>
      </vt:variant>
      <vt:variant>
        <vt:i4>50</vt:i4>
      </vt:variant>
      <vt:variant>
        <vt:i4>0</vt:i4>
      </vt:variant>
      <vt:variant>
        <vt:i4>5</vt:i4>
      </vt:variant>
      <vt:variant>
        <vt:lpwstr/>
      </vt:variant>
      <vt:variant>
        <vt:lpwstr>_Toc421288234</vt:lpwstr>
      </vt:variant>
      <vt:variant>
        <vt:i4>1835071</vt:i4>
      </vt:variant>
      <vt:variant>
        <vt:i4>44</vt:i4>
      </vt:variant>
      <vt:variant>
        <vt:i4>0</vt:i4>
      </vt:variant>
      <vt:variant>
        <vt:i4>5</vt:i4>
      </vt:variant>
      <vt:variant>
        <vt:lpwstr/>
      </vt:variant>
      <vt:variant>
        <vt:lpwstr>_Toc421288233</vt:lpwstr>
      </vt:variant>
      <vt:variant>
        <vt:i4>1835071</vt:i4>
      </vt:variant>
      <vt:variant>
        <vt:i4>38</vt:i4>
      </vt:variant>
      <vt:variant>
        <vt:i4>0</vt:i4>
      </vt:variant>
      <vt:variant>
        <vt:i4>5</vt:i4>
      </vt:variant>
      <vt:variant>
        <vt:lpwstr/>
      </vt:variant>
      <vt:variant>
        <vt:lpwstr>_Toc421288232</vt:lpwstr>
      </vt:variant>
      <vt:variant>
        <vt:i4>1835071</vt:i4>
      </vt:variant>
      <vt:variant>
        <vt:i4>32</vt:i4>
      </vt:variant>
      <vt:variant>
        <vt:i4>0</vt:i4>
      </vt:variant>
      <vt:variant>
        <vt:i4>5</vt:i4>
      </vt:variant>
      <vt:variant>
        <vt:lpwstr/>
      </vt:variant>
      <vt:variant>
        <vt:lpwstr>_Toc421288231</vt:lpwstr>
      </vt:variant>
      <vt:variant>
        <vt:i4>1835071</vt:i4>
      </vt:variant>
      <vt:variant>
        <vt:i4>26</vt:i4>
      </vt:variant>
      <vt:variant>
        <vt:i4>0</vt:i4>
      </vt:variant>
      <vt:variant>
        <vt:i4>5</vt:i4>
      </vt:variant>
      <vt:variant>
        <vt:lpwstr/>
      </vt:variant>
      <vt:variant>
        <vt:lpwstr>_Toc421288230</vt:lpwstr>
      </vt:variant>
      <vt:variant>
        <vt:i4>1900607</vt:i4>
      </vt:variant>
      <vt:variant>
        <vt:i4>20</vt:i4>
      </vt:variant>
      <vt:variant>
        <vt:i4>0</vt:i4>
      </vt:variant>
      <vt:variant>
        <vt:i4>5</vt:i4>
      </vt:variant>
      <vt:variant>
        <vt:lpwstr/>
      </vt:variant>
      <vt:variant>
        <vt:lpwstr>_Toc421288229</vt:lpwstr>
      </vt:variant>
      <vt:variant>
        <vt:i4>1900607</vt:i4>
      </vt:variant>
      <vt:variant>
        <vt:i4>14</vt:i4>
      </vt:variant>
      <vt:variant>
        <vt:i4>0</vt:i4>
      </vt:variant>
      <vt:variant>
        <vt:i4>5</vt:i4>
      </vt:variant>
      <vt:variant>
        <vt:lpwstr/>
      </vt:variant>
      <vt:variant>
        <vt:lpwstr>_Toc421288228</vt:lpwstr>
      </vt:variant>
      <vt:variant>
        <vt:i4>1900607</vt:i4>
      </vt:variant>
      <vt:variant>
        <vt:i4>8</vt:i4>
      </vt:variant>
      <vt:variant>
        <vt:i4>0</vt:i4>
      </vt:variant>
      <vt:variant>
        <vt:i4>5</vt:i4>
      </vt:variant>
      <vt:variant>
        <vt:lpwstr/>
      </vt:variant>
      <vt:variant>
        <vt:lpwstr>_Toc421288227</vt:lpwstr>
      </vt:variant>
      <vt:variant>
        <vt:i4>1900607</vt:i4>
      </vt:variant>
      <vt:variant>
        <vt:i4>2</vt:i4>
      </vt:variant>
      <vt:variant>
        <vt:i4>0</vt:i4>
      </vt:variant>
      <vt:variant>
        <vt:i4>5</vt:i4>
      </vt:variant>
      <vt:variant>
        <vt:lpwstr/>
      </vt:variant>
      <vt:variant>
        <vt:lpwstr>_Toc421288226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ІІІ</dc:title>
  <dc:creator>lmalchev</dc:creator>
  <cp:lastModifiedBy>Вера Данева</cp:lastModifiedBy>
  <cp:revision>138</cp:revision>
  <cp:lastPrinted>2016-09-20T12:16:00Z</cp:lastPrinted>
  <dcterms:created xsi:type="dcterms:W3CDTF">2016-09-01T10:32:00Z</dcterms:created>
  <dcterms:modified xsi:type="dcterms:W3CDTF">2016-09-21T13:23:00Z</dcterms:modified>
</cp:coreProperties>
</file>